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7"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21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44" w:lineRule="exact"/>
        <w:rPr>
          <w:sz w:val="24"/>
          <w:szCs w:val="24"/>
          <w:color w:val="auto"/>
        </w:rPr>
      </w:pPr>
    </w:p>
    <w:p>
      <w:pPr>
        <w:ind w:left="500"/>
        <w:spacing w:after="0" w:line="196" w:lineRule="exact"/>
        <w:tabs>
          <w:tab w:leader="none" w:pos="23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102" w:lineRule="exact"/>
        <w:rPr>
          <w:sz w:val="24"/>
          <w:szCs w:val="24"/>
          <w:color w:val="auto"/>
        </w:rPr>
      </w:pPr>
    </w:p>
    <w:p>
      <w:pPr>
        <w:ind w:left="500"/>
        <w:spacing w:after="0" w:line="196" w:lineRule="exact"/>
        <w:tabs>
          <w:tab w:leader="none" w:pos="372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39" w:lineRule="exact"/>
        <w:rPr>
          <w:sz w:val="24"/>
          <w:szCs w:val="24"/>
          <w:color w:val="auto"/>
        </w:rPr>
      </w:pPr>
    </w:p>
    <w:p>
      <w:pPr>
        <w:ind w:left="500"/>
        <w:spacing w:after="0"/>
        <w:rPr>
          <w:sz w:val="20"/>
          <w:szCs w:val="20"/>
          <w:color w:val="auto"/>
        </w:rPr>
      </w:pPr>
      <w:r>
        <w:rPr>
          <w:rFonts w:ascii="Arial" w:cs="Arial" w:eastAsia="Arial" w:hAnsi="Arial"/>
          <w:sz w:val="17"/>
          <w:szCs w:val="17"/>
          <w:color w:val="auto"/>
        </w:rPr>
        <w:t>Check the appropriate box:</w:t>
      </w:r>
    </w:p>
    <w:p>
      <w:pPr>
        <w:spacing w:after="0" w:line="102"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63" w:lineRule="exact"/>
        <w:rPr>
          <w:rFonts w:ascii="MS PGothic" w:cs="MS PGothic" w:eastAsia="MS PGothic" w:hAnsi="MS PGothic"/>
          <w:sz w:val="17"/>
          <w:szCs w:val="17"/>
          <w:color w:val="auto"/>
        </w:rPr>
      </w:pPr>
    </w:p>
    <w:p>
      <w:pPr>
        <w:ind w:left="50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139"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211" w:lineRule="exact"/>
        <w:rPr>
          <w:sz w:val="24"/>
          <w:szCs w:val="24"/>
          <w:color w:val="auto"/>
        </w:rPr>
      </w:pPr>
    </w:p>
    <w:p>
      <w:pPr>
        <w:ind w:left="3500"/>
        <w:spacing w:after="0"/>
        <w:rPr>
          <w:sz w:val="20"/>
          <w:szCs w:val="20"/>
          <w:color w:val="auto"/>
        </w:rPr>
      </w:pPr>
      <w:r>
        <w:rPr>
          <w:rFonts w:ascii="Arial" w:cs="Arial" w:eastAsia="Arial" w:hAnsi="Arial"/>
          <w:sz w:val="29"/>
          <w:szCs w:val="29"/>
          <w:b w:val="1"/>
          <w:bCs w:val="1"/>
          <w:color w:val="auto"/>
        </w:rPr>
        <w:t>PLAINS GP HOLDINGS, L.P.</w:t>
      </w:r>
    </w:p>
    <w:p>
      <w:pPr>
        <w:spacing w:after="0" w:line="38" w:lineRule="exact"/>
        <w:rPr>
          <w:sz w:val="24"/>
          <w:szCs w:val="24"/>
          <w:color w:val="auto"/>
        </w:rPr>
      </w:pPr>
    </w:p>
    <w:p>
      <w:pPr>
        <w:ind w:left="386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28"/>
          <w:szCs w:val="2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-196215</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197485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24"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208" w:lineRule="exact"/>
        <w:rPr>
          <w:sz w:val="24"/>
          <w:szCs w:val="24"/>
          <w:color w:val="auto"/>
        </w:rPr>
      </w:pPr>
    </w:p>
    <w:p>
      <w:pPr>
        <w:ind w:left="500"/>
        <w:spacing w:after="0"/>
        <w:rPr>
          <w:sz w:val="20"/>
          <w:szCs w:val="20"/>
          <w:color w:val="auto"/>
        </w:rPr>
      </w:pPr>
      <w:r>
        <w:rPr>
          <w:rFonts w:ascii="Arial" w:cs="Arial" w:eastAsia="Arial" w:hAnsi="Arial"/>
          <w:sz w:val="17"/>
          <w:szCs w:val="17"/>
          <w:color w:val="auto"/>
        </w:rPr>
        <w:t>Payment of Filing Fee (Check the appropriate box):</w:t>
      </w:r>
    </w:p>
    <w:p>
      <w:pPr>
        <w:spacing w:after="0" w:line="102"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02"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1" w:lineRule="exact"/>
        <w:rPr>
          <w:rFonts w:ascii="MS PGothic" w:cs="MS PGothic" w:eastAsia="MS PGothic" w:hAnsi="MS PGothic"/>
          <w:sz w:val="17"/>
          <w:szCs w:val="17"/>
          <w:color w:val="auto"/>
        </w:rPr>
      </w:pPr>
    </w:p>
    <w:p>
      <w:pPr>
        <w:ind w:left="860" w:hanging="368"/>
        <w:spacing w:after="0"/>
        <w:tabs>
          <w:tab w:leader="none" w:pos="8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3665220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509905</wp:posOffset>
            </wp:positionV>
            <wp:extent cx="1988820" cy="43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888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April 12, 2024</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Dear Fellow Plains Investors,</w:t>
      </w:r>
    </w:p>
    <w:p>
      <w:pPr>
        <w:spacing w:after="0" w:line="63" w:lineRule="exact"/>
        <w:rPr>
          <w:sz w:val="20"/>
          <w:szCs w:val="20"/>
          <w:color w:val="auto"/>
        </w:rPr>
      </w:pPr>
    </w:p>
    <w:p>
      <w:pPr>
        <w:ind w:left="1260" w:right="739" w:firstLine="360"/>
        <w:spacing w:after="0" w:line="271" w:lineRule="auto"/>
        <w:rPr>
          <w:sz w:val="20"/>
          <w:szCs w:val="20"/>
          <w:color w:val="auto"/>
        </w:rPr>
      </w:pPr>
      <w:r>
        <w:rPr>
          <w:rFonts w:ascii="Arial" w:cs="Arial" w:eastAsia="Arial" w:hAnsi="Arial"/>
          <w:sz w:val="18"/>
          <w:szCs w:val="18"/>
          <w:color w:val="auto"/>
        </w:rPr>
        <w:t>We are grateful for your investment in Plains, and we are pleased to invite you to join us for our May 22, 2024 annual meeting.</w:t>
      </w:r>
    </w:p>
    <w:p>
      <w:pPr>
        <w:spacing w:after="0" w:line="5"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color w:val="auto"/>
        </w:rPr>
        <w:t>2023 was a year of strong execution for Plains, in which we were able to navigate a dynamic business landscape and macroeconomic environment. We exceeded our 2023 financial targets, helping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 to accelerate progress on our long-term strategy — most notably our focus on generating meaningful</w:t>
      </w:r>
    </w:p>
    <w:p>
      <w:pPr>
        <w:spacing w:after="0" w:line="7" w:lineRule="exact"/>
        <w:rPr>
          <w:sz w:val="20"/>
          <w:szCs w:val="20"/>
          <w:color w:val="auto"/>
        </w:rPr>
      </w:pPr>
    </w:p>
    <w:p>
      <w:pPr>
        <w:ind w:left="1260" w:right="899"/>
        <w:spacing w:after="0"/>
        <w:rPr>
          <w:sz w:val="20"/>
          <w:szCs w:val="20"/>
          <w:color w:val="auto"/>
        </w:rPr>
      </w:pPr>
      <w:r>
        <w:rPr>
          <w:rFonts w:ascii="Arial" w:cs="Arial" w:eastAsia="Arial" w:hAnsi="Arial"/>
          <w:sz w:val="17"/>
          <w:szCs w:val="17"/>
          <w:color w:val="auto"/>
        </w:rPr>
        <w:t>free cash flow, exercising capital discipline and maintaining a clear and concise capital allocation framework that prioritizes increasing returns of capital to equity holders while maintaining a strong</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balance sheet and financial flexibility.</w:t>
      </w:r>
    </w:p>
    <w:p>
      <w:pPr>
        <w:spacing w:after="0" w:line="4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Our integrated business model, flexible asset base and drive to be the partner of choice allowed us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capture increasing volumes from production growth and capitalize on both commercial and bolt-on</w:t>
      </w:r>
    </w:p>
    <w:p>
      <w:pPr>
        <w:ind w:left="1260"/>
        <w:spacing w:after="0"/>
        <w:rPr>
          <w:sz w:val="20"/>
          <w:szCs w:val="20"/>
          <w:color w:val="auto"/>
        </w:rPr>
      </w:pPr>
      <w:r>
        <w:rPr>
          <w:rFonts w:ascii="Arial" w:cs="Arial" w:eastAsia="Arial" w:hAnsi="Arial"/>
          <w:sz w:val="18"/>
          <w:szCs w:val="18"/>
          <w:color w:val="auto"/>
        </w:rPr>
        <w:t>M&amp;A opportunities throughout the year. 2023 accomplishments include:</w:t>
      </w:r>
    </w:p>
    <w:p>
      <w:pPr>
        <w:spacing w:after="0" w:line="72" w:lineRule="exact"/>
        <w:rPr>
          <w:sz w:val="20"/>
          <w:szCs w:val="20"/>
          <w:color w:val="auto"/>
        </w:rPr>
      </w:pPr>
    </w:p>
    <w:p>
      <w:pPr>
        <w:jc w:val="both"/>
        <w:ind w:left="1800" w:right="679" w:hanging="180"/>
        <w:spacing w:after="0" w:line="25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Delivered $2.71 billion in Adjusted EBITDA attributable to PAA and Implied Distributable Cash Flow per Common Unit and Common Unit Equivalent of $2.46, exceeding our initial February targets of approximately $2.50 billion and $2.33, respectively;</w:t>
      </w:r>
    </w:p>
    <w:p>
      <w:pPr>
        <w:spacing w:after="0" w:line="1" w:lineRule="exact"/>
        <w:rPr>
          <w:rFonts w:ascii="Arial" w:cs="Arial" w:eastAsia="Arial" w:hAnsi="Arial"/>
          <w:sz w:val="18"/>
          <w:szCs w:val="18"/>
          <w:color w:val="auto"/>
        </w:rPr>
      </w:pPr>
    </w:p>
    <w:p>
      <w:pPr>
        <w:ind w:left="1800" w:right="53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$1.60 billion in Adjusted Free Cash Flow (excluding changes in Assets and Liabilities), returned approximately $989 million to our common and preferred equity holders via distributions, and invested approximately $524 million of investment and maintenance capital (net to our interest);</w:t>
      </w:r>
    </w:p>
    <w:p>
      <w:pPr>
        <w:spacing w:after="0" w:line="1" w:lineRule="exact"/>
        <w:rPr>
          <w:rFonts w:ascii="Arial" w:cs="Arial" w:eastAsia="Arial" w:hAnsi="Arial"/>
          <w:sz w:val="18"/>
          <w:szCs w:val="18"/>
          <w:color w:val="auto"/>
        </w:rPr>
      </w:pPr>
    </w:p>
    <w:p>
      <w:pPr>
        <w:ind w:left="1800" w:right="63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Lowered our long-term leverage ratio target range to 3.25x – 3.75x and ended 2023 with a leverage ratio of 3.1x (we also received recognition for our efforts by the credit rating agencies with two upgrades to mid-BBB);</w:t>
      </w:r>
    </w:p>
    <w:p>
      <w:pPr>
        <w:spacing w:after="0" w:line="1" w:lineRule="exact"/>
        <w:rPr>
          <w:rFonts w:ascii="Arial" w:cs="Arial" w:eastAsia="Arial" w:hAnsi="Arial"/>
          <w:sz w:val="18"/>
          <w:szCs w:val="18"/>
          <w:color w:val="auto"/>
        </w:rPr>
      </w:pPr>
    </w:p>
    <w:p>
      <w:pPr>
        <w:ind w:left="1800" w:right="679" w:hanging="180"/>
        <w:spacing w:after="0" w:line="250"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Completed two asset sales and three bolt-on acquisitions, all of which further optimized our asset base and streamlined our operations, while generating attractive returns for unitholders; and</w:t>
      </w:r>
    </w:p>
    <w:p>
      <w:pPr>
        <w:spacing w:after="0" w:line="1" w:lineRule="exact"/>
        <w:rPr>
          <w:rFonts w:ascii="Arial" w:cs="Arial" w:eastAsia="Arial" w:hAnsi="Arial"/>
          <w:sz w:val="18"/>
          <w:szCs w:val="18"/>
          <w:color w:val="auto"/>
        </w:rPr>
      </w:pPr>
    </w:p>
    <w:p>
      <w:pPr>
        <w:ind w:left="1800" w:right="499" w:hanging="180"/>
        <w:spacing w:after="0" w:line="266"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our annual distribution by $0.20 per unit (23%) in 2023 and by $0.20 per unit (19%) in February 2024, and achieved strong equity performance with a TSR of 38% in 2023.</w:t>
      </w:r>
    </w:p>
    <w:p>
      <w:pPr>
        <w:spacing w:after="0" w:line="23"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Plains remains constructive on the long-term fundamentals that underpin our business, with recent events serving as a reminder that all forms of energy are needed to satisfy growing global energy</w:t>
      </w:r>
    </w:p>
    <w:p>
      <w:pPr>
        <w:ind w:left="1260"/>
        <w:spacing w:after="0" w:line="235" w:lineRule="auto"/>
        <w:rPr>
          <w:sz w:val="20"/>
          <w:szCs w:val="20"/>
          <w:color w:val="auto"/>
        </w:rPr>
      </w:pPr>
      <w:r>
        <w:rPr>
          <w:rFonts w:ascii="Arial" w:cs="Arial" w:eastAsia="Arial" w:hAnsi="Arial"/>
          <w:sz w:val="18"/>
          <w:szCs w:val="18"/>
          <w:color w:val="auto"/>
        </w:rPr>
        <w:t>demand. The challenging political and macroeconomic environment demonstrates the increasing</w:t>
      </w:r>
    </w:p>
    <w:p>
      <w:pPr>
        <w:ind w:left="1260" w:right="879"/>
        <w:spacing w:after="0"/>
        <w:rPr>
          <w:sz w:val="20"/>
          <w:szCs w:val="20"/>
          <w:color w:val="auto"/>
        </w:rPr>
      </w:pPr>
      <w:r>
        <w:rPr>
          <w:rFonts w:ascii="Arial" w:cs="Arial" w:eastAsia="Arial" w:hAnsi="Arial"/>
          <w:sz w:val="17"/>
          <w:szCs w:val="17"/>
          <w:color w:val="auto"/>
        </w:rPr>
        <w:t>importance of North America as a key supplier of global energy. Underlying supply and demand fundamentals, together with realistic assumptions regarding the growth of various energy sources,</w:t>
      </w:r>
    </w:p>
    <w:p>
      <w:pPr>
        <w:spacing w:after="0" w:line="1" w:lineRule="exact"/>
        <w:rPr>
          <w:sz w:val="20"/>
          <w:szCs w:val="20"/>
          <w:color w:val="auto"/>
        </w:rPr>
      </w:pPr>
    </w:p>
    <w:p>
      <w:pPr>
        <w:ind w:left="1260" w:right="559"/>
        <w:spacing w:after="0" w:line="250" w:lineRule="auto"/>
        <w:rPr>
          <w:sz w:val="20"/>
          <w:szCs w:val="20"/>
          <w:color w:val="auto"/>
        </w:rPr>
      </w:pPr>
      <w:r>
        <w:rPr>
          <w:rFonts w:ascii="Arial" w:cs="Arial" w:eastAsia="Arial" w:hAnsi="Arial"/>
          <w:sz w:val="18"/>
          <w:szCs w:val="18"/>
          <w:color w:val="auto"/>
        </w:rPr>
        <w:t>support our belief that hydrocarbons will remain essential to ensuring global stability and quality of life, and that worldwide hydrocarbon demand will remain robust well into the future.</w:t>
      </w:r>
    </w:p>
    <w:p>
      <w:pPr>
        <w:spacing w:after="0" w:line="23"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With our network of strategically located North American midstream assets and our focus on the long-term positioning and optimization of our business, we believe we are very well positioned to play a</w:t>
      </w:r>
    </w:p>
    <w:p>
      <w:pPr>
        <w:ind w:left="1260"/>
        <w:spacing w:after="0" w:line="235" w:lineRule="auto"/>
        <w:rPr>
          <w:sz w:val="20"/>
          <w:szCs w:val="20"/>
          <w:color w:val="auto"/>
        </w:rPr>
      </w:pPr>
      <w:r>
        <w:rPr>
          <w:rFonts w:ascii="Arial" w:cs="Arial" w:eastAsia="Arial" w:hAnsi="Arial"/>
          <w:sz w:val="18"/>
          <w:szCs w:val="18"/>
          <w:color w:val="auto"/>
        </w:rPr>
        <w:t>critical role in the delivery of energy across North America and globally. As we do so, we will remain</w:t>
      </w:r>
    </w:p>
    <w:p>
      <w:pPr>
        <w:ind w:left="1260" w:right="559"/>
        <w:spacing w:after="0"/>
        <w:rPr>
          <w:sz w:val="20"/>
          <w:szCs w:val="20"/>
          <w:color w:val="auto"/>
        </w:rPr>
      </w:pPr>
      <w:r>
        <w:rPr>
          <w:rFonts w:ascii="Arial" w:cs="Arial" w:eastAsia="Arial" w:hAnsi="Arial"/>
          <w:sz w:val="17"/>
          <w:szCs w:val="17"/>
          <w:color w:val="auto"/>
        </w:rPr>
        <w:t>focused on our key objectives of being a safe, reliable, and responsible operator, generating free cash flow, exercising capital discipline, increasing returns of capital to unitholders, and maintaining financial</w:t>
      </w:r>
    </w:p>
    <w:p>
      <w:pPr>
        <w:spacing w:after="0" w:line="1" w:lineRule="exact"/>
        <w:rPr>
          <w:sz w:val="20"/>
          <w:szCs w:val="20"/>
          <w:color w:val="auto"/>
        </w:rPr>
      </w:pPr>
    </w:p>
    <w:p>
      <w:pPr>
        <w:ind w:left="1260" w:right="579"/>
        <w:spacing w:after="0" w:line="250" w:lineRule="auto"/>
        <w:rPr>
          <w:sz w:val="20"/>
          <w:szCs w:val="20"/>
          <w:color w:val="auto"/>
        </w:rPr>
      </w:pPr>
      <w:r>
        <w:rPr>
          <w:rFonts w:ascii="Arial" w:cs="Arial" w:eastAsia="Arial" w:hAnsi="Arial"/>
          <w:sz w:val="18"/>
          <w:szCs w:val="18"/>
          <w:color w:val="auto"/>
        </w:rPr>
        <w:t>flexibility. We believe the execution of our plan will deliver strong performance and enhanced value for our investors over the long term.</w:t>
      </w:r>
    </w:p>
    <w:p>
      <w:pPr>
        <w:spacing w:after="0" w:line="23"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We appreciate your continued investment and support and we look forward to your participation in our 2024 annual meeting in May.</w:t>
      </w:r>
    </w:p>
    <w:p>
      <w:pPr>
        <w:spacing w:after="0" w:line="1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77470</wp:posOffset>
            </wp:positionV>
            <wp:extent cx="1054100" cy="402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1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Willie Chiang</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Chairman of the Board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593725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2411730</wp:posOffset>
            </wp:positionH>
            <wp:positionV relativeFrom="paragraph">
              <wp:posOffset>509905</wp:posOffset>
            </wp:positionV>
            <wp:extent cx="198882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88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920"/>
        <w:spacing w:after="0"/>
        <w:rPr>
          <w:sz w:val="20"/>
          <w:szCs w:val="20"/>
          <w:color w:val="auto"/>
        </w:rPr>
      </w:pPr>
      <w:r>
        <w:rPr>
          <w:rFonts w:ascii="Arial" w:cs="Arial" w:eastAsia="Arial" w:hAnsi="Arial"/>
          <w:sz w:val="25"/>
          <w:szCs w:val="25"/>
          <w:b w:val="1"/>
          <w:bCs w:val="1"/>
          <w:color w:val="auto"/>
        </w:rPr>
        <w:t>Plains GP Holdings, L.P.</w:t>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333 Clay Street, Suite 1600</w:t>
      </w:r>
    </w:p>
    <w:p>
      <w:pPr>
        <w:ind w:left="4420"/>
        <w:spacing w:after="0"/>
        <w:rPr>
          <w:sz w:val="20"/>
          <w:szCs w:val="20"/>
          <w:color w:val="auto"/>
        </w:rPr>
      </w:pPr>
      <w:r>
        <w:rPr>
          <w:rFonts w:ascii="Arial" w:cs="Arial" w:eastAsia="Arial" w:hAnsi="Arial"/>
          <w:sz w:val="18"/>
          <w:szCs w:val="18"/>
          <w:b w:val="1"/>
          <w:bCs w:val="1"/>
          <w:color w:val="auto"/>
        </w:rPr>
        <w:t>Houston, Texas 77002</w:t>
      </w:r>
      <w:r>
        <w:rPr>
          <w:rFonts w:ascii="Times New Roman" w:cs="Times New Roman" w:eastAsia="Times New Roman" w:hAnsi="Times New Roman"/>
          <w:sz w:val="25"/>
          <w:szCs w:val="2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216535</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To Be Held On May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holders of Class A, Class B and Class C shares of Plains GP Holdings, L.P.:</w:t>
      </w:r>
    </w:p>
    <w:p>
      <w:pPr>
        <w:spacing w:after="0" w:line="158"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2024 Annual Meeting (the “PAGP Annual Meeting”) of the Class A, Class B and Class C shareholders (collectively, our “Shareholders”) of Plains GP Holdings, L.P. will be held on May 22, 2024,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At the PAGP Annual Meeting, our Shareholders will consider and vote on the following matters:</w:t>
      </w:r>
    </w:p>
    <w:p>
      <w:pPr>
        <w:spacing w:after="0" w:line="116" w:lineRule="exact"/>
        <w:rPr>
          <w:sz w:val="20"/>
          <w:szCs w:val="20"/>
          <w:color w:val="auto"/>
        </w:rPr>
      </w:pPr>
    </w:p>
    <w:p>
      <w:pPr>
        <w:ind w:left="1980" w:right="49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III directors to serve on the board of directors (the “Board”) of PAA GP Holdings LLC until the 2027 annual meeting;</w:t>
      </w:r>
    </w:p>
    <w:p>
      <w:pPr>
        <w:spacing w:after="0" w:line="85" w:lineRule="exact"/>
        <w:rPr>
          <w:rFonts w:ascii="Arial" w:cs="Arial" w:eastAsia="Arial" w:hAnsi="Arial"/>
          <w:sz w:val="18"/>
          <w:szCs w:val="18"/>
          <w:color w:val="auto"/>
        </w:rPr>
      </w:pPr>
    </w:p>
    <w:p>
      <w:pPr>
        <w:ind w:left="1980" w:right="639" w:hanging="360"/>
        <w:spacing w:after="0" w:line="268"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our and Plains All American Pipeline, L.P.’s (“PAA”) independent registered public accounting firm for the fiscal year ending December 31, 2024;</w:t>
      </w:r>
    </w:p>
    <w:p>
      <w:pPr>
        <w:spacing w:after="0" w:line="103" w:lineRule="exact"/>
        <w:rPr>
          <w:rFonts w:ascii="Arial" w:cs="Arial" w:eastAsia="Arial" w:hAnsi="Arial"/>
          <w:sz w:val="18"/>
          <w:szCs w:val="18"/>
          <w:color w:val="auto"/>
        </w:rPr>
      </w:pPr>
    </w:p>
    <w:p>
      <w:pPr>
        <w:ind w:left="1980" w:right="129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on a non-binding advisory basis, of our 2023 named executive officer compensation;</w:t>
      </w:r>
    </w:p>
    <w:p>
      <w:pPr>
        <w:spacing w:after="0" w:line="71" w:lineRule="exact"/>
        <w:rPr>
          <w:rFonts w:ascii="Arial" w:cs="Arial" w:eastAsia="Arial" w:hAnsi="Arial"/>
          <w:sz w:val="18"/>
          <w:szCs w:val="18"/>
          <w:color w:val="auto"/>
        </w:rPr>
      </w:pPr>
    </w:p>
    <w:p>
      <w:pPr>
        <w:ind w:left="1980" w:right="51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non-binding advisory vote on the frequency with which future advisory votes to approve our named executive officer compensation should be held; and</w:t>
      </w:r>
    </w:p>
    <w:p>
      <w:pPr>
        <w:spacing w:after="0" w:line="85" w:lineRule="exact"/>
        <w:rPr>
          <w:rFonts w:ascii="Arial" w:cs="Arial" w:eastAsia="Arial" w:hAnsi="Arial"/>
          <w:sz w:val="18"/>
          <w:szCs w:val="18"/>
          <w:color w:val="auto"/>
        </w:rPr>
      </w:pPr>
    </w:p>
    <w:p>
      <w:pPr>
        <w:ind w:left="1980" w:right="519" w:hanging="360"/>
        <w:spacing w:after="0" w:line="28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proposal to transact such other business as may properly come before the PAGP Annual Meeting and any adjournment or postponement thereof.</w:t>
      </w:r>
    </w:p>
    <w:p>
      <w:pPr>
        <w:spacing w:after="0" w:line="85" w:lineRule="exact"/>
        <w:rPr>
          <w:sz w:val="20"/>
          <w:szCs w:val="20"/>
          <w:color w:val="auto"/>
        </w:rPr>
      </w:pPr>
    </w:p>
    <w:p>
      <w:pPr>
        <w:ind w:left="1260" w:right="619" w:firstLine="360"/>
        <w:spacing w:after="0" w:line="286" w:lineRule="auto"/>
        <w:rPr>
          <w:sz w:val="20"/>
          <w:szCs w:val="20"/>
          <w:color w:val="auto"/>
        </w:rPr>
      </w:pPr>
      <w:r>
        <w:rPr>
          <w:rFonts w:ascii="Arial" w:cs="Arial" w:eastAsia="Arial" w:hAnsi="Arial"/>
          <w:sz w:val="17"/>
          <w:szCs w:val="17"/>
          <w:b w:val="1"/>
          <w:bCs w:val="1"/>
          <w:color w:val="auto"/>
        </w:rPr>
        <w:t>The Board unanimously recommends that our Shareholders vote “FOR” the election of each director listed in proposal 1, “FOR” proposals 2 and 3 and “ONE YEAR” on proposal 4. Additional information regarding these proposals is included in the attached proxy statement. See “Information About the PAA and PAGP Annual Meetings” below for more information.</w:t>
      </w:r>
    </w:p>
    <w:p>
      <w:pPr>
        <w:spacing w:after="0" w:line="67" w:lineRule="exact"/>
        <w:rPr>
          <w:sz w:val="20"/>
          <w:szCs w:val="20"/>
          <w:color w:val="auto"/>
        </w:rPr>
      </w:pPr>
    </w:p>
    <w:p>
      <w:pPr>
        <w:ind w:left="1260" w:right="759" w:firstLine="360"/>
        <w:spacing w:after="0" w:line="262" w:lineRule="auto"/>
        <w:rPr>
          <w:sz w:val="20"/>
          <w:szCs w:val="20"/>
          <w:color w:val="auto"/>
        </w:rPr>
      </w:pPr>
      <w:r>
        <w:rPr>
          <w:rFonts w:ascii="Arial" w:cs="Arial" w:eastAsia="Arial" w:hAnsi="Arial"/>
          <w:sz w:val="18"/>
          <w:szCs w:val="18"/>
          <w:color w:val="auto"/>
        </w:rPr>
        <w:t>Shareholders as of the close of business on March 25, 2024 (the “Record Date”) are entitled to receive notice of and to vote at the PAGP Annual Meeting and any postponements or adjournments thereof. A list of Shareholders entitled to vote is on file at our principal offices, 333 Clay Street, Suite 1600, Houston, TX 77002.</w:t>
      </w:r>
    </w:p>
    <w:p>
      <w:pPr>
        <w:spacing w:after="0" w:line="109" w:lineRule="exact"/>
        <w:rPr>
          <w:sz w:val="20"/>
          <w:szCs w:val="20"/>
          <w:color w:val="auto"/>
        </w:rPr>
      </w:pPr>
    </w:p>
    <w:p>
      <w:pPr>
        <w:ind w:left="1260" w:right="439" w:firstLine="360"/>
        <w:spacing w:after="0" w:line="27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PAGP Annual Meeting,</w:t>
      </w:r>
      <w:r>
        <w:rPr>
          <w:rFonts w:ascii="Arial" w:cs="Arial" w:eastAsia="Arial" w:hAnsi="Arial"/>
          <w:sz w:val="17"/>
          <w:szCs w:val="17"/>
          <w:b w:val="1"/>
          <w:bCs w:val="1"/>
          <w:color w:val="auto"/>
        </w:rPr>
        <w:t xml:space="preserve"> </w:t>
      </w:r>
      <w:r>
        <w:rPr>
          <w:rFonts w:ascii="Arial" w:cs="Arial" w:eastAsia="Arial" w:hAnsi="Arial"/>
          <w:sz w:val="17"/>
          <w:szCs w:val="17"/>
          <w:color w:val="auto"/>
        </w:rPr>
        <w:t>please cast your vote by following the Internet or telephone voting instructions on the proxy card. You may also vote by completing, signing and dating the accompanying proxy card and returning it promptly in the postage-prepaid envelope provided. See “Questions and Answers About the PAGP Annual Meeting — How do I vote?” in the attached proxy statement for more details. Returning the proxy card or voting on the Internet or by telephone does not deprive you of your right to attend the PAGP Annual Meeting and to vote your shares for the matters to be acted upon at the PAGP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575945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 of</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Plains GP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126365</wp:posOffset>
            </wp:positionV>
            <wp:extent cx="1645920"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Richard McGee</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Executive Vice President, General Counsel and</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Secretary</w:t>
      </w:r>
    </w:p>
    <w:p>
      <w:pPr>
        <w:spacing w:after="0" w:line="14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12, 2024</w:t>
      </w:r>
    </w:p>
    <w:p>
      <w:pPr>
        <w:spacing w:after="0" w:line="165" w:lineRule="exact"/>
        <w:rPr>
          <w:sz w:val="20"/>
          <w:szCs w:val="20"/>
          <w:color w:val="auto"/>
        </w:rPr>
      </w:pPr>
    </w:p>
    <w:tbl>
      <w:tblPr>
        <w:tblLayout w:type="fixed"/>
        <w:tblInd w:w="1270" w:type="dxa"/>
        <w:tblCellMar>
          <w:top w:w="0" w:type="dxa"/>
          <w:left w:w="0" w:type="dxa"/>
          <w:bottom w:w="0" w:type="dxa"/>
          <w:right w:w="0" w:type="dxa"/>
        </w:tblCellMar>
      </w:tblPr>
      <w:tr>
        <w:trPr>
          <w:trHeight w:val="278"/>
        </w:trPr>
        <w:tc>
          <w:tcPr>
            <w:tcW w:w="2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960" w:type="dxa"/>
            <w:vAlign w:val="bottom"/>
            <w:tcBorders>
              <w:top w:val="single" w:sz="8" w:color="auto"/>
              <w:right w:val="single" w:sz="8" w:color="auto"/>
            </w:tcBorders>
          </w:tcPr>
          <w:p>
            <w:pPr>
              <w:jc w:val="center"/>
              <w:ind w:right="234"/>
              <w:spacing w:after="0"/>
              <w:rPr>
                <w:sz w:val="20"/>
                <w:szCs w:val="20"/>
                <w:color w:val="auto"/>
              </w:rPr>
            </w:pPr>
            <w:r>
              <w:rPr>
                <w:rFonts w:ascii="Arial" w:cs="Arial" w:eastAsia="Arial" w:hAnsi="Arial"/>
                <w:sz w:val="18"/>
                <w:szCs w:val="18"/>
                <w:b w:val="1"/>
                <w:bCs w:val="1"/>
                <w:color w:val="auto"/>
                <w:w w:val="96"/>
              </w:rPr>
              <w:t>IMPORTANT NOTICE REGARDING THE AVAILABILITY OF</w:t>
            </w:r>
          </w:p>
        </w:tc>
      </w:tr>
      <w:tr>
        <w:trPr>
          <w:trHeight w:val="216"/>
        </w:trPr>
        <w:tc>
          <w:tcPr>
            <w:tcW w:w="2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jc w:val="center"/>
              <w:ind w:right="254"/>
              <w:spacing w:after="0"/>
              <w:rPr>
                <w:sz w:val="20"/>
                <w:szCs w:val="20"/>
                <w:color w:val="auto"/>
              </w:rPr>
            </w:pPr>
            <w:r>
              <w:rPr>
                <w:rFonts w:ascii="Arial" w:cs="Arial" w:eastAsia="Arial" w:hAnsi="Arial"/>
                <w:sz w:val="18"/>
                <w:szCs w:val="18"/>
                <w:b w:val="1"/>
                <w:bCs w:val="1"/>
                <w:color w:val="auto"/>
                <w:w w:val="97"/>
              </w:rPr>
              <w:t>PROXY MATERIALS FOR THE ANNUAL MEETING OF SHAREHOLDERS</w:t>
            </w:r>
          </w:p>
        </w:tc>
      </w:tr>
      <w:tr>
        <w:trPr>
          <w:trHeight w:val="247"/>
        </w:trPr>
        <w:tc>
          <w:tcPr>
            <w:tcW w:w="260" w:type="dxa"/>
            <w:vAlign w:val="bottom"/>
            <w:tcBorders>
              <w:left w:val="single" w:sz="8" w:color="auto"/>
            </w:tcBorders>
          </w:tcPr>
          <w:p>
            <w:pPr>
              <w:spacing w:after="0"/>
              <w:rPr>
                <w:sz w:val="21"/>
                <w:szCs w:val="21"/>
                <w:color w:val="auto"/>
              </w:rPr>
            </w:pPr>
          </w:p>
        </w:tc>
        <w:tc>
          <w:tcPr>
            <w:tcW w:w="7960" w:type="dxa"/>
            <w:vAlign w:val="bottom"/>
            <w:tcBorders>
              <w:right w:val="single" w:sz="8" w:color="auto"/>
            </w:tcBorders>
          </w:tcPr>
          <w:p>
            <w:pPr>
              <w:jc w:val="center"/>
              <w:ind w:right="194"/>
              <w:spacing w:after="0"/>
              <w:rPr>
                <w:sz w:val="20"/>
                <w:szCs w:val="20"/>
                <w:color w:val="auto"/>
              </w:rPr>
            </w:pPr>
            <w:r>
              <w:rPr>
                <w:rFonts w:ascii="Arial" w:cs="Arial" w:eastAsia="Arial" w:hAnsi="Arial"/>
                <w:sz w:val="18"/>
                <w:szCs w:val="18"/>
                <w:b w:val="1"/>
                <w:bCs w:val="1"/>
                <w:color w:val="auto"/>
                <w:w w:val="96"/>
              </w:rPr>
              <w:t>TO BE HELD ON MAY 22, 2024</w:t>
            </w:r>
          </w:p>
        </w:tc>
      </w:tr>
      <w:tr>
        <w:trPr>
          <w:trHeight w:val="231"/>
        </w:trPr>
        <w:tc>
          <w:tcPr>
            <w:tcW w:w="2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jc w:val="center"/>
              <w:ind w:right="234"/>
              <w:spacing w:after="0"/>
              <w:rPr>
                <w:sz w:val="20"/>
                <w:szCs w:val="20"/>
                <w:color w:val="auto"/>
              </w:rPr>
            </w:pPr>
            <w:r>
              <w:rPr>
                <w:rFonts w:ascii="Arial" w:cs="Arial" w:eastAsia="Arial" w:hAnsi="Arial"/>
                <w:sz w:val="16"/>
                <w:szCs w:val="16"/>
                <w:b w:val="1"/>
                <w:bCs w:val="1"/>
                <w:color w:val="auto"/>
              </w:rPr>
              <w:t>The Notice of Annual Meeting, the proxy statement for the Annual Meeting and our 2023 Annual</w:t>
            </w:r>
          </w:p>
        </w:tc>
      </w:tr>
      <w:tr>
        <w:trPr>
          <w:trHeight w:val="203"/>
        </w:trPr>
        <w:tc>
          <w:tcPr>
            <w:tcW w:w="260" w:type="dxa"/>
            <w:vAlign w:val="bottom"/>
            <w:tcBorders>
              <w:left w:val="single" w:sz="8" w:color="auto"/>
              <w:bottom w:val="single" w:sz="8" w:color="auto"/>
            </w:tcBorders>
          </w:tcPr>
          <w:p>
            <w:pPr>
              <w:spacing w:after="0"/>
              <w:rPr>
                <w:sz w:val="17"/>
                <w:szCs w:val="17"/>
                <w:color w:val="auto"/>
              </w:rPr>
            </w:pPr>
          </w:p>
        </w:tc>
        <w:tc>
          <w:tcPr>
            <w:tcW w:w="7960" w:type="dxa"/>
            <w:vAlign w:val="bottom"/>
            <w:tcBorders>
              <w:bottom w:val="single" w:sz="8" w:color="auto"/>
              <w:right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rPr>
              <w:t>Report are available at http://www.astproxyportal.com/ast/21140/.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5464810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26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60" w:type="dxa"/>
            <w:vAlign w:val="bottom"/>
            <w:gridSpan w:val="16"/>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GENERAL INFORMATION ABOUT THE PLAINS GP HOLDINGS, L.P. ANNUAL MEETING</w:t>
            </w:r>
          </w:p>
        </w:tc>
        <w:tc>
          <w:tcPr>
            <w:tcW w:w="4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INFORMATION ABOUT THE PAA AND PAGP ANNUAL MEETINGS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1</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QUESTIONS AND ANSWERS ABOUT THE PAGP ANNUAL MEETING</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CORPORATE GOVERNANCE AND RELATED MATTERS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7</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PROPOSAL 1 – ELECTION OF CLASS III DIRECTORS</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EXECUTIVE OFFICERS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24</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EXECUTIVE COMPENSATION</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CCEEFF"/>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59</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EQUITY COMPENSATION PLAN INFORMATION TABLE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CERTAIN RELATIONSHIPS AND RELATED TRANSACTIONS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63</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REPORT OF THE AUDIT COMMITTEE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00EE"/>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PRINCIPAL ACCOUNTANT FEES AND SERVICES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68</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7760" w:type="dxa"/>
            <w:vAlign w:val="bottom"/>
            <w:tcBorders>
              <w:bottom w:val="single" w:sz="8" w:color="0000EE"/>
            </w:tcBorders>
            <w:gridSpan w:val="23"/>
            <w:shd w:val="clear" w:color="auto" w:fill="CCEEFF"/>
          </w:tcPr>
          <w:p>
            <w:pPr>
              <w:spacing w:after="0"/>
              <w:rPr>
                <w:sz w:val="20"/>
                <w:szCs w:val="20"/>
                <w:color w:val="auto"/>
              </w:rPr>
            </w:pPr>
            <w:r>
              <w:rPr>
                <w:rFonts w:ascii="Arial" w:cs="Arial" w:eastAsia="Arial" w:hAnsi="Arial"/>
                <w:sz w:val="18"/>
                <w:szCs w:val="18"/>
                <w:color w:val="0000EE"/>
                <w:w w:val="99"/>
              </w:rPr>
              <w:t>PROPOSAL 2 – RATIFICATION OF APPOINTMENT OF INDEPENDENT REGISTERED PUBLIC</w:t>
            </w:r>
          </w:p>
        </w:tc>
        <w:tc>
          <w:tcPr>
            <w:tcW w:w="44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0000EE"/>
              </w:rPr>
              <w:t>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ACCOUNTING FIRM</w:t>
            </w:r>
          </w:p>
        </w:tc>
        <w:tc>
          <w:tcPr>
            <w:tcW w:w="440" w:type="dxa"/>
            <w:vAlign w:val="bottom"/>
            <w:gridSpan w:val="3"/>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66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PROPOSAL 3 – ADVISORY VOTE TO APPROVE OUR 2023 NAMED EXECUTIVE</w:t>
            </w:r>
          </w:p>
        </w:tc>
        <w:tc>
          <w:tcPr>
            <w:tcW w:w="1080" w:type="dxa"/>
            <w:vAlign w:val="bottom"/>
            <w:gridSpan w:val="5"/>
          </w:tcPr>
          <w:p>
            <w:pPr>
              <w:spacing w:after="0"/>
              <w:rPr>
                <w:sz w:val="24"/>
                <w:szCs w:val="24"/>
                <w:color w:val="auto"/>
              </w:rPr>
            </w:pPr>
          </w:p>
        </w:tc>
        <w:tc>
          <w:tcPr>
            <w:tcW w:w="46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EE"/>
              </w:rPr>
              <w:t>70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580" w:type="dxa"/>
            <w:vAlign w:val="bottom"/>
            <w:gridSpan w:val="22"/>
          </w:tcPr>
          <w:p>
            <w:pPr>
              <w:spacing w:after="0" w:line="196" w:lineRule="exact"/>
              <w:rPr>
                <w:sz w:val="20"/>
                <w:szCs w:val="20"/>
                <w:color w:val="auto"/>
              </w:rPr>
            </w:pPr>
            <w:r>
              <w:rPr>
                <w:rFonts w:ascii="Arial" w:cs="Arial" w:eastAsia="Arial" w:hAnsi="Arial"/>
                <w:sz w:val="18"/>
                <w:szCs w:val="18"/>
                <w:color w:val="0000EE"/>
              </w:rPr>
              <w:t>OFFICER COMPENSATION</w:t>
            </w:r>
          </w:p>
        </w:tc>
        <w:tc>
          <w:tcPr>
            <w:tcW w:w="4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Pr>
          <w:p>
            <w:pPr>
              <w:spacing w:after="0"/>
              <w:rPr>
                <w:sz w:val="7"/>
                <w:szCs w:val="7"/>
                <w:color w:val="auto"/>
              </w:rPr>
            </w:pPr>
          </w:p>
        </w:tc>
        <w:tc>
          <w:tcPr>
            <w:tcW w:w="82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4"/>
        </w:trPr>
        <w:tc>
          <w:tcPr>
            <w:tcW w:w="77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PROPOSAL 4 – ADVISORY VOTE ON THE FREQUENCY OF FUTURE VOTES TO APPROVE</w:t>
            </w:r>
          </w:p>
        </w:tc>
        <w:tc>
          <w:tcPr>
            <w:tcW w:w="4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0000EE"/>
              </w:rPr>
              <w:t>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420" w:type="dxa"/>
            <w:vAlign w:val="bottom"/>
            <w:tcBorders>
              <w:top w:val="single" w:sz="8" w:color="0000EE"/>
            </w:tcBorders>
            <w:gridSpan w:val="21"/>
            <w:shd w:val="clear" w:color="auto" w:fill="CCEEFF"/>
          </w:tcPr>
          <w:p>
            <w:pPr>
              <w:spacing w:after="0" w:line="196" w:lineRule="exact"/>
              <w:rPr>
                <w:sz w:val="20"/>
                <w:szCs w:val="20"/>
                <w:color w:val="auto"/>
              </w:rPr>
            </w:pPr>
            <w:r>
              <w:rPr>
                <w:rFonts w:ascii="Arial" w:cs="Arial" w:eastAsia="Arial" w:hAnsi="Arial"/>
                <w:sz w:val="18"/>
                <w:szCs w:val="18"/>
                <w:color w:val="0000EE"/>
              </w:rPr>
              <w:t>OUR NAMED EXECUTIVE OFFICER COMPENSATION</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gridSpan w:val="3"/>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360" w:type="dxa"/>
            <w:vAlign w:val="bottom"/>
            <w:tcBorders>
              <w:top w:val="single" w:sz="8" w:color="0000EE"/>
            </w:tcBorders>
            <w:shd w:val="clear" w:color="auto" w:fill="CCEEFF"/>
          </w:tcPr>
          <w:p>
            <w:pPr>
              <w:spacing w:after="0"/>
              <w:rPr>
                <w:sz w:val="7"/>
                <w:szCs w:val="7"/>
                <w:color w:val="auto"/>
              </w:rPr>
            </w:pPr>
          </w:p>
        </w:tc>
        <w:tc>
          <w:tcPr>
            <w:tcW w:w="12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660" w:type="dxa"/>
            <w:vAlign w:val="bottom"/>
            <w:tcBorders>
              <w:top w:val="single" w:sz="8" w:color="0000EE"/>
            </w:tcBorders>
            <w:shd w:val="clear" w:color="auto" w:fill="CCEEFF"/>
          </w:tcPr>
          <w:p>
            <w:pPr>
              <w:spacing w:after="0"/>
              <w:rPr>
                <w:sz w:val="7"/>
                <w:szCs w:val="7"/>
                <w:color w:val="auto"/>
              </w:rPr>
            </w:pPr>
          </w:p>
        </w:tc>
        <w:tc>
          <w:tcPr>
            <w:tcW w:w="9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OTHER MATTERS FOR THE PAGP ANNUAL MEETING</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72</w:t>
            </w:r>
          </w:p>
        </w:tc>
        <w:tc>
          <w:tcPr>
            <w:tcW w:w="0" w:type="dxa"/>
            <w:vAlign w:val="bottom"/>
          </w:tcPr>
          <w:p>
            <w:pPr>
              <w:spacing w:after="0"/>
              <w:rPr>
                <w:sz w:val="1"/>
                <w:szCs w:val="1"/>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7300" w:type="dxa"/>
            <w:vAlign w:val="bottom"/>
            <w:tcBorders>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9"/>
              </w:rPr>
              <w:t>DIRECTOR NOMINATIONS AND SHAREHOLDER PROPOSALS FOR THE 2025 ANNUAL</w:t>
            </w:r>
          </w:p>
        </w:tc>
        <w:tc>
          <w:tcPr>
            <w:tcW w:w="460" w:type="dxa"/>
            <w:vAlign w:val="bottom"/>
            <w:tcBorders>
              <w:bottom w:val="single" w:sz="8" w:color="CCEEFF"/>
            </w:tcBorders>
            <w:gridSpan w:val="2"/>
            <w:shd w:val="clear" w:color="auto" w:fill="CCEEFF"/>
          </w:tcPr>
          <w:p>
            <w:pPr>
              <w:spacing w:after="0"/>
              <w:rPr>
                <w:sz w:val="24"/>
                <w:szCs w:val="24"/>
                <w:color w:val="auto"/>
              </w:rPr>
            </w:pPr>
          </w:p>
        </w:tc>
        <w:tc>
          <w:tcPr>
            <w:tcW w:w="44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0000EE"/>
              </w:rPr>
              <w:t>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758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0000EE"/>
              </w:rPr>
              <w:t>MEETING</w:t>
            </w:r>
          </w:p>
        </w:tc>
        <w:tc>
          <w:tcPr>
            <w:tcW w:w="440" w:type="dxa"/>
            <w:vAlign w:val="bottom"/>
            <w:gridSpan w:val="3"/>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180" w:type="dxa"/>
            <w:vAlign w:val="bottom"/>
            <w:tcBorders>
              <w:top w:val="single" w:sz="8" w:color="CCEEFF"/>
            </w:tcBorders>
            <w:shd w:val="clear" w:color="auto" w:fill="CCEEFF"/>
          </w:tcPr>
          <w:p>
            <w:pPr>
              <w:spacing w:after="0"/>
              <w:rPr>
                <w:sz w:val="7"/>
                <w:szCs w:val="7"/>
                <w:color w:val="auto"/>
              </w:rPr>
            </w:pPr>
          </w:p>
        </w:tc>
        <w:tc>
          <w:tcPr>
            <w:tcW w:w="82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9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9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7760" w:type="dxa"/>
            <w:vAlign w:val="bottom"/>
            <w:gridSpan w:val="23"/>
          </w:tcPr>
          <w:p>
            <w:pPr>
              <w:spacing w:after="0"/>
              <w:rPr>
                <w:sz w:val="20"/>
                <w:szCs w:val="20"/>
                <w:color w:val="auto"/>
              </w:rPr>
            </w:pPr>
            <w:r>
              <w:rPr>
                <w:rFonts w:ascii="Arial" w:cs="Arial" w:eastAsia="Arial" w:hAnsi="Arial"/>
                <w:sz w:val="18"/>
                <w:szCs w:val="18"/>
                <w:color w:val="0000EE"/>
              </w:rPr>
              <w:t>HOUSEHOLDING MATTERS</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0000EE"/>
              </w:rPr>
              <w:t>73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40"/>
        <w:spacing w:after="0"/>
        <w:rPr>
          <w:sz w:val="20"/>
          <w:szCs w:val="20"/>
          <w:color w:val="auto"/>
        </w:rPr>
      </w:pPr>
      <w:r>
        <w:rPr>
          <w:rFonts w:ascii="Arial" w:cs="Arial" w:eastAsia="Arial" w:hAnsi="Arial"/>
          <w:sz w:val="25"/>
          <w:szCs w:val="25"/>
          <w:b w:val="1"/>
          <w:bCs w:val="1"/>
          <w:color w:val="auto"/>
        </w:rPr>
        <w:t>PLAINS GP HOLDINGS, L.P.</w:t>
      </w:r>
    </w:p>
    <w:p>
      <w:pPr>
        <w:spacing w:after="0" w:line="222" w:lineRule="exact"/>
        <w:rPr>
          <w:sz w:val="20"/>
          <w:szCs w:val="20"/>
          <w:color w:val="auto"/>
        </w:rPr>
      </w:pPr>
    </w:p>
    <w:p>
      <w:pPr>
        <w:jc w:val="center"/>
        <w:ind w:right="-840"/>
        <w:spacing w:after="0"/>
        <w:rPr>
          <w:sz w:val="20"/>
          <w:szCs w:val="20"/>
          <w:color w:val="auto"/>
        </w:rPr>
      </w:pPr>
      <w:r>
        <w:rPr>
          <w:rFonts w:ascii="Arial" w:cs="Arial" w:eastAsia="Arial" w:hAnsi="Arial"/>
          <w:sz w:val="22"/>
          <w:szCs w:val="22"/>
          <w:b w:val="1"/>
          <w:bCs w:val="1"/>
          <w:color w:val="auto"/>
        </w:rPr>
        <w:t>PROXY STATEMENT</w:t>
      </w:r>
    </w:p>
    <w:p>
      <w:pPr>
        <w:spacing w:after="0" w:line="45"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For</w:t>
      </w:r>
    </w:p>
    <w:p>
      <w:pPr>
        <w:spacing w:after="0" w:line="2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2024 Annual Meeting of Shareholders To Be Held On May 22, 2024</w:t>
      </w:r>
    </w:p>
    <w:p>
      <w:pPr>
        <w:spacing w:after="0" w:line="20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GENERAL INFORMATION ABOUT THE PLAINS GP HOLDINGS, L.P.</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w:t>
      </w:r>
    </w:p>
    <w:p>
      <w:pPr>
        <w:spacing w:after="0" w:line="140"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The board of directors (the “Board”) of PAA GP Holdings LLC (“PAGP GP” or our “general partner”), is soliciting proxies to be voted on behalf of our Class A, Class B and Class C shareholders (collectively, our “Shareholders”) at the 2024 annual meeting of Shareholders (the “PAGP Annual Meeting”). This proxy statement is being furnished to you in connection with the solicitation of proxies by and on behalf of the Board for use at the PAGP Annual Meeting and includes information about the matters to be voted upon at the PAGP Annual Meeting. The PAGP Annual Meeting will be held on May 22, 2024,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References to “PAGP,” “we,” “us,” “our,” “ours” and similar terms refer to Plains GP Holdings, L.P.</w:t>
      </w:r>
    </w:p>
    <w:p>
      <w:pPr>
        <w:spacing w:after="0" w:line="113" w:lineRule="exact"/>
        <w:rPr>
          <w:sz w:val="20"/>
          <w:szCs w:val="20"/>
          <w:color w:val="auto"/>
        </w:rPr>
      </w:pPr>
    </w:p>
    <w:p>
      <w:pPr>
        <w:jc w:val="both"/>
        <w:ind w:left="1260" w:right="579" w:firstLine="360"/>
        <w:spacing w:after="0" w:line="268" w:lineRule="auto"/>
        <w:rPr>
          <w:sz w:val="20"/>
          <w:szCs w:val="20"/>
          <w:color w:val="auto"/>
        </w:rPr>
      </w:pPr>
      <w:r>
        <w:rPr>
          <w:rFonts w:ascii="Arial" w:cs="Arial" w:eastAsia="Arial" w:hAnsi="Arial"/>
          <w:sz w:val="18"/>
          <w:szCs w:val="18"/>
          <w:color w:val="auto"/>
        </w:rPr>
        <w:t>Proxy materials, including the Notice of Annual Meeting, this proxy statement, proxy card and our Annual Report on Form 10-K for the year ended December 31, 2023 (our “2023 Annual Report”), are being mailed to Shareholders beginning on or about April 12, 2024.</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b w:val="1"/>
          <w:bCs w:val="1"/>
          <w:color w:val="auto"/>
        </w:rPr>
        <w:t>We will furnish additional copies of our 2023 Annual Report without charge upon the written request of any record or beneficial owner of our Class A, Class B or Class C shares whose proxy we are soliciting in connection with the PAGP Annual Meeting. Please address requests for additional copies of the 2023 Annual Report to the Investor Relations Department, Plains All American, 333 Clay Street, Suite 1600, Houston, Texas 77002, or email your request to plainsIR@plains.com.</w:t>
      </w:r>
    </w:p>
    <w:p>
      <w:pPr>
        <w:spacing w:after="0" w:line="172"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INFORMATION ABOUT THE PAA AND PAGP ANNUAL MEETINGS</w:t>
      </w:r>
    </w:p>
    <w:p>
      <w:pPr>
        <w:spacing w:after="0" w:line="15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At the PAGP Annual Meeting, our Class A, Class B and Class C shareholders will be asked to consider and vote upon proposals 1, 2, 3 and 4 described below. Each Shareholder will be entitled to one vote for each Class A, Class B and Class C share owned for Proposals 1, 2, 3 and 4. Plains All American Pipeline, L.P. (“PAA”) owns all of the issued and outstanding Class C shares, which serve as a pass-through voting mechanism allowing eligible PAA unitholders to vote indirectly at the PAGP Annual Meeting by instructing PAA how to vote the Class C shares on their behalf.</w:t>
      </w:r>
    </w:p>
    <w:p>
      <w:pPr>
        <w:spacing w:after="0" w:line="101"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In order to obtain voting instructions from its eligible unitholders, PAA will hold an annual meeting (the “PAA Annual Meeting”) immediately prior to the PAGP Annual Meeting. At the PAA Annual Meeting, PAA unitholders (other than Plains AAP, L.P. (“Plains AAP”)) will vote on a pass-through basis on proposals 1, 2, 3 and 4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3 and 4.</w:t>
      </w:r>
    </w:p>
    <w:p>
      <w:pPr>
        <w:spacing w:after="0" w:line="1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pages 9-11 for additional information with respect to our ownership and voting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QUESTIONS AND ANSWERS ABOUT THE PAGP ANNUAL MEETING</w:t>
      </w:r>
    </w:p>
    <w:p>
      <w:pPr>
        <w:spacing w:after="0" w:line="158"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The following questions and answers are intended to briefly address some commonly asked questions regarding the PAGP Annual Meeting. These questions and answers may not address all questions that may be important to you as a Shareholder. Please refer to the additional information contained elsewhere in this proxy statement and the documents referred to in this proxy statement.</w:t>
      </w:r>
    </w:p>
    <w:p>
      <w:pPr>
        <w:spacing w:after="0" w:line="15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purpose of these proxy materials?</w:t>
      </w:r>
    </w:p>
    <w:p>
      <w:pPr>
        <w:spacing w:after="0" w:line="144" w:lineRule="exact"/>
        <w:rPr>
          <w:sz w:val="20"/>
          <w:szCs w:val="20"/>
          <w:color w:val="auto"/>
        </w:rPr>
      </w:pPr>
    </w:p>
    <w:p>
      <w:pPr>
        <w:ind w:left="1620" w:right="519" w:hanging="360"/>
        <w:spacing w:after="0" w:line="254"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Board is soliciting your proxy to vote at the PAGP Annual Meeting because you were a Shareholder at the close of business on March 25, 2024, the record date for the PAGP Annual Meeting (the “Record Date”), and you are therefore entitled to receive notice regarding the PAGP Annual Meeting, and to attend and vote at the PAGP Annual Meeting. This proxy statement summarizes the information that you need to know in order to cast your vote at the PAGP Annual Meeting. Your vote is very important and the Board strongly encourages you to exercise your right to vote. You do not need to attend the PAGP Annual Meeting to vote your shares, and we encourage you to vote even if you are unable to attend the PAGP Annual Meeting in person. You may vote by Internet, by telephone or by signing and returning the attached proxy card in the envelope provided. See “How do I vote?” below.</w:t>
      </w:r>
    </w:p>
    <w:p>
      <w:pPr>
        <w:spacing w:after="0" w:line="18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the recommendation of the Board?</w:t>
      </w:r>
    </w:p>
    <w:p>
      <w:pPr>
        <w:spacing w:after="0" w:line="131" w:lineRule="exact"/>
        <w:rPr>
          <w:sz w:val="20"/>
          <w:szCs w:val="20"/>
          <w:color w:val="auto"/>
        </w:rPr>
      </w:pPr>
    </w:p>
    <w:p>
      <w:pPr>
        <w:ind w:left="1620" w:hanging="36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Board unanimously recommends that you vote in the following manner:</w:t>
      </w:r>
    </w:p>
    <w:p>
      <w:pPr>
        <w:spacing w:after="0" w:line="117" w:lineRule="exact"/>
        <w:rPr>
          <w:rFonts w:ascii="Arial" w:cs="Arial" w:eastAsia="Arial" w:hAnsi="Arial"/>
          <w:sz w:val="18"/>
          <w:szCs w:val="18"/>
          <w:color w:val="auto"/>
        </w:rPr>
      </w:pPr>
    </w:p>
    <w:p>
      <w:pPr>
        <w:ind w:left="1800" w:right="41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Greg Armstrong, John Raymond and Bobby Shackouls as a Class III</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the Board to serve until the 2027 annual meeting;</w:t>
      </w:r>
    </w:p>
    <w:p>
      <w:pPr>
        <w:spacing w:after="0" w:line="31" w:lineRule="exact"/>
        <w:rPr>
          <w:rFonts w:ascii="Arial" w:cs="Arial" w:eastAsia="Arial" w:hAnsi="Arial"/>
          <w:sz w:val="18"/>
          <w:szCs w:val="18"/>
          <w:color w:val="auto"/>
        </w:rPr>
      </w:pPr>
    </w:p>
    <w:p>
      <w:pPr>
        <w:ind w:left="1800" w:right="459" w:hanging="180"/>
        <w:spacing w:after="0" w:line="268"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PricewaterhouseCoopers LLP as our and Plains All</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Pipeline, L.P.’s independent registered public accounting firm for the fiscal year ending December 31, 2024;</w:t>
      </w:r>
    </w:p>
    <w:p>
      <w:pPr>
        <w:spacing w:after="0" w:line="49"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our 2023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w:t>
      </w:r>
    </w:p>
    <w:p>
      <w:pPr>
        <w:spacing w:after="0" w:line="31" w:lineRule="exact"/>
        <w:rPr>
          <w:rFonts w:ascii="Arial" w:cs="Arial" w:eastAsia="Arial" w:hAnsi="Arial"/>
          <w:sz w:val="18"/>
          <w:szCs w:val="18"/>
          <w:color w:val="auto"/>
        </w:rPr>
      </w:pPr>
    </w:p>
    <w:p>
      <w:pPr>
        <w:ind w:left="1800" w:right="819" w:hanging="180"/>
        <w:spacing w:after="0" w:line="287" w:lineRule="auto"/>
        <w:tabs>
          <w:tab w:leader="none" w:pos="180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“ONE YEAR” </w:t>
      </w:r>
      <w:r>
        <w:rPr>
          <w:rFonts w:ascii="Arial" w:cs="Arial" w:eastAsia="Arial" w:hAnsi="Arial"/>
          <w:sz w:val="18"/>
          <w:szCs w:val="18"/>
          <w:color w:val="auto"/>
        </w:rPr>
        <w:t>as the frequency with which future advisory votes to approve 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compensation should be held</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When and where is the PAGP Annual Meeting?</w:t>
      </w:r>
    </w:p>
    <w:p>
      <w:pPr>
        <w:spacing w:after="0" w:line="144" w:lineRule="exact"/>
        <w:rPr>
          <w:sz w:val="20"/>
          <w:szCs w:val="20"/>
          <w:color w:val="auto"/>
        </w:rPr>
      </w:pPr>
    </w:p>
    <w:p>
      <w:pPr>
        <w:ind w:left="1620" w:right="459" w:hanging="360"/>
        <w:spacing w:after="0" w:line="244"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PAGP Annual Meeting will be held on May 22, 2024, at 10:30 a.m. Central Time, in the Texas Room located on the 19</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of Three Allen Center, 333 Clay Street, Houston, Texas 77002. Only Shareholders of record as of the close of business on March 25, 2024 are entitled to vote and ask questions at the PAGP Annual Meeting. If you are not a Shareholder of record but hold shares in “street name” through a brokerage firm, bank, dealer or other similar organization, trustee, or nominee (generally referred to in this proxy statement as a “broker”), you may attend the PAGP Annual Meeting as a guest. Please note that if you hold shares in “street name” through a broker and desire to vote your shares or ask questions during the PAGP Annual Meeting, you must request and obtain a valid “legal proxy” from your broker and register to attend the PAGP Annual Meeting as a Shareholder with Equiniti Trust Company, LLC (“EQ”).</w:t>
      </w:r>
    </w:p>
    <w:p>
      <w:pPr>
        <w:spacing w:after="0" w:line="110" w:lineRule="exact"/>
        <w:rPr>
          <w:rFonts w:ascii="Arial" w:cs="Arial" w:eastAsia="Arial" w:hAnsi="Arial"/>
          <w:sz w:val="18"/>
          <w:szCs w:val="18"/>
          <w:color w:val="auto"/>
        </w:rPr>
      </w:pPr>
    </w:p>
    <w:p>
      <w:pPr>
        <w:ind w:left="1620" w:right="819"/>
        <w:spacing w:after="0" w:line="287" w:lineRule="auto"/>
        <w:rPr>
          <w:rFonts w:ascii="Arial" w:cs="Arial" w:eastAsia="Arial" w:hAnsi="Arial"/>
          <w:sz w:val="18"/>
          <w:szCs w:val="18"/>
          <w:color w:val="auto"/>
        </w:rPr>
      </w:pPr>
      <w:r>
        <w:rPr>
          <w:rFonts w:ascii="Arial" w:cs="Arial" w:eastAsia="Arial" w:hAnsi="Arial"/>
          <w:sz w:val="18"/>
          <w:szCs w:val="18"/>
          <w:color w:val="auto"/>
        </w:rPr>
        <w:t>Information on who can vote and ask questions during the PAGP Annual Meeting is discussed immediately below.</w:t>
      </w:r>
    </w:p>
    <w:p>
      <w:pPr>
        <w:spacing w:after="0" w:line="13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can vote and ask questions at the PAGP Annual Meeting?</w:t>
      </w:r>
    </w:p>
    <w:p>
      <w:pPr>
        <w:spacing w:after="0" w:line="144" w:lineRule="exact"/>
        <w:rPr>
          <w:sz w:val="20"/>
          <w:szCs w:val="20"/>
          <w:color w:val="auto"/>
        </w:rPr>
      </w:pPr>
    </w:p>
    <w:p>
      <w:pPr>
        <w:ind w:left="1620" w:right="539" w:hanging="360"/>
        <w:spacing w:after="0" w:line="26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entitled to vote and ask questions at the PAGP Annual Meeting if you were a Shareholder of record as of the close of business on March 25, 2024, the Record Date for the PAGP Annual Meeting.</w:t>
      </w:r>
    </w:p>
    <w:p>
      <w:pPr>
        <w:spacing w:after="0" w:line="89" w:lineRule="exact"/>
        <w:rPr>
          <w:rFonts w:ascii="Arial" w:cs="Arial" w:eastAsia="Arial" w:hAnsi="Arial"/>
          <w:sz w:val="18"/>
          <w:szCs w:val="18"/>
          <w:color w:val="auto"/>
        </w:rPr>
      </w:pPr>
    </w:p>
    <w:p>
      <w:pPr>
        <w:jc w:val="both"/>
        <w:ind w:left="1620" w:right="539"/>
        <w:spacing w:after="0" w:line="318" w:lineRule="auto"/>
        <w:rPr>
          <w:rFonts w:ascii="Arial" w:cs="Arial" w:eastAsia="Arial" w:hAnsi="Arial"/>
          <w:sz w:val="18"/>
          <w:szCs w:val="18"/>
          <w:color w:val="auto"/>
        </w:rPr>
      </w:pPr>
      <w:r>
        <w:rPr>
          <w:rFonts w:ascii="Arial" w:cs="Arial" w:eastAsia="Arial" w:hAnsi="Arial"/>
          <w:sz w:val="17"/>
          <w:szCs w:val="17"/>
          <w:i w:val="1"/>
          <w:iCs w:val="1"/>
          <w:color w:val="auto"/>
        </w:rPr>
        <w:t xml:space="preserve">Shareholder of Record: Shares Registered in Your Name. </w:t>
      </w:r>
      <w:r>
        <w:rPr>
          <w:rFonts w:ascii="Arial" w:cs="Arial" w:eastAsia="Arial" w:hAnsi="Arial"/>
          <w:sz w:val="17"/>
          <w:szCs w:val="17"/>
          <w:color w:val="auto"/>
        </w:rPr>
        <w:t>You are a Shareholder of record if your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were registered directly in your name with our transfer agent, EQ, at the close of business</w:t>
      </w:r>
    </w:p>
    <w:p>
      <w:pPr>
        <w:sectPr>
          <w:pgSz w:w="11900" w:h="16838" w:orient="portrait"/>
          <w:cols w:equalWidth="0" w:num="1">
            <w:col w:w="9879"/>
          </w:cols>
          <w:pgMar w:left="580" w:top="97" w:right="1440" w:bottom="1440" w:gutter="0" w:footer="0" w:header="0"/>
        </w:sectPr>
      </w:pP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99"/>
        <w:spacing w:after="0" w:line="255" w:lineRule="auto"/>
        <w:rPr>
          <w:sz w:val="20"/>
          <w:szCs w:val="20"/>
          <w:color w:val="auto"/>
        </w:rPr>
      </w:pPr>
      <w:r>
        <w:rPr>
          <w:rFonts w:ascii="Arial" w:cs="Arial" w:eastAsia="Arial" w:hAnsi="Arial"/>
          <w:sz w:val="18"/>
          <w:szCs w:val="18"/>
          <w:color w:val="auto"/>
        </w:rPr>
        <w:t xml:space="preserve">on March 25, 2024. As a Shareholder of record, you may vote and ask questions during the PAGP Annual Meeting. Whether or not you plan to attend the PAGP Annual Meeting, we urge you to submit a proxy to ensure your vote is counted. </w:t>
      </w:r>
      <w:r>
        <w:rPr>
          <w:rFonts w:ascii="Arial" w:cs="Arial" w:eastAsia="Arial" w:hAnsi="Arial"/>
          <w:sz w:val="18"/>
          <w:szCs w:val="18"/>
          <w:b w:val="1"/>
          <w:bCs w:val="1"/>
          <w:i w:val="1"/>
          <w:iCs w:val="1"/>
          <w:color w:val="auto"/>
        </w:rPr>
        <w:t>See below for detailed instructions on how to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vote your shares.</w:t>
      </w:r>
    </w:p>
    <w:p>
      <w:pPr>
        <w:spacing w:after="0" w:line="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Beneficial Owner: Shares Registered in the Name of Broker. </w:t>
      </w:r>
      <w:r>
        <w:rPr>
          <w:rFonts w:ascii="Arial" w:cs="Arial" w:eastAsia="Arial" w:hAnsi="Arial"/>
          <w:sz w:val="18"/>
          <w:szCs w:val="18"/>
          <w:color w:val="auto"/>
        </w:rPr>
        <w:t>If your shares were held in an</w:t>
      </w:r>
    </w:p>
    <w:p>
      <w:pPr>
        <w:spacing w:after="0" w:line="27" w:lineRule="exact"/>
        <w:rPr>
          <w:sz w:val="20"/>
          <w:szCs w:val="20"/>
          <w:color w:val="auto"/>
        </w:rPr>
      </w:pPr>
    </w:p>
    <w:p>
      <w:pPr>
        <w:ind w:left="1620" w:right="519"/>
        <w:spacing w:after="0" w:line="256" w:lineRule="auto"/>
        <w:rPr>
          <w:sz w:val="20"/>
          <w:szCs w:val="20"/>
          <w:color w:val="auto"/>
        </w:rPr>
      </w:pPr>
      <w:r>
        <w:rPr>
          <w:rFonts w:ascii="Arial" w:cs="Arial" w:eastAsia="Arial" w:hAnsi="Arial"/>
          <w:sz w:val="17"/>
          <w:szCs w:val="17"/>
          <w:color w:val="auto"/>
        </w:rPr>
        <w:t>account at a broker at the close of business on March 25, 2024, then you are the beneficial owner of shares held in “street name” and the broker holding your account is considered to be the Shareholder of record for purposes of voting at the PAGP Annual Meeting. As a beneficial owner, you have the right to direct your broker regarding how to vote the shares in your account. You are also invited to attend the PAGP Annual Meeting as a guest. Because you are not the Shareholder of record, you may not vote your shares or ask questions at the PAGP Annual Meeting unless you request and obtain a valid legal proxy from the organization that holds your shares giving you the right to vote the shares and ask questions at the PAGP Annual Meeting. Follow the instructions provided by your broker or bank, or contact your broker or bank to request a legal proxy form.</w:t>
      </w:r>
    </w:p>
    <w:p>
      <w:pPr>
        <w:spacing w:after="0" w:line="103" w:lineRule="exact"/>
        <w:rPr>
          <w:sz w:val="20"/>
          <w:szCs w:val="20"/>
          <w:color w:val="auto"/>
        </w:rPr>
      </w:pPr>
    </w:p>
    <w:p>
      <w:pPr>
        <w:ind w:left="1620" w:right="439"/>
        <w:spacing w:after="0" w:line="251" w:lineRule="auto"/>
        <w:rPr>
          <w:sz w:val="20"/>
          <w:szCs w:val="20"/>
          <w:color w:val="auto"/>
        </w:rPr>
      </w:pPr>
      <w:r>
        <w:rPr>
          <w:rFonts w:ascii="Arial" w:cs="Arial" w:eastAsia="Arial" w:hAnsi="Arial"/>
          <w:sz w:val="18"/>
          <w:szCs w:val="18"/>
          <w:color w:val="auto"/>
        </w:rPr>
        <w:t>After obtaining a valid legal proxy from your broker, bank or other agent, in order to vote and ask questions at the PAGP Annual Meeting, you must register to attend the PAGP Annual Meeting as a Shareholder by submitting to EQ proof of your legal proxy reflecting the number of your shares along with your name and email address. Requests for registration should be directed to proxy@equiniti.com or to facsimile number 718-765-8730. Written requests can be mailed to:</w:t>
      </w:r>
    </w:p>
    <w:p>
      <w:pPr>
        <w:spacing w:after="0" w:line="106"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Equiniti Trust Company, LLC</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Attn: Proxy Tabulation Department</w:t>
      </w:r>
    </w:p>
    <w:p>
      <w:pPr>
        <w:jc w:val="center"/>
        <w:ind w:right="-840"/>
        <w:spacing w:after="0"/>
        <w:rPr>
          <w:sz w:val="20"/>
          <w:szCs w:val="20"/>
          <w:color w:val="auto"/>
        </w:rPr>
      </w:pPr>
      <w:r>
        <w:rPr>
          <w:rFonts w:ascii="Arial" w:cs="Arial" w:eastAsia="Arial" w:hAnsi="Arial"/>
          <w:sz w:val="18"/>
          <w:szCs w:val="18"/>
          <w:color w:val="auto"/>
        </w:rPr>
        <w:t>55 Challenger Road, Suite 200B | Ridgefield Park, NJ 07660</w:t>
      </w:r>
    </w:p>
    <w:p>
      <w:pPr>
        <w:spacing w:after="0" w:line="126" w:lineRule="exact"/>
        <w:rPr>
          <w:sz w:val="20"/>
          <w:szCs w:val="20"/>
          <w:color w:val="auto"/>
        </w:rPr>
      </w:pPr>
    </w:p>
    <w:p>
      <w:pPr>
        <w:ind w:left="1620" w:right="439"/>
        <w:spacing w:after="0" w:line="271" w:lineRule="auto"/>
        <w:rPr>
          <w:sz w:val="20"/>
          <w:szCs w:val="20"/>
          <w:color w:val="auto"/>
        </w:rPr>
      </w:pPr>
      <w:r>
        <w:rPr>
          <w:rFonts w:ascii="Arial" w:cs="Arial" w:eastAsia="Arial" w:hAnsi="Arial"/>
          <w:sz w:val="18"/>
          <w:szCs w:val="18"/>
          <w:color w:val="auto"/>
        </w:rPr>
        <w:t>Requests for registration must be labeled as “Legal Proxy” and be received no later than 5:00 p.m., Eastern Time, on May 15, 2024.</w:t>
      </w:r>
    </w:p>
    <w:p>
      <w:pPr>
        <w:spacing w:after="0" w:line="86" w:lineRule="exact"/>
        <w:rPr>
          <w:sz w:val="20"/>
          <w:szCs w:val="20"/>
          <w:color w:val="auto"/>
        </w:rPr>
      </w:pPr>
    </w:p>
    <w:p>
      <w:pPr>
        <w:ind w:left="1620" w:right="539"/>
        <w:spacing w:after="0" w:line="261" w:lineRule="auto"/>
        <w:rPr>
          <w:sz w:val="20"/>
          <w:szCs w:val="20"/>
          <w:color w:val="auto"/>
        </w:rPr>
      </w:pPr>
      <w:r>
        <w:rPr>
          <w:rFonts w:ascii="Arial" w:cs="Arial" w:eastAsia="Arial" w:hAnsi="Arial"/>
          <w:sz w:val="18"/>
          <w:szCs w:val="18"/>
          <w:color w:val="auto"/>
        </w:rPr>
        <w:t>You will receive a confirmation of your registration by email after we receive your registration materials. Once registered, you may attend the PAGP Annual Meeting, submit questions and vote your shares during the meeting.</w:t>
      </w:r>
    </w:p>
    <w:p>
      <w:pPr>
        <w:spacing w:after="0" w:line="16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soliciting my proxy?</w:t>
      </w:r>
    </w:p>
    <w:p>
      <w:pPr>
        <w:spacing w:after="0" w:line="158" w:lineRule="exact"/>
        <w:rPr>
          <w:sz w:val="20"/>
          <w:szCs w:val="20"/>
          <w:color w:val="auto"/>
        </w:rPr>
      </w:pPr>
    </w:p>
    <w:p>
      <w:pPr>
        <w:ind w:left="1620" w:right="499" w:hanging="360"/>
        <w:spacing w:after="0" w:line="28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Board is sending or otherwise providing you access to this proxy statement in connection with its solicitation of proxies for use at the PAGP Annual Meeting.</w:t>
      </w:r>
    </w:p>
    <w:p>
      <w:pPr>
        <w:spacing w:after="0" w:line="139" w:lineRule="exact"/>
        <w:rPr>
          <w:sz w:val="20"/>
          <w:szCs w:val="20"/>
          <w:color w:val="auto"/>
        </w:rPr>
      </w:pPr>
    </w:p>
    <w:p>
      <w:pPr>
        <w:ind w:left="1620" w:right="879" w:hanging="360"/>
        <w:spacing w:after="0" w:line="296" w:lineRule="auto"/>
        <w:tabs>
          <w:tab w:leader="none" w:pos="1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will I have, and what is the total number of units entitled to vote at the PAGP Annual Meeting?</w:t>
      </w:r>
    </w:p>
    <w:p>
      <w:pPr>
        <w:spacing w:after="0" w:line="70" w:lineRule="exact"/>
        <w:rPr>
          <w:sz w:val="20"/>
          <w:szCs w:val="20"/>
          <w:color w:val="auto"/>
        </w:rPr>
      </w:pPr>
    </w:p>
    <w:p>
      <w:pPr>
        <w:ind w:left="1620" w:right="519" w:hanging="360"/>
        <w:spacing w:after="0" w:line="25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Shareholder is entitled to one vote for each Class A, Class B and Class C share owned for proposals 1, 2, 3 and 4. As of March 25, 2024, 197,252,259 Class A shares, 35,401,669 Class B shares and 539,507,571 Class C shares were issued and outstanding and entitled to vote. PAA owns all of the issued and outstanding Class C shares and will vote such shares on a “pass-through” basis on proposals 1, 2, 3 and 4 at the PAGP Annual Meeting on behalf of and according to the direction of its eligible unitholders as determined at the PAA Annual Meeting.</w:t>
      </w:r>
    </w:p>
    <w:p>
      <w:pPr>
        <w:spacing w:after="0" w:line="169"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do I vote?</w:t>
      </w:r>
    </w:p>
    <w:p>
      <w:pPr>
        <w:spacing w:after="0" w:line="158" w:lineRule="exact"/>
        <w:rPr>
          <w:sz w:val="20"/>
          <w:szCs w:val="20"/>
          <w:color w:val="auto"/>
        </w:rPr>
      </w:pPr>
    </w:p>
    <w:p>
      <w:pPr>
        <w:ind w:left="1620" w:right="499" w:hanging="360"/>
        <w:spacing w:after="0" w:line="28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Shareholder of record at the close of business on the Record Date, you may vote your shares by any of the following methods:</w:t>
      </w:r>
    </w:p>
    <w:p>
      <w:pPr>
        <w:spacing w:after="0" w:line="44" w:lineRule="exact"/>
        <w:rPr>
          <w:rFonts w:ascii="Arial" w:cs="Arial" w:eastAsia="Arial" w:hAnsi="Arial"/>
          <w:sz w:val="18"/>
          <w:szCs w:val="18"/>
          <w:color w:val="auto"/>
        </w:rPr>
      </w:pPr>
    </w:p>
    <w:p>
      <w:pPr>
        <w:ind w:left="1800" w:right="599" w:hanging="180"/>
        <w:spacing w:after="0" w:line="262" w:lineRule="auto"/>
        <w:tabs>
          <w:tab w:leader="none" w:pos="180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Voting online before the meeting. </w:t>
      </w:r>
      <w:r>
        <w:rPr>
          <w:rFonts w:ascii="Arial" w:cs="Arial" w:eastAsia="Arial" w:hAnsi="Arial"/>
          <w:sz w:val="18"/>
          <w:szCs w:val="18"/>
          <w:color w:val="auto"/>
        </w:rPr>
        <w:t>You may vote online by visiting the Internet address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card. Internet voting procedures have been established to verify your identity and to confirm your voting instructions. Please have your proxy card available when you visit the Internet address.</w:t>
      </w:r>
    </w:p>
    <w:p>
      <w:pPr>
        <w:spacing w:after="0" w:line="54" w:lineRule="exact"/>
        <w:rPr>
          <w:rFonts w:ascii="Arial" w:cs="Arial" w:eastAsia="Arial" w:hAnsi="Arial"/>
          <w:sz w:val="18"/>
          <w:szCs w:val="18"/>
          <w:color w:val="auto"/>
        </w:rPr>
      </w:pPr>
    </w:p>
    <w:p>
      <w:pPr>
        <w:ind w:left="1800" w:right="559" w:hanging="180"/>
        <w:spacing w:after="0" w:line="318" w:lineRule="auto"/>
        <w:tabs>
          <w:tab w:leader="none" w:pos="1800"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Voting by telephone before the meeting. </w:t>
      </w:r>
      <w:r>
        <w:rPr>
          <w:rFonts w:ascii="Arial" w:cs="Arial" w:eastAsia="Arial" w:hAnsi="Arial"/>
          <w:sz w:val="17"/>
          <w:szCs w:val="17"/>
          <w:color w:val="auto"/>
        </w:rPr>
        <w:t>You may vote by telephone by calling the toll-free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listed on your proxy card. Telephone voting procedures have been established to verify</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799"/>
        <w:spacing w:after="0" w:line="318" w:lineRule="auto"/>
        <w:rPr>
          <w:sz w:val="20"/>
          <w:szCs w:val="20"/>
          <w:color w:val="auto"/>
        </w:rPr>
      </w:pPr>
      <w:r>
        <w:rPr>
          <w:rFonts w:ascii="Arial" w:cs="Arial" w:eastAsia="Arial" w:hAnsi="Arial"/>
          <w:sz w:val="17"/>
          <w:szCs w:val="17"/>
          <w:color w:val="auto"/>
        </w:rPr>
        <w:t>your identity, to allow you to provide proxy voting instructions and to confirm that your instructions were accurately recorded. Please have your proxy card available when you call.</w:t>
      </w:r>
    </w:p>
    <w:p>
      <w:pPr>
        <w:spacing w:after="0" w:line="8" w:lineRule="exact"/>
        <w:rPr>
          <w:sz w:val="20"/>
          <w:szCs w:val="20"/>
          <w:color w:val="auto"/>
        </w:rPr>
      </w:pPr>
    </w:p>
    <w:p>
      <w:pPr>
        <w:ind w:left="1800" w:right="459" w:hanging="180"/>
        <w:spacing w:after="0" w:line="262"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before the meeting. </w:t>
      </w:r>
      <w:r>
        <w:rPr>
          <w:rFonts w:ascii="Arial" w:cs="Arial" w:eastAsia="Arial" w:hAnsi="Arial"/>
          <w:sz w:val="18"/>
          <w:szCs w:val="18"/>
          <w:color w:val="auto"/>
        </w:rPr>
        <w:t>You may vote by mail by returning your completed, signed</w:t>
      </w:r>
      <w:r>
        <w:rPr>
          <w:rFonts w:ascii="Arial" w:cs="Arial" w:eastAsia="Arial" w:hAnsi="Arial"/>
          <w:sz w:val="18"/>
          <w:szCs w:val="18"/>
          <w:i w:val="1"/>
          <w:iCs w:val="1"/>
          <w:color w:val="auto"/>
        </w:rPr>
        <w:t xml:space="preserve"> </w:t>
      </w:r>
      <w:r>
        <w:rPr>
          <w:rFonts w:ascii="Arial" w:cs="Arial" w:eastAsia="Arial" w:hAnsi="Arial"/>
          <w:sz w:val="18"/>
          <w:szCs w:val="18"/>
          <w:color w:val="auto"/>
        </w:rPr>
        <w:t>and dated proxy card in the enclosed postage-paid return envelope. However, in order to ensure that your vote is received in a timely manner, we recommend that you vote online or by telephone as described above.</w:t>
      </w:r>
    </w:p>
    <w:p>
      <w:pPr>
        <w:spacing w:after="0" w:line="68" w:lineRule="exact"/>
        <w:rPr>
          <w:rFonts w:ascii="Arial" w:cs="Arial" w:eastAsia="Arial" w:hAnsi="Arial"/>
          <w:sz w:val="18"/>
          <w:szCs w:val="18"/>
          <w:color w:val="auto"/>
        </w:rPr>
      </w:pPr>
    </w:p>
    <w:p>
      <w:pPr>
        <w:ind w:left="1800" w:right="419" w:hanging="180"/>
        <w:spacing w:after="0" w:line="255"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Voting during the meeting</w:t>
      </w:r>
      <w:r>
        <w:rPr>
          <w:rFonts w:ascii="Arial" w:cs="Arial" w:eastAsia="Arial" w:hAnsi="Arial"/>
          <w:sz w:val="18"/>
          <w:szCs w:val="18"/>
          <w:color w:val="auto"/>
        </w:rPr>
        <w:t>. If you were a Shareholder of record as of the close of business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Record Date, you may attend the PAGP Annual Meeting, ask questions and vote during the meeting. If you are a beneficial owner of shares held in street name, you must be registered to attend the PAGP Annual Meeting as a Shareholder and must have a valid legal proxy in order to ask questions and vote during the meeting. Please read the “Beneficial Owner: Shares Registered in the Name of Broker” answer under the question “Who can vote and ask questions at the PAGP Annual Meeting?” above for instructions on how to register to attend the PAGP Annual Meeting and obtain a legal proxy.</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Internet and telephone voting will be available to eligible Shareholders 24 hours a day until</w:t>
      </w:r>
    </w:p>
    <w:p>
      <w:pPr>
        <w:spacing w:after="0" w:line="27" w:lineRule="exact"/>
        <w:rPr>
          <w:sz w:val="20"/>
          <w:szCs w:val="20"/>
          <w:color w:val="auto"/>
        </w:rPr>
      </w:pPr>
    </w:p>
    <w:p>
      <w:pPr>
        <w:jc w:val="both"/>
        <w:ind w:left="1620" w:right="499"/>
        <w:spacing w:after="0" w:line="245" w:lineRule="auto"/>
        <w:rPr>
          <w:sz w:val="20"/>
          <w:szCs w:val="20"/>
          <w:color w:val="auto"/>
        </w:rPr>
      </w:pPr>
      <w:r>
        <w:rPr>
          <w:rFonts w:ascii="Arial" w:cs="Arial" w:eastAsia="Arial" w:hAnsi="Arial"/>
          <w:sz w:val="18"/>
          <w:szCs w:val="18"/>
          <w:color w:val="auto"/>
        </w:rPr>
        <w:t>11:59 p.m. Eastern Time on May 21, 2024, the night before the PAGP Annual Meeting. If you use the Internet or the toll-free telephone number to provide your proxy voting instructions, you do not need to mail in your proxy card. If you mail in your proxy card, it must be received by PAGP before the voting polls close at the PAGP Annual Meeting.</w:t>
      </w:r>
    </w:p>
    <w:p>
      <w:pPr>
        <w:spacing w:after="0" w:line="109" w:lineRule="exact"/>
        <w:rPr>
          <w:sz w:val="20"/>
          <w:szCs w:val="20"/>
          <w:color w:val="auto"/>
        </w:rPr>
      </w:pPr>
    </w:p>
    <w:p>
      <w:pPr>
        <w:ind w:left="1620" w:right="479"/>
        <w:spacing w:after="0" w:line="252" w:lineRule="auto"/>
        <w:rPr>
          <w:sz w:val="20"/>
          <w:szCs w:val="20"/>
          <w:color w:val="auto"/>
        </w:rPr>
      </w:pPr>
      <w:r>
        <w:rPr>
          <w:rFonts w:ascii="Arial" w:cs="Arial" w:eastAsia="Arial" w:hAnsi="Arial"/>
          <w:sz w:val="18"/>
          <w:szCs w:val="18"/>
          <w:color w:val="auto"/>
        </w:rPr>
        <w:t>Even if you plan to attend the PAGP Annual Meeting, please vote your shares by proxy in advance of the PAGP Annual Meeting (either online, by telephone or by mail as described above) as soon as possible so that your shares will be represented at the PAGP Annual Meeting if for any reason you are unable to attend.</w:t>
      </w:r>
    </w:p>
    <w:p>
      <w:pPr>
        <w:spacing w:after="0" w:line="17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do I do if I want to change my vote after I have already voted by proxy?</w:t>
      </w:r>
    </w:p>
    <w:p>
      <w:pPr>
        <w:spacing w:after="0" w:line="144" w:lineRule="exact"/>
        <w:rPr>
          <w:sz w:val="20"/>
          <w:szCs w:val="20"/>
          <w:color w:val="auto"/>
        </w:rPr>
      </w:pPr>
    </w:p>
    <w:p>
      <w:pPr>
        <w:ind w:left="1620" w:right="919" w:hanging="360"/>
        <w:spacing w:after="0" w:line="318" w:lineRule="auto"/>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you were a Shareholder of record as of the close of business on the Record Date, you may change your vote at any time before the voting polls close at the PAGP Annual Meeting by:</w:t>
      </w:r>
    </w:p>
    <w:p>
      <w:pPr>
        <w:spacing w:after="0" w:line="21" w:lineRule="exact"/>
        <w:rPr>
          <w:rFonts w:ascii="Arial" w:cs="Arial" w:eastAsia="Arial" w:hAnsi="Arial"/>
          <w:sz w:val="17"/>
          <w:szCs w:val="17"/>
          <w:color w:val="auto"/>
        </w:rPr>
      </w:pPr>
    </w:p>
    <w:p>
      <w:pPr>
        <w:ind w:left="1800" w:right="71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submitting a proxy with new voting instructions using the Internet or telephone voting system (please note that the deadline for voting online or by telephone is 11:59 p.m. Eastern Time on May 21, 2024);</w:t>
      </w:r>
    </w:p>
    <w:p>
      <w:pPr>
        <w:spacing w:after="0" w:line="62" w:lineRule="exact"/>
        <w:rPr>
          <w:rFonts w:ascii="Arial" w:cs="Arial" w:eastAsia="Arial" w:hAnsi="Arial"/>
          <w:sz w:val="18"/>
          <w:szCs w:val="18"/>
          <w:color w:val="auto"/>
        </w:rPr>
      </w:pPr>
    </w:p>
    <w:p>
      <w:pPr>
        <w:ind w:left="1800" w:right="71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delivering a later-dated, executed proxy card or written notice of revocation of your proxy to Equiniti Trust Company, LLC, 55 Challenger Road, Suite 200B, Ridgefield Park, NJ 07660 no later than 5:00 p.m. Eastern Time on May 21, 2024; or</w:t>
      </w:r>
    </w:p>
    <w:p>
      <w:pPr>
        <w:spacing w:after="0" w:line="62" w:lineRule="exact"/>
        <w:rPr>
          <w:rFonts w:ascii="Arial" w:cs="Arial" w:eastAsia="Arial" w:hAnsi="Arial"/>
          <w:sz w:val="18"/>
          <w:szCs w:val="18"/>
          <w:color w:val="auto"/>
        </w:rPr>
      </w:pPr>
    </w:p>
    <w:p>
      <w:pPr>
        <w:ind w:left="1800" w:right="419" w:hanging="180"/>
        <w:spacing w:after="0" w:line="268" w:lineRule="auto"/>
        <w:tabs>
          <w:tab w:leader="none" w:pos="18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attending the PAGP Annual Meeting and voting during the PAGP Annual Meeting pursuant to the instructions above. Please note that attendance at the PAGP Annual Meeting will not by itself (i.e., without also voting) revoke a previously granted proxy.</w:t>
      </w:r>
    </w:p>
    <w:p>
      <w:pPr>
        <w:spacing w:after="0" w:line="90" w:lineRule="exact"/>
        <w:rPr>
          <w:sz w:val="20"/>
          <w:szCs w:val="20"/>
          <w:color w:val="auto"/>
        </w:rPr>
      </w:pPr>
    </w:p>
    <w:p>
      <w:pPr>
        <w:ind w:left="1620" w:right="499"/>
        <w:spacing w:after="0" w:line="270" w:lineRule="auto"/>
        <w:rPr>
          <w:sz w:val="20"/>
          <w:szCs w:val="20"/>
          <w:color w:val="auto"/>
        </w:rPr>
      </w:pPr>
      <w:r>
        <w:rPr>
          <w:rFonts w:ascii="Arial" w:cs="Arial" w:eastAsia="Arial" w:hAnsi="Arial"/>
          <w:sz w:val="17"/>
          <w:szCs w:val="17"/>
          <w:color w:val="auto"/>
        </w:rPr>
        <w:t>If you were a beneficial owner of shares held in street name as of the close of business on the Record Date and you have instructed your broker or other nominee to vote your shares, you must follow the procedure your broker or other nominee provides to change those instructions. You may also vote during the PAGP Annual Meeting if you obtain a legal proxy from your broker or other nominee and register to attend the PAGP Annual Meeting pursuant to the instructions above.</w:t>
      </w:r>
    </w:p>
    <w:p>
      <w:pPr>
        <w:spacing w:after="0" w:line="15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is a broker non-vote?</w:t>
      </w:r>
    </w:p>
    <w:p>
      <w:pPr>
        <w:spacing w:after="0" w:line="144" w:lineRule="exact"/>
        <w:rPr>
          <w:sz w:val="20"/>
          <w:szCs w:val="20"/>
          <w:color w:val="auto"/>
        </w:rPr>
      </w:pPr>
    </w:p>
    <w:p>
      <w:pPr>
        <w:ind w:left="1620" w:right="579" w:hanging="360"/>
        <w:spacing w:after="0" w:line="255"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45" w:lineRule="auto"/>
        <w:rPr>
          <w:sz w:val="20"/>
          <w:szCs w:val="20"/>
          <w:color w:val="auto"/>
        </w:rPr>
      </w:pPr>
      <w:r>
        <w:rPr>
          <w:rFonts w:ascii="Arial" w:cs="Arial" w:eastAsia="Arial" w:hAnsi="Arial"/>
          <w:sz w:val="18"/>
          <w:szCs w:val="18"/>
          <w:color w:val="auto"/>
        </w:rPr>
        <w:t>owners who have not provided voting instructions. The election of directors (Proposal 1), the advisory vote to approve our 2023 named executive officer compensation (Proposal 3) and the advisory vote on the frequency of future say on pay voting (Proposal 4)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with respect to Proposals 1, 3 and 4.</w:t>
      </w:r>
    </w:p>
    <w:p>
      <w:pPr>
        <w:spacing w:after="0" w:line="13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constitutes a quorum?</w:t>
      </w:r>
    </w:p>
    <w:p>
      <w:pPr>
        <w:spacing w:after="0" w:line="104" w:lineRule="exact"/>
        <w:rPr>
          <w:sz w:val="20"/>
          <w:szCs w:val="20"/>
          <w:color w:val="auto"/>
        </w:rPr>
      </w:pPr>
    </w:p>
    <w:p>
      <w:pPr>
        <w:ind w:left="1620" w:right="459" w:hanging="360"/>
        <w:spacing w:after="0" w:line="268"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 majority of the outstanding Class A, Class B and Class C shares entitled to vote and represented in person or by proxy, considered together, shall constitute a quorum at the PAGP Annual Meeting.</w:t>
      </w:r>
    </w:p>
    <w:p>
      <w:pPr>
        <w:spacing w:after="0" w:line="103" w:lineRule="exact"/>
        <w:rPr>
          <w:rFonts w:ascii="Arial" w:cs="Arial" w:eastAsia="Arial" w:hAnsi="Arial"/>
          <w:sz w:val="18"/>
          <w:szCs w:val="18"/>
          <w:color w:val="auto"/>
        </w:rPr>
      </w:pPr>
    </w:p>
    <w:p>
      <w:pPr>
        <w:ind w:left="1620" w:right="459"/>
        <w:spacing w:after="0" w:line="271" w:lineRule="auto"/>
        <w:rPr>
          <w:rFonts w:ascii="Arial" w:cs="Arial" w:eastAsia="Arial" w:hAnsi="Arial"/>
          <w:sz w:val="18"/>
          <w:szCs w:val="18"/>
          <w:color w:val="auto"/>
        </w:rPr>
      </w:pPr>
      <w:r>
        <w:rPr>
          <w:rFonts w:ascii="Arial" w:cs="Arial" w:eastAsia="Arial" w:hAnsi="Arial"/>
          <w:sz w:val="18"/>
          <w:szCs w:val="18"/>
          <w:color w:val="auto"/>
        </w:rPr>
        <w:t>Your shares will be counted as present (i.e., entitled to vote and represented in person or by proxy) at the PAGP Annual Meeting if:</w:t>
      </w:r>
    </w:p>
    <w:p>
      <w:pPr>
        <w:spacing w:after="0" w:line="32" w:lineRule="exact"/>
        <w:rPr>
          <w:rFonts w:ascii="Arial" w:cs="Arial" w:eastAsia="Arial" w:hAnsi="Arial"/>
          <w:sz w:val="18"/>
          <w:szCs w:val="18"/>
          <w:color w:val="auto"/>
        </w:rPr>
      </w:pPr>
    </w:p>
    <w:p>
      <w:pPr>
        <w:ind w:left="1800" w:hanging="180"/>
        <w:spacing w:after="0"/>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are present and vote at the meeting; or</w:t>
      </w:r>
    </w:p>
    <w:p>
      <w:pPr>
        <w:spacing w:after="0" w:line="76" w:lineRule="exact"/>
        <w:rPr>
          <w:rFonts w:ascii="Arial" w:cs="Arial" w:eastAsia="Arial" w:hAnsi="Arial"/>
          <w:sz w:val="18"/>
          <w:szCs w:val="18"/>
          <w:color w:val="auto"/>
        </w:rPr>
      </w:pPr>
    </w:p>
    <w:p>
      <w:pPr>
        <w:ind w:left="1800" w:right="479" w:hanging="180"/>
        <w:spacing w:after="0" w:line="287" w:lineRule="auto"/>
        <w:tabs>
          <w:tab w:leader="none" w:pos="18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or your broker if you are a beneficial owner of shares held in street name, have submitted a properly executed proxy.</w:t>
      </w:r>
    </w:p>
    <w:p>
      <w:pPr>
        <w:spacing w:after="0" w:line="58" w:lineRule="exact"/>
        <w:rPr>
          <w:sz w:val="20"/>
          <w:szCs w:val="20"/>
          <w:color w:val="auto"/>
        </w:rPr>
      </w:pPr>
    </w:p>
    <w:p>
      <w:pPr>
        <w:ind w:left="1620" w:right="799"/>
        <w:spacing w:after="0" w:line="287" w:lineRule="auto"/>
        <w:rPr>
          <w:sz w:val="20"/>
          <w:szCs w:val="20"/>
          <w:color w:val="auto"/>
        </w:rPr>
      </w:pPr>
      <w:r>
        <w:rPr>
          <w:rFonts w:ascii="Arial" w:cs="Arial" w:eastAsia="Arial" w:hAnsi="Arial"/>
          <w:sz w:val="18"/>
          <w:szCs w:val="18"/>
          <w:color w:val="auto"/>
        </w:rPr>
        <w:t>Executed proxies received but marked as abstentions and broker non-votes will be counted as present for purposes of determining the presence of a quorum.</w:t>
      </w:r>
    </w:p>
    <w:p>
      <w:pPr>
        <w:spacing w:after="0" w:line="99" w:lineRule="exact"/>
        <w:rPr>
          <w:sz w:val="20"/>
          <w:szCs w:val="20"/>
          <w:color w:val="auto"/>
        </w:rPr>
      </w:pPr>
    </w:p>
    <w:p>
      <w:pPr>
        <w:ind w:left="1620" w:right="739" w:hanging="360"/>
        <w:spacing w:after="0" w:line="296" w:lineRule="auto"/>
        <w:tabs>
          <w:tab w:leader="none" w:pos="16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 be voting on and what vote is required to approve the proposals discussed in this proxy statement?</w:t>
      </w:r>
    </w:p>
    <w:p>
      <w:pPr>
        <w:spacing w:after="0" w:line="16" w:lineRule="exact"/>
        <w:rPr>
          <w:sz w:val="20"/>
          <w:szCs w:val="20"/>
          <w:color w:val="auto"/>
        </w:rPr>
      </w:pPr>
    </w:p>
    <w:p>
      <w:pPr>
        <w:ind w:left="1620" w:right="639" w:hanging="360"/>
        <w:spacing w:after="0" w:line="287"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proposals that will be voted upon and the required vote for approval of such proposals is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83185</wp:posOffset>
            </wp:positionV>
            <wp:extent cx="4980305" cy="3814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80305" cy="3814445"/>
                    </a:xfrm>
                    <a:prstGeom prst="rect">
                      <a:avLst/>
                    </a:prstGeom>
                    <a:noFill/>
                  </pic:spPr>
                </pic:pic>
              </a:graphicData>
            </a:graphic>
          </wp:anchor>
        </w:drawing>
      </w:r>
    </w:p>
    <w:p>
      <w:pPr>
        <w:spacing w:after="0" w:line="11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1460" w:type="dxa"/>
            <w:vAlign w:val="bottom"/>
            <w:shd w:val="clear" w:color="auto" w:fill="424E6A"/>
          </w:tcPr>
          <w:p>
            <w:pPr>
              <w:spacing w:after="0"/>
              <w:rPr>
                <w:sz w:val="17"/>
                <w:szCs w:val="17"/>
                <w:color w:val="auto"/>
              </w:rPr>
            </w:pPr>
          </w:p>
        </w:tc>
        <w:tc>
          <w:tcPr>
            <w:tcW w:w="1280" w:type="dxa"/>
            <w:vAlign w:val="bottom"/>
            <w:shd w:val="clear" w:color="auto" w:fill="424E6A"/>
          </w:tcPr>
          <w:p>
            <w:pPr>
              <w:spacing w:after="0"/>
              <w:rPr>
                <w:sz w:val="17"/>
                <w:szCs w:val="17"/>
                <w:color w:val="auto"/>
              </w:rPr>
            </w:pPr>
          </w:p>
        </w:tc>
        <w:tc>
          <w:tcPr>
            <w:tcW w:w="1840" w:type="dxa"/>
            <w:vAlign w:val="bottom"/>
            <w:shd w:val="clear" w:color="auto" w:fill="424E6A"/>
          </w:tcPr>
          <w:p>
            <w:pPr>
              <w:spacing w:after="0"/>
              <w:rPr>
                <w:sz w:val="17"/>
                <w:szCs w:val="17"/>
                <w:color w:val="auto"/>
              </w:rPr>
            </w:pPr>
          </w:p>
        </w:tc>
        <w:tc>
          <w:tcPr>
            <w:tcW w:w="3240" w:type="dxa"/>
            <w:vAlign w:val="bottom"/>
            <w:shd w:val="clear" w:color="auto" w:fill="424E6A"/>
          </w:tcPr>
          <w:p>
            <w:pPr>
              <w:jc w:val="center"/>
              <w:ind w:left="313"/>
              <w:spacing w:after="0"/>
              <w:rPr>
                <w:sz w:val="20"/>
                <w:szCs w:val="20"/>
                <w:color w:val="auto"/>
              </w:rPr>
            </w:pPr>
            <w:r>
              <w:rPr>
                <w:rFonts w:ascii="Arial" w:cs="Arial" w:eastAsia="Arial" w:hAnsi="Arial"/>
                <w:sz w:val="14"/>
                <w:szCs w:val="14"/>
                <w:b w:val="1"/>
                <w:bCs w:val="1"/>
                <w:color w:val="FFFFFF"/>
              </w:rPr>
              <w:t>Vote Required for Approval of</w:t>
            </w:r>
          </w:p>
        </w:tc>
      </w:tr>
      <w:tr>
        <w:trPr>
          <w:trHeight w:val="198"/>
        </w:trPr>
        <w:tc>
          <w:tcPr>
            <w:tcW w:w="1460" w:type="dxa"/>
            <w:vAlign w:val="bottom"/>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Proposal</w:t>
            </w:r>
          </w:p>
        </w:tc>
        <w:tc>
          <w:tcPr>
            <w:tcW w:w="1280" w:type="dxa"/>
            <w:vAlign w:val="bottom"/>
            <w:shd w:val="clear" w:color="auto" w:fill="424E6A"/>
          </w:tcPr>
          <w:p>
            <w:pPr>
              <w:ind w:left="780"/>
              <w:spacing w:after="0"/>
              <w:rPr>
                <w:sz w:val="20"/>
                <w:szCs w:val="20"/>
                <w:color w:val="auto"/>
              </w:rPr>
            </w:pPr>
            <w:r>
              <w:rPr>
                <w:rFonts w:ascii="Arial" w:cs="Arial" w:eastAsia="Arial" w:hAnsi="Arial"/>
                <w:sz w:val="14"/>
                <w:szCs w:val="14"/>
                <w:b w:val="1"/>
                <w:bCs w:val="1"/>
                <w:color w:val="FFFFFF"/>
              </w:rPr>
              <w:t>​ ​</w:t>
            </w:r>
          </w:p>
        </w:tc>
        <w:tc>
          <w:tcPr>
            <w:tcW w:w="1840" w:type="dxa"/>
            <w:vAlign w:val="bottom"/>
            <w:shd w:val="clear" w:color="auto" w:fill="424E6A"/>
          </w:tcPr>
          <w:p>
            <w:pPr>
              <w:ind w:left="400"/>
              <w:spacing w:after="0"/>
              <w:rPr>
                <w:sz w:val="20"/>
                <w:szCs w:val="20"/>
                <w:color w:val="auto"/>
              </w:rPr>
            </w:pPr>
            <w:r>
              <w:rPr>
                <w:rFonts w:ascii="Arial" w:cs="Arial" w:eastAsia="Arial" w:hAnsi="Arial"/>
                <w:sz w:val="14"/>
                <w:szCs w:val="14"/>
                <w:b w:val="1"/>
                <w:bCs w:val="1"/>
                <w:color w:val="FFFFFF"/>
              </w:rPr>
              <w:t>Voting Options</w:t>
            </w:r>
          </w:p>
        </w:tc>
        <w:tc>
          <w:tcPr>
            <w:tcW w:w="3240" w:type="dxa"/>
            <w:vAlign w:val="bottom"/>
            <w:shd w:val="clear" w:color="auto" w:fill="424E6A"/>
          </w:tcPr>
          <w:p>
            <w:pPr>
              <w:jc w:val="center"/>
              <w:ind w:left="313"/>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Proposal at the PAGP Annual Meeting </w:t>
            </w:r>
            <w:r>
              <w:rPr>
                <w:rFonts w:ascii="Arial" w:cs="Arial" w:eastAsia="Arial" w:hAnsi="Arial"/>
                <w:sz w:val="22"/>
                <w:szCs w:val="22"/>
                <w:b w:val="1"/>
                <w:bCs w:val="1"/>
                <w:color w:val="FFFFFF"/>
                <w:vertAlign w:val="subscript"/>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1720" w:hanging="87"/>
        <w:spacing w:after="0" w:line="260" w:lineRule="auto"/>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 The election of three Class III directors to serve on the Board until the 2027 annual meeting.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720" w:hanging="87"/>
        <w:spacing w:after="0" w:line="238" w:lineRule="auto"/>
        <w:tabs>
          <w:tab w:leader="none" w:pos="1720" w:val="left"/>
        </w:tabs>
        <w:numPr>
          <w:ilvl w:val="0"/>
          <w:numId w:val="20"/>
        </w:numPr>
        <w:rPr>
          <w:rFonts w:ascii="Arial" w:cs="Arial" w:eastAsia="Arial" w:hAnsi="Arial"/>
          <w:sz w:val="34"/>
          <w:szCs w:val="34"/>
          <w:color w:val="auto"/>
          <w:vertAlign w:val="superscript"/>
        </w:rPr>
      </w:pPr>
      <w:r>
        <w:rPr>
          <w:rFonts w:ascii="Arial" w:cs="Arial" w:eastAsia="Arial" w:hAnsi="Arial"/>
          <w:sz w:val="17"/>
          <w:szCs w:val="17"/>
          <w:color w:val="auto"/>
        </w:rPr>
        <w:t>2. The ratification of the appointment of PricewaterhouseCoopers LLP as PAGP’s and PAA’s independent registered public accounting firm for the fiscal year ending December 31, 2024.</w:t>
      </w:r>
    </w:p>
    <w:p>
      <w:pPr>
        <w:spacing w:after="0" w:line="20" w:lineRule="exact"/>
        <w:rPr>
          <w:sz w:val="20"/>
          <w:szCs w:val="20"/>
          <w:color w:val="auto"/>
        </w:rPr>
      </w:pPr>
      <w:r>
        <w:rPr>
          <w:sz w:val="20"/>
          <w:szCs w:val="20"/>
          <w:color w:val="auto"/>
        </w:rPr>
        <w:br w:type="column"/>
      </w:r>
    </w:p>
    <w:p>
      <w:pPr>
        <w:ind w:left="166" w:hanging="166"/>
        <w:spacing w:after="0" w:line="260" w:lineRule="auto"/>
        <w:tabs>
          <w:tab w:leader="none" w:pos="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 You may vote “FOR”, or you may “WITHHOLD” authority to vote for, all, some or none of the nominees for director.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66" w:right="20" w:hanging="166"/>
        <w:spacing w:after="0" w:line="222" w:lineRule="auto"/>
        <w:tabs>
          <w:tab w:leader="none" w:pos="85" w:val="left"/>
        </w:tabs>
        <w:numPr>
          <w:ilvl w:val="0"/>
          <w:numId w:val="21"/>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You may vote “FOR” or “AGAINST” the proposal, or you may “ABSTAIN” from voting.</w:t>
      </w:r>
    </w:p>
    <w:p>
      <w:pPr>
        <w:spacing w:after="0" w:line="20" w:lineRule="exact"/>
        <w:rPr>
          <w:sz w:val="20"/>
          <w:szCs w:val="20"/>
          <w:color w:val="auto"/>
        </w:rPr>
      </w:pPr>
      <w:r>
        <w:rPr>
          <w:sz w:val="20"/>
          <w:szCs w:val="20"/>
          <w:color w:val="auto"/>
        </w:rPr>
        <w:br w:type="column"/>
      </w:r>
    </w:p>
    <w:p>
      <w:pPr>
        <w:ind w:left="152" w:right="40" w:hanging="152"/>
        <w:spacing w:after="0" w:line="253" w:lineRule="auto"/>
        <w:tabs>
          <w:tab w:leader="none" w:pos="71" w:val="left"/>
        </w:tabs>
        <w:numPr>
          <w:ilvl w:val="0"/>
          <w:numId w:val="22"/>
        </w:numPr>
        <w:rPr>
          <w:rFonts w:ascii="Arial" w:cs="Arial" w:eastAsia="Arial" w:hAnsi="Arial"/>
          <w:sz w:val="18"/>
          <w:szCs w:val="18"/>
          <w:color w:val="auto"/>
        </w:rPr>
      </w:pPr>
      <w:r>
        <w:rPr>
          <w:rFonts w:ascii="Arial" w:cs="Arial" w:eastAsia="Arial" w:hAnsi="Arial"/>
          <w:sz w:val="18"/>
          <w:szCs w:val="18"/>
          <w:color w:val="auto"/>
        </w:rPr>
        <w:t>​ Directors will be elected by a plurality of the votes cast, in person or by proxy, by the holders of our Class A, Class B and Class C shares present and entitled to vote, voting as a single class. Broker non-votes are not considered votes cast and will have no effect on the election of directors.</w:t>
      </w:r>
    </w:p>
    <w:p>
      <w:pPr>
        <w:spacing w:after="0" w:line="26" w:lineRule="exact"/>
        <w:rPr>
          <w:rFonts w:ascii="Arial" w:cs="Arial" w:eastAsia="Arial" w:hAnsi="Arial"/>
          <w:sz w:val="18"/>
          <w:szCs w:val="18"/>
          <w:color w:val="auto"/>
        </w:rPr>
      </w:pPr>
    </w:p>
    <w:p>
      <w:pPr>
        <w:ind w:left="152" w:hanging="152"/>
        <w:spacing w:after="0"/>
        <w:tabs>
          <w:tab w:leader="none" w:pos="71" w:val="left"/>
        </w:tabs>
        <w:numPr>
          <w:ilvl w:val="0"/>
          <w:numId w:val="22"/>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In order for this proposal to be approved, it must receive a majority of the votes cast, in person or by proxy, by the holders of our Class A, Class B and Class C shares present and entitled to vote, voting as a single class. Abstentions will be counted as votes present and entitled to vote and will have the same effect as votes “AGAINST” this proposal. We do not expect there to be any broker non-votes with respect to this proposal.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04" w:lineRule="exact"/>
        <w:rPr>
          <w:sz w:val="20"/>
          <w:szCs w:val="20"/>
          <w:color w:val="auto"/>
        </w:rPr>
      </w:pPr>
    </w:p>
    <w:p>
      <w:pPr>
        <w:sectPr>
          <w:pgSz w:w="11900" w:h="16838" w:orient="portrait"/>
          <w:cols w:equalWidth="0" w:num="4">
            <w:col w:w="3800" w:space="34"/>
            <w:col w:w="2726" w:space="28"/>
            <w:col w:w="2752" w:space="0"/>
            <w:col w:w="539"/>
          </w:cols>
          <w:pgMar w:left="580" w:top="97" w:right="1440" w:bottom="1440" w:gutter="0" w:footer="0" w:header="0"/>
          <w:type w:val="continuous"/>
        </w:sectPr>
      </w:pPr>
    </w:p>
    <w:p>
      <w:pPr>
        <w:spacing w:after="0" w:line="26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544195</wp:posOffset>
            </wp:positionV>
            <wp:extent cx="4980305" cy="4783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80305" cy="478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1460" w:type="dxa"/>
            <w:vAlign w:val="bottom"/>
            <w:shd w:val="clear" w:color="auto" w:fill="424E6A"/>
          </w:tcPr>
          <w:p>
            <w:pPr>
              <w:spacing w:after="0"/>
              <w:rPr>
                <w:sz w:val="17"/>
                <w:szCs w:val="17"/>
                <w:color w:val="auto"/>
              </w:rPr>
            </w:pPr>
          </w:p>
        </w:tc>
        <w:tc>
          <w:tcPr>
            <w:tcW w:w="1280" w:type="dxa"/>
            <w:vAlign w:val="bottom"/>
            <w:shd w:val="clear" w:color="auto" w:fill="424E6A"/>
          </w:tcPr>
          <w:p>
            <w:pPr>
              <w:spacing w:after="0"/>
              <w:rPr>
                <w:sz w:val="17"/>
                <w:szCs w:val="17"/>
                <w:color w:val="auto"/>
              </w:rPr>
            </w:pPr>
          </w:p>
        </w:tc>
        <w:tc>
          <w:tcPr>
            <w:tcW w:w="1840" w:type="dxa"/>
            <w:vAlign w:val="bottom"/>
            <w:shd w:val="clear" w:color="auto" w:fill="424E6A"/>
          </w:tcPr>
          <w:p>
            <w:pPr>
              <w:spacing w:after="0"/>
              <w:rPr>
                <w:sz w:val="17"/>
                <w:szCs w:val="17"/>
                <w:color w:val="auto"/>
              </w:rPr>
            </w:pPr>
          </w:p>
        </w:tc>
        <w:tc>
          <w:tcPr>
            <w:tcW w:w="3240" w:type="dxa"/>
            <w:vAlign w:val="bottom"/>
            <w:shd w:val="clear" w:color="auto" w:fill="424E6A"/>
          </w:tcPr>
          <w:p>
            <w:pPr>
              <w:jc w:val="center"/>
              <w:ind w:left="313"/>
              <w:spacing w:after="0"/>
              <w:rPr>
                <w:sz w:val="20"/>
                <w:szCs w:val="20"/>
                <w:color w:val="auto"/>
              </w:rPr>
            </w:pPr>
            <w:r>
              <w:rPr>
                <w:rFonts w:ascii="Arial" w:cs="Arial" w:eastAsia="Arial" w:hAnsi="Arial"/>
                <w:sz w:val="14"/>
                <w:szCs w:val="14"/>
                <w:b w:val="1"/>
                <w:bCs w:val="1"/>
                <w:color w:val="FFFFFF"/>
              </w:rPr>
              <w:t>Vote Required for Approval of</w:t>
            </w:r>
          </w:p>
        </w:tc>
      </w:tr>
      <w:tr>
        <w:trPr>
          <w:trHeight w:val="198"/>
        </w:trPr>
        <w:tc>
          <w:tcPr>
            <w:tcW w:w="1460" w:type="dxa"/>
            <w:vAlign w:val="bottom"/>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Proposal</w:t>
            </w:r>
          </w:p>
        </w:tc>
        <w:tc>
          <w:tcPr>
            <w:tcW w:w="1280" w:type="dxa"/>
            <w:vAlign w:val="bottom"/>
            <w:shd w:val="clear" w:color="auto" w:fill="424E6A"/>
          </w:tcPr>
          <w:p>
            <w:pPr>
              <w:ind w:left="780"/>
              <w:spacing w:after="0"/>
              <w:rPr>
                <w:sz w:val="20"/>
                <w:szCs w:val="20"/>
                <w:color w:val="auto"/>
              </w:rPr>
            </w:pPr>
            <w:r>
              <w:rPr>
                <w:rFonts w:ascii="Arial" w:cs="Arial" w:eastAsia="Arial" w:hAnsi="Arial"/>
                <w:sz w:val="14"/>
                <w:szCs w:val="14"/>
                <w:b w:val="1"/>
                <w:bCs w:val="1"/>
                <w:color w:val="FFFFFF"/>
              </w:rPr>
              <w:t>​ ​</w:t>
            </w:r>
          </w:p>
        </w:tc>
        <w:tc>
          <w:tcPr>
            <w:tcW w:w="1840" w:type="dxa"/>
            <w:vAlign w:val="bottom"/>
            <w:shd w:val="clear" w:color="auto" w:fill="424E6A"/>
          </w:tcPr>
          <w:p>
            <w:pPr>
              <w:ind w:left="400"/>
              <w:spacing w:after="0"/>
              <w:rPr>
                <w:sz w:val="20"/>
                <w:szCs w:val="20"/>
                <w:color w:val="auto"/>
              </w:rPr>
            </w:pPr>
            <w:r>
              <w:rPr>
                <w:rFonts w:ascii="Arial" w:cs="Arial" w:eastAsia="Arial" w:hAnsi="Arial"/>
                <w:sz w:val="14"/>
                <w:szCs w:val="14"/>
                <w:b w:val="1"/>
                <w:bCs w:val="1"/>
                <w:color w:val="FFFFFF"/>
              </w:rPr>
              <w:t>Voting Options</w:t>
            </w:r>
          </w:p>
        </w:tc>
        <w:tc>
          <w:tcPr>
            <w:tcW w:w="3240" w:type="dxa"/>
            <w:vAlign w:val="bottom"/>
            <w:shd w:val="clear" w:color="auto" w:fill="424E6A"/>
          </w:tcPr>
          <w:p>
            <w:pPr>
              <w:jc w:val="center"/>
              <w:ind w:left="313"/>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Proposal at the PAGP Annual Meeting </w:t>
            </w:r>
            <w:r>
              <w:rPr>
                <w:rFonts w:ascii="Arial" w:cs="Arial" w:eastAsia="Arial" w:hAnsi="Arial"/>
                <w:sz w:val="22"/>
                <w:szCs w:val="22"/>
                <w:b w:val="1"/>
                <w:bCs w:val="1"/>
                <w:color w:val="FFFFFF"/>
                <w:vertAlign w:val="subscript"/>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7" w:lineRule="exact"/>
        <w:rPr>
          <w:sz w:val="20"/>
          <w:szCs w:val="20"/>
          <w:color w:val="auto"/>
        </w:rPr>
      </w:pPr>
    </w:p>
    <w:p>
      <w:pPr>
        <w:ind w:left="1720" w:right="40" w:hanging="87"/>
        <w:spacing w:after="0" w:line="259" w:lineRule="auto"/>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 The approval, on a non-binding advisory basis, of our 2023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20" w:hanging="87"/>
        <w:spacing w:after="0" w:line="225" w:lineRule="auto"/>
        <w:tabs>
          <w:tab w:leader="none" w:pos="172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4. Voting, on a non-binding advisory basis, on the frequency with which future advisory votes to approve our named executive officer compensation should be held.</w:t>
      </w:r>
    </w:p>
    <w:p>
      <w:pPr>
        <w:spacing w:after="0" w:line="20" w:lineRule="exact"/>
        <w:rPr>
          <w:sz w:val="20"/>
          <w:szCs w:val="20"/>
          <w:color w:val="auto"/>
        </w:rPr>
      </w:pPr>
      <w:r>
        <w:rPr>
          <w:sz w:val="20"/>
          <w:szCs w:val="20"/>
          <w:color w:val="auto"/>
        </w:rPr>
        <w:br w:type="column"/>
      </w:r>
    </w:p>
    <w:p>
      <w:pPr>
        <w:ind w:left="166" w:hanging="166"/>
        <w:spacing w:after="0" w:line="296" w:lineRule="auto"/>
        <w:tabs>
          <w:tab w:leader="none" w:pos="85" w:val="left"/>
        </w:tabs>
        <w:numPr>
          <w:ilvl w:val="0"/>
          <w:numId w:val="25"/>
        </w:numPr>
        <w:rPr>
          <w:rFonts w:ascii="Arial" w:cs="Arial" w:eastAsia="Arial" w:hAnsi="Arial"/>
          <w:sz w:val="17"/>
          <w:szCs w:val="17"/>
          <w:color w:val="auto"/>
        </w:rPr>
      </w:pPr>
      <w:r>
        <w:rPr>
          <w:rFonts w:ascii="Arial" w:cs="Arial" w:eastAsia="Arial" w:hAnsi="Arial"/>
          <w:sz w:val="17"/>
          <w:szCs w:val="17"/>
          <w:color w:val="auto"/>
        </w:rPr>
        <w:t>​ You may vote “FOR” or “AGAINST” the proposal, or you may “ABSTAIN” from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66" w:right="180" w:hanging="166"/>
        <w:spacing w:after="0" w:line="230" w:lineRule="auto"/>
        <w:tabs>
          <w:tab w:leader="none" w:pos="85" w:val="left"/>
        </w:tabs>
        <w:numPr>
          <w:ilvl w:val="0"/>
          <w:numId w:val="26"/>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You may vote to hold future advisory votes to approve our named executive officer compensation every “ONE YEAR”, “TWO YEARS” or “THREE YEARS”, or you may “ABSTAIN” from voting.</w:t>
      </w:r>
    </w:p>
    <w:p>
      <w:pPr>
        <w:spacing w:after="0" w:line="20" w:lineRule="exact"/>
        <w:rPr>
          <w:sz w:val="20"/>
          <w:szCs w:val="20"/>
          <w:color w:val="auto"/>
        </w:rPr>
      </w:pPr>
      <w:r>
        <w:rPr>
          <w:sz w:val="20"/>
          <w:szCs w:val="20"/>
          <w:color w:val="auto"/>
        </w:rPr>
        <w:br w:type="column"/>
      </w:r>
    </w:p>
    <w:p>
      <w:pPr>
        <w:ind w:left="152" w:hanging="152"/>
        <w:spacing w:after="0" w:line="253" w:lineRule="auto"/>
        <w:tabs>
          <w:tab w:leader="none" w:pos="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 In order for this non-binding proposal to be approved, it must receive a majority of the votes cast, in person or by proxy, by the holders of our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w:t>
      </w:r>
    </w:p>
    <w:p>
      <w:pPr>
        <w:ind w:left="72" w:hanging="72"/>
        <w:spacing w:after="0" w:line="185" w:lineRule="auto"/>
        <w:tabs>
          <w:tab w:leader="none" w:pos="72" w:val="left"/>
        </w:tabs>
        <w:numPr>
          <w:ilvl w:val="0"/>
          <w:numId w:val="27"/>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The option (one, two or</w:t>
      </w:r>
    </w:p>
    <w:p>
      <w:pPr>
        <w:ind w:left="152"/>
        <w:spacing w:after="0" w:line="251" w:lineRule="auto"/>
        <w:rPr>
          <w:sz w:val="20"/>
          <w:szCs w:val="20"/>
          <w:color w:val="auto"/>
        </w:rPr>
      </w:pPr>
      <w:r>
        <w:rPr>
          <w:rFonts w:ascii="Arial" w:cs="Arial" w:eastAsia="Arial" w:hAnsi="Arial"/>
          <w:sz w:val="18"/>
          <w:szCs w:val="18"/>
          <w:color w:val="auto"/>
        </w:rPr>
        <w:t>three years) that receives a majority of the votes cast, in person or by proxy, by the holders of our Class A, Class B and Class C shares present and entitled to vote, voting as a single class; provided, however, if no option receives a majority of votes cast, the option that receives the greatest number of votes cast. Abstentions and broker non-votes will not be counted as votes cast “FOR” any alternative of a one, two or three year frequency.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519" w:lineRule="exact"/>
        <w:rPr>
          <w:sz w:val="20"/>
          <w:szCs w:val="20"/>
          <w:color w:val="auto"/>
        </w:rPr>
      </w:pPr>
    </w:p>
    <w:p>
      <w:pPr>
        <w:sectPr>
          <w:pgSz w:w="11900" w:h="16838" w:orient="portrait"/>
          <w:cols w:equalWidth="0" w:num="4">
            <w:col w:w="3780" w:space="54"/>
            <w:col w:w="2706" w:space="48"/>
            <w:col w:w="2712" w:space="40"/>
            <w:col w:w="539"/>
          </w:cols>
          <w:pgMar w:left="580" w:top="97" w:right="1440" w:bottom="1440" w:gutter="0" w:footer="0" w:header="0"/>
          <w:type w:val="continuous"/>
        </w:sect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covers the expense of the proxy solicitation?</w:t>
      </w:r>
    </w:p>
    <w:p>
      <w:pPr>
        <w:spacing w:after="0" w:line="104" w:lineRule="exact"/>
        <w:rPr>
          <w:sz w:val="20"/>
          <w:szCs w:val="20"/>
          <w:color w:val="auto"/>
        </w:rPr>
      </w:pPr>
    </w:p>
    <w:p>
      <w:pPr>
        <w:ind w:left="1620" w:right="639" w:hanging="360"/>
        <w:spacing w:after="0" w:line="25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close of business on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$10,500 plus reasonable expenses for additional services.</w:t>
      </w:r>
    </w:p>
    <w:p>
      <w:pPr>
        <w:spacing w:after="0" w:line="101"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if I do not mark a voting choice for some of the matters listed on my proxy card?</w:t>
      </w:r>
    </w:p>
    <w:p>
      <w:pPr>
        <w:spacing w:after="0" w:line="104" w:lineRule="exact"/>
        <w:rPr>
          <w:sz w:val="20"/>
          <w:szCs w:val="20"/>
          <w:color w:val="auto"/>
        </w:rPr>
      </w:pPr>
    </w:p>
    <w:p>
      <w:pPr>
        <w:ind w:left="1620" w:right="519" w:hanging="360"/>
        <w:spacing w:after="0" w:line="268"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return a signed proxy card without indicating your voting choice, your shares will be voted in accordance with the Board’s recommendation for each proposal with respect to which a voting choice is not indicated.</w:t>
      </w:r>
    </w:p>
    <w:p>
      <w:pPr>
        <w:spacing w:after="0" w:line="9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will tabulate and certify the vote?</w:t>
      </w:r>
    </w:p>
    <w:p>
      <w:pPr>
        <w:spacing w:after="0" w:line="104" w:lineRule="exact"/>
        <w:rPr>
          <w:sz w:val="20"/>
          <w:szCs w:val="20"/>
          <w:color w:val="auto"/>
        </w:rPr>
      </w:pPr>
    </w:p>
    <w:p>
      <w:pPr>
        <w:ind w:left="1620" w:right="1059" w:hanging="360"/>
        <w:spacing w:after="0" w:line="28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EQ will tabulate and certify the vote, and a representative of EQ will act as the independent inspector of elections for the PAGP Annual Meeting.</w:t>
      </w:r>
    </w:p>
    <w:p>
      <w:pPr>
        <w:sectPr>
          <w:pgSz w:w="11900" w:h="16838" w:orient="portrait"/>
          <w:cols w:equalWidth="0" w:num="1">
            <w:col w:w="9879"/>
          </w:cols>
          <w:pgMar w:left="580" w:top="97" w:right="1440" w:bottom="1440" w:gutter="0" w:footer="0" w:header="0"/>
          <w:type w:val="continuous"/>
        </w:sectPr>
      </w:pPr>
    </w:p>
    <w:p>
      <w:pPr>
        <w:spacing w:after="0" w:line="34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2199" w:firstLine="1795"/>
        <w:spacing w:after="0" w:line="406" w:lineRule="auto"/>
        <w:rPr>
          <w:sz w:val="20"/>
          <w:szCs w:val="20"/>
          <w:color w:val="auto"/>
        </w:rPr>
      </w:pPr>
      <w:r>
        <w:rPr>
          <w:rFonts w:ascii="Arial" w:cs="Arial" w:eastAsia="Arial" w:hAnsi="Arial"/>
          <w:sz w:val="18"/>
          <w:szCs w:val="18"/>
          <w:b w:val="1"/>
          <w:bCs w:val="1"/>
          <w:color w:val="auto"/>
        </w:rPr>
        <w:t>CORPORATE GOVERNANCE AND RELATED MATTERS Summary of Recent Changes</w:t>
      </w:r>
    </w:p>
    <w:p>
      <w:pPr>
        <w:spacing w:after="0" w:line="2" w:lineRule="exact"/>
        <w:rPr>
          <w:sz w:val="20"/>
          <w:szCs w:val="20"/>
          <w:color w:val="auto"/>
        </w:rPr>
      </w:pPr>
    </w:p>
    <w:p>
      <w:pPr>
        <w:jc w:val="both"/>
        <w:ind w:left="1260" w:right="499" w:firstLine="360"/>
        <w:spacing w:after="0" w:line="262" w:lineRule="auto"/>
        <w:rPr>
          <w:sz w:val="20"/>
          <w:szCs w:val="20"/>
          <w:color w:val="auto"/>
        </w:rPr>
      </w:pPr>
      <w:r>
        <w:rPr>
          <w:rFonts w:ascii="Arial" w:cs="Arial" w:eastAsia="Arial" w:hAnsi="Arial"/>
          <w:sz w:val="18"/>
          <w:szCs w:val="18"/>
          <w:color w:val="auto"/>
        </w:rPr>
        <w:t>Investors have voiced a preference for certain governance practices, and since our simplification transaction in 2016 (the “Simplification Transaction”), our board and governance structure has evolved and changed in ways that we believe are meaningfully beneficial to investors. Highlights of some of the key changes are as follows:</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2016</w:t>
      </w:r>
    </w:p>
    <w:p>
      <w:pPr>
        <w:spacing w:after="0" w:line="117" w:lineRule="exact"/>
        <w:rPr>
          <w:sz w:val="20"/>
          <w:szCs w:val="20"/>
          <w:color w:val="auto"/>
        </w:rPr>
      </w:pPr>
    </w:p>
    <w:p>
      <w:pPr>
        <w:ind w:left="1800" w:right="659" w:hanging="180"/>
        <w:spacing w:after="0" w:line="28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Replaced our dual board structure for PAA and PAGP with a unified governance structure that resulted in the Board being solely responsible for the governance of PAA and PAGP;</w:t>
      </w:r>
    </w:p>
    <w:p>
      <w:pPr>
        <w:spacing w:after="0" w:line="44" w:lineRule="exact"/>
        <w:rPr>
          <w:rFonts w:ascii="Arial" w:cs="Arial" w:eastAsia="Arial" w:hAnsi="Arial"/>
          <w:sz w:val="18"/>
          <w:szCs w:val="18"/>
          <w:color w:val="auto"/>
        </w:rPr>
      </w:pPr>
    </w:p>
    <w:p>
      <w:pPr>
        <w:ind w:left="1800" w:right="839" w:hanging="180"/>
        <w:spacing w:after="0" w:line="291"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Amended our governing documents to enfranchise all shareholders of PAGP and all public common unitholders and Series A preferred unitholders of PAA by providing for shareholder elections of directors commencing in 2018 (on a staggered three-year rolling basis);</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2017</w:t>
      </w:r>
    </w:p>
    <w:p>
      <w:pPr>
        <w:spacing w:after="0" w:line="131" w:lineRule="exact"/>
        <w:rPr>
          <w:sz w:val="20"/>
          <w:szCs w:val="20"/>
          <w:color w:val="auto"/>
        </w:rPr>
      </w:pPr>
    </w:p>
    <w:p>
      <w:pPr>
        <w:ind w:left="1800" w:right="699" w:hanging="180"/>
        <w:spacing w:after="0" w:line="28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Added Asian American director to the Board (subsequently became Chairman of the Board in January 2020);</w:t>
      </w:r>
    </w:p>
    <w:p>
      <w:pPr>
        <w:spacing w:after="0" w:line="5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2018</w:t>
      </w:r>
    </w:p>
    <w:p>
      <w:pPr>
        <w:spacing w:after="0" w:line="117" w:lineRule="exact"/>
        <w:rPr>
          <w:sz w:val="20"/>
          <w:szCs w:val="20"/>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Held first annual meeting for the election of directors;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Added new independent female director to the Board;</w:t>
      </w:r>
    </w:p>
    <w:p>
      <w:pPr>
        <w:spacing w:after="0" w:line="13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2019</w:t>
      </w:r>
    </w:p>
    <w:p>
      <w:pPr>
        <w:spacing w:after="0" w:line="117" w:lineRule="exact"/>
        <w:rPr>
          <w:rFonts w:ascii="Arial" w:cs="Arial" w:eastAsia="Arial" w:hAnsi="Arial"/>
          <w:sz w:val="18"/>
          <w:szCs w:val="18"/>
          <w:color w:val="auto"/>
        </w:rPr>
      </w:pPr>
    </w:p>
    <w:p>
      <w:pPr>
        <w:ind w:left="1800" w:right="419" w:hanging="180"/>
        <w:spacing w:after="0" w:line="262"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Amended our governing documents to require that a majority of our Board satisfy applicable stock exchange independence requirements, despite the fact that as a limited partnership we are exempt from such requirements (nine out of 12 (75%) of our current Board members have been assessed by the Board and determined to be independent);</w:t>
      </w:r>
    </w:p>
    <w:p>
      <w:pPr>
        <w:spacing w:after="0" w:line="68" w:lineRule="exact"/>
        <w:rPr>
          <w:rFonts w:ascii="Arial" w:cs="Arial" w:eastAsia="Arial" w:hAnsi="Arial"/>
          <w:sz w:val="18"/>
          <w:szCs w:val="18"/>
          <w:color w:val="auto"/>
        </w:rPr>
      </w:pPr>
    </w:p>
    <w:p>
      <w:pPr>
        <w:ind w:left="1800" w:right="779" w:hanging="180"/>
        <w:spacing w:after="0" w:line="268"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Amended our governing documents to create a strong lead independent director role in connection with the retirement of our former Chairman and the re-combination of the roles of Chairman and CEO;</w:t>
      </w:r>
    </w:p>
    <w:p>
      <w:pPr>
        <w:spacing w:after="0" w:line="76" w:lineRule="exact"/>
        <w:rPr>
          <w:rFonts w:ascii="Arial" w:cs="Arial" w:eastAsia="Arial" w:hAnsi="Arial"/>
          <w:sz w:val="18"/>
          <w:szCs w:val="18"/>
          <w:color w:val="auto"/>
        </w:rPr>
      </w:pPr>
    </w:p>
    <w:p>
      <w:pPr>
        <w:ind w:left="1800" w:right="659" w:hanging="180"/>
        <w:spacing w:after="0" w:line="262"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assistance of our Governance Committee, initiated a comprehensive board assessment, refreshment and succession planning process that includes a periodic skills and needs assessment, the development and maintenance of a formal board succession plan and annual individual director performance evaluations;</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2020</w:t>
      </w:r>
    </w:p>
    <w:p>
      <w:pPr>
        <w:spacing w:after="0" w:line="117"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Added new independent director to the Board;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Appointed independent chairman to Compensation Committee;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Adopted Equity Ownership Guidelines and Clawback Policy;</w:t>
      </w:r>
    </w:p>
    <w:p>
      <w:pPr>
        <w:spacing w:after="0" w:line="13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u w:val="single" w:color="auto"/>
          <w:color w:val="auto"/>
        </w:rPr>
        <w:t>2021</w:t>
      </w:r>
    </w:p>
    <w:p>
      <w:pPr>
        <w:spacing w:after="0" w:line="117" w:lineRule="exact"/>
        <w:rPr>
          <w:rFonts w:ascii="Arial" w:cs="Arial" w:eastAsia="Arial" w:hAnsi="Arial"/>
          <w:sz w:val="18"/>
          <w:szCs w:val="18"/>
          <w:color w:val="auto"/>
        </w:rPr>
      </w:pPr>
    </w:p>
    <w:p>
      <w:pPr>
        <w:ind w:left="1800" w:right="539" w:hanging="180"/>
        <w:spacing w:after="0" w:line="291" w:lineRule="auto"/>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Established a new committee, the Health, Safety, Environmental and Sustainability (“HSES”) Committee, to assist the Board in its oversight of various HSES matters and facilitate the efforts of management to further strengthen our focus on sustainability and certain ESG matters;</w:t>
      </w:r>
    </w:p>
    <w:p>
      <w:pPr>
        <w:spacing w:after="0" w:line="58" w:lineRule="exact"/>
        <w:rPr>
          <w:rFonts w:ascii="Arial" w:cs="Arial" w:eastAsia="Arial" w:hAnsi="Arial"/>
          <w:sz w:val="17"/>
          <w:szCs w:val="17"/>
          <w:color w:val="auto"/>
        </w:rPr>
      </w:pPr>
    </w:p>
    <w:p>
      <w:pPr>
        <w:ind w:left="1800" w:right="639" w:hanging="180"/>
        <w:spacing w:after="0" w:line="268"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Mandated that the members of all Board committees be independent despite the fact that as a limited partnership we are exempt from applicable stock exchange committee independence requirements;</w:t>
      </w:r>
    </w:p>
    <w:p>
      <w:pPr>
        <w:spacing w:after="0" w:line="62" w:lineRule="exact"/>
        <w:rPr>
          <w:rFonts w:ascii="Arial" w:cs="Arial" w:eastAsia="Arial" w:hAnsi="Arial"/>
          <w:sz w:val="18"/>
          <w:szCs w:val="18"/>
          <w:color w:val="auto"/>
        </w:rPr>
      </w:pPr>
    </w:p>
    <w:p>
      <w:pPr>
        <w:ind w:left="1800" w:right="439" w:hanging="180"/>
        <w:spacing w:after="0" w:line="28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Amended our governing documents to increase the number of directors subject to public election by adding the three directors who are current or former members of management;</w:t>
      </w:r>
    </w:p>
    <w:p>
      <w:pPr>
        <w:sectPr>
          <w:pgSz w:w="11900" w:h="16838" w:orient="portrait"/>
          <w:cols w:equalWidth="0" w:num="1">
            <w:col w:w="9879"/>
          </w:cols>
          <w:pgMar w:left="580" w:top="97" w:right="1440" w:bottom="1440" w:gutter="0" w:footer="0" w:header="0"/>
        </w:sectPr>
      </w:pPr>
    </w:p>
    <w:p>
      <w:pPr>
        <w:spacing w:after="0" w:line="32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579" w:hanging="180"/>
        <w:spacing w:after="0" w:line="291" w:lineRule="auto"/>
        <w:tabs>
          <w:tab w:leader="none" w:pos="18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 and</w:t>
      </w:r>
    </w:p>
    <w:p>
      <w:pPr>
        <w:spacing w:after="0" w:line="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2022</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Added new independent female director to the Board.</w:t>
      </w:r>
    </w:p>
    <w:p>
      <w:pPr>
        <w:spacing w:after="0" w:line="144"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As described in the summary above, since 2016, the Board has taken numerous meaningful steps to provide PAGP shareholders and PAA unitholders the right to vote for members of the Board. At a special meeting of PAGP shareholders held in November 2016 in connection with our Simplification Transaction, our shareholders overwhelmingly approved the following changes to our governing documents, among others:</w:t>
      </w:r>
    </w:p>
    <w:p>
      <w:pPr>
        <w:spacing w:after="0" w:line="71" w:lineRule="exact"/>
        <w:rPr>
          <w:sz w:val="20"/>
          <w:szCs w:val="20"/>
          <w:color w:val="auto"/>
        </w:rPr>
      </w:pPr>
    </w:p>
    <w:p>
      <w:pPr>
        <w:ind w:left="1800" w:right="859" w:hanging="180"/>
        <w:spacing w:after="0" w:line="28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implementation of a unified governance structure for PAA and PAGP that resulted in the Board being solely responsible for the governance of PAGP and PAA; and</w:t>
      </w:r>
    </w:p>
    <w:p>
      <w:pPr>
        <w:spacing w:after="0" w:line="44" w:lineRule="exact"/>
        <w:rPr>
          <w:rFonts w:ascii="Arial" w:cs="Arial" w:eastAsia="Arial" w:hAnsi="Arial"/>
          <w:sz w:val="18"/>
          <w:szCs w:val="18"/>
          <w:color w:val="auto"/>
        </w:rPr>
      </w:pPr>
    </w:p>
    <w:p>
      <w:pPr>
        <w:ind w:left="1800" w:right="459" w:hanging="180"/>
        <w:spacing w:after="0" w:line="268"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division of the Board into three classes and the commencement of director elections by class starting in 2018, with the participation and enfranchisement of all shareholders of PAGP and all public common unitholders and Series A preferred unitholders of PAA.</w:t>
      </w:r>
    </w:p>
    <w:p>
      <w:pPr>
        <w:spacing w:after="0" w:line="103"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These features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made in recent years, is consistent with the desires and expectations of investors in PAA and PAGP.</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Management and Governance</w:t>
      </w:r>
    </w:p>
    <w:p>
      <w:pPr>
        <w:spacing w:after="0" w:line="158" w:lineRule="exact"/>
        <w:rPr>
          <w:sz w:val="20"/>
          <w:szCs w:val="20"/>
          <w:color w:val="auto"/>
        </w:rPr>
      </w:pPr>
    </w:p>
    <w:p>
      <w:pPr>
        <w:ind w:left="1260" w:right="519" w:firstLine="360"/>
        <w:spacing w:after="0" w:line="262" w:lineRule="auto"/>
        <w:rPr>
          <w:sz w:val="20"/>
          <w:szCs w:val="20"/>
          <w:color w:val="auto"/>
        </w:rPr>
      </w:pPr>
      <w:r>
        <w:rPr>
          <w:rFonts w:ascii="Arial" w:cs="Arial" w:eastAsia="Arial" w:hAnsi="Arial"/>
          <w:sz w:val="18"/>
          <w:szCs w:val="18"/>
          <w:color w:val="auto"/>
        </w:rPr>
        <w:t>We own a 100% managing member interest in GP LLC, which owns the non-economic general partner interest in Plains AAP. Plains AAP is the sole member of PAA GP LLC, which holds the non-economic general partner interest in PAA. PAGP GP is our general partner and the Board of PAGP GP has responsibility for managing the business and affairs of PAGP and PAA.</w:t>
      </w:r>
    </w:p>
    <w:p>
      <w:pPr>
        <w:spacing w:after="0" w:line="95"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We do not directly own any operating assets or have any operating activities apart from those conducted by PAA.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p>
    <w:p>
      <w:pPr>
        <w:spacing w:after="0" w:line="117"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Our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 completed in November 2016, we expanded the voting rights of our shareholders to include the election of directors and, in 2018, we began holding annual meetings for this purpose.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Ownership and Voting Structure</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8"/>
          <w:szCs w:val="18"/>
          <w:color w:val="auto"/>
        </w:rPr>
        <w:t>The Simplification Transaction completed in November 2016 resulted in a structure that includes two public companies (PAA and PAGP) governed by a single Board. The Board is located at our general partner, PAGP GP. The Simplification Transaction also provided that the equity holders of both PAA and PAGP would be afforded the right to vote in the election of directors.</w:t>
      </w:r>
    </w:p>
    <w:p>
      <w:pPr>
        <w:spacing w:after="0" w:line="10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have three classes of voting equity, as follows:</w:t>
      </w:r>
    </w:p>
    <w:p>
      <w:pPr>
        <w:spacing w:after="0" w:line="117"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A shares, which are listed on Nasdaq;</w:t>
      </w:r>
    </w:p>
    <w:p>
      <w:pPr>
        <w:spacing w:after="0" w:line="117" w:lineRule="exact"/>
        <w:rPr>
          <w:rFonts w:ascii="Arial" w:cs="Arial" w:eastAsia="Arial" w:hAnsi="Arial"/>
          <w:sz w:val="18"/>
          <w:szCs w:val="18"/>
          <w:color w:val="auto"/>
        </w:rPr>
      </w:pPr>
    </w:p>
    <w:p>
      <w:pPr>
        <w:ind w:left="1800" w:right="539" w:hanging="180"/>
        <w:spacing w:after="0" w:line="28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Class B shares, which represent non-economic limited partner voting interests and are privately held by certain legacy investors and management; and</w:t>
      </w:r>
    </w:p>
    <w:p>
      <w:pPr>
        <w:spacing w:after="0" w:line="44" w:lineRule="exact"/>
        <w:rPr>
          <w:rFonts w:ascii="Arial" w:cs="Arial" w:eastAsia="Arial" w:hAnsi="Arial"/>
          <w:sz w:val="18"/>
          <w:szCs w:val="18"/>
          <w:color w:val="auto"/>
        </w:rPr>
      </w:pPr>
    </w:p>
    <w:p>
      <w:pPr>
        <w:ind w:left="1800" w:right="679" w:hanging="180"/>
        <w:spacing w:after="0" w:line="291"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Class C shares, which are also non-economic limited partner voting interests. The Class C shares are held by PAA solely for the purpose of creating a mechanism through which PAA equity holders (other than Plains AAP) can participate in the election of directors of PAGP GP.</w:t>
      </w:r>
    </w:p>
    <w:p>
      <w:pPr>
        <w:spacing w:after="0" w:line="72"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With respect to the election of directors, the Class A, Class B and Class C shares vote 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p>
    <w:p>
      <w:pPr>
        <w:spacing w:after="0" w:line="117" w:lineRule="exact"/>
        <w:rPr>
          <w:sz w:val="20"/>
          <w:szCs w:val="20"/>
          <w:color w:val="auto"/>
        </w:rPr>
      </w:pPr>
    </w:p>
    <w:p>
      <w:pPr>
        <w:ind w:left="1260" w:right="539" w:firstLine="360"/>
        <w:spacing w:after="0" w:line="287" w:lineRule="auto"/>
        <w:rPr>
          <w:sz w:val="20"/>
          <w:szCs w:val="20"/>
          <w:color w:val="auto"/>
        </w:rPr>
      </w:pPr>
      <w:r>
        <w:rPr>
          <w:rFonts w:ascii="Arial" w:cs="Arial" w:eastAsia="Arial" w:hAnsi="Arial"/>
          <w:sz w:val="18"/>
          <w:szCs w:val="18"/>
          <w:color w:val="auto"/>
        </w:rPr>
        <w:t>On a combined basis, as of the Record Date, the voting rights of PAGP and PAA equity holders in connection with the election of directors were allocated as follows:</w:t>
      </w:r>
    </w:p>
    <w:p>
      <w:pPr>
        <w:spacing w:after="0" w:line="131"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360" w:type="dxa"/>
            <w:vAlign w:val="bottom"/>
            <w:tcBorders>
              <w:left w:val="single" w:sz="8" w:color="424E6A"/>
            </w:tcBorders>
            <w:shd w:val="clear" w:color="auto" w:fill="424E6A"/>
          </w:tcPr>
          <w:p>
            <w:pPr>
              <w:spacing w:after="0"/>
              <w:rPr>
                <w:sz w:val="17"/>
                <w:szCs w:val="17"/>
                <w:color w:val="auto"/>
              </w:rPr>
            </w:pPr>
          </w:p>
        </w:tc>
        <w:tc>
          <w:tcPr>
            <w:tcW w:w="510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 of</w:t>
            </w: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320" w:type="dxa"/>
            <w:vAlign w:val="bottom"/>
            <w:tcBorders>
              <w:right w:val="single" w:sz="8" w:color="424E6A"/>
            </w:tcBorders>
            <w:shd w:val="clear" w:color="auto" w:fill="424E6A"/>
          </w:tcPr>
          <w:p>
            <w:pPr>
              <w:spacing w:after="0"/>
              <w:rPr>
                <w:sz w:val="17"/>
                <w:szCs w:val="17"/>
                <w:color w:val="auto"/>
              </w:rPr>
            </w:pPr>
          </w:p>
        </w:tc>
      </w:tr>
      <w:tr>
        <w:trPr>
          <w:trHeight w:val="162"/>
        </w:trPr>
        <w:tc>
          <w:tcPr>
            <w:tcW w:w="360" w:type="dxa"/>
            <w:vAlign w:val="bottom"/>
            <w:tcBorders>
              <w:left w:val="single" w:sz="8" w:color="424E6A"/>
            </w:tcBorders>
            <w:shd w:val="clear" w:color="auto" w:fill="424E6A"/>
          </w:tcPr>
          <w:p>
            <w:pPr>
              <w:spacing w:after="0"/>
              <w:rPr>
                <w:sz w:val="14"/>
                <w:szCs w:val="14"/>
                <w:color w:val="auto"/>
              </w:rPr>
            </w:pPr>
          </w:p>
        </w:tc>
        <w:tc>
          <w:tcPr>
            <w:tcW w:w="510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Overall Voting</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320" w:type="dxa"/>
            <w:vAlign w:val="bottom"/>
            <w:tcBorders>
              <w:right w:val="single" w:sz="8" w:color="424E6A"/>
            </w:tcBorders>
            <w:shd w:val="clear" w:color="auto" w:fill="424E6A"/>
          </w:tcPr>
          <w:p>
            <w:pPr>
              <w:jc w:val="right"/>
              <w:ind w:right="35"/>
              <w:spacing w:after="0"/>
              <w:rPr>
                <w:sz w:val="20"/>
                <w:szCs w:val="20"/>
                <w:color w:val="auto"/>
              </w:rPr>
            </w:pPr>
            <w:r>
              <w:rPr>
                <w:rFonts w:ascii="Arial" w:cs="Arial" w:eastAsia="Arial" w:hAnsi="Arial"/>
                <w:sz w:val="14"/>
                <w:szCs w:val="14"/>
                <w:b w:val="1"/>
                <w:bCs w:val="1"/>
                <w:color w:val="FFFFFF"/>
              </w:rPr>
              <w:t>Number of Voting</w:t>
            </w:r>
          </w:p>
        </w:tc>
      </w:tr>
      <w:tr>
        <w:trPr>
          <w:trHeight w:val="212"/>
        </w:trPr>
        <w:tc>
          <w:tcPr>
            <w:tcW w:w="5460" w:type="dxa"/>
            <w:vAlign w:val="bottom"/>
            <w:tcBorders>
              <w:left w:val="single" w:sz="8" w:color="424E6A"/>
            </w:tcBorders>
            <w:gridSpan w:val="2"/>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Voting Class</w:t>
            </w:r>
          </w:p>
        </w:tc>
        <w:tc>
          <w:tcPr>
            <w:tcW w:w="2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9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Rights</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320" w:type="dxa"/>
            <w:vAlign w:val="bottom"/>
            <w:tcBorders>
              <w:right w:val="single" w:sz="8" w:color="424E6A"/>
            </w:tcBorders>
            <w:shd w:val="clear" w:color="auto" w:fill="424E6A"/>
          </w:tcPr>
          <w:p>
            <w:pPr>
              <w:jc w:val="right"/>
              <w:ind w:right="175"/>
              <w:spacing w:after="0"/>
              <w:rPr>
                <w:sz w:val="20"/>
                <w:szCs w:val="20"/>
                <w:color w:val="auto"/>
              </w:rPr>
            </w:pPr>
            <w:r>
              <w:rPr>
                <w:rFonts w:ascii="Arial" w:cs="Arial" w:eastAsia="Arial" w:hAnsi="Arial"/>
                <w:sz w:val="14"/>
                <w:szCs w:val="14"/>
                <w:b w:val="1"/>
                <w:bCs w:val="1"/>
                <w:color w:val="FFFFFF"/>
              </w:rPr>
              <w:t>Shares/Units</w:t>
            </w:r>
          </w:p>
        </w:tc>
      </w:tr>
      <w:tr>
        <w:trPr>
          <w:trHeight w:val="256"/>
        </w:trPr>
        <w:tc>
          <w:tcPr>
            <w:tcW w:w="546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PAGP Class A Shares (Nasdaq: PAGP)</w:t>
            </w:r>
          </w:p>
        </w:tc>
        <w:tc>
          <w:tcPr>
            <w:tcW w:w="1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25.5%</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197.3 million</w:t>
            </w:r>
          </w:p>
        </w:tc>
      </w:tr>
      <w:tr>
        <w:trPr>
          <w:trHeight w:val="250"/>
        </w:trPr>
        <w:tc>
          <w:tcPr>
            <w:tcW w:w="54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PAGP Class B Shares</w:t>
            </w:r>
          </w:p>
        </w:tc>
        <w:tc>
          <w:tcPr>
            <w:tcW w:w="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4.6%</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35.4 million</w:t>
            </w:r>
          </w:p>
        </w:tc>
      </w:tr>
      <w:tr>
        <w:trPr>
          <w:trHeight w:val="250"/>
        </w:trPr>
        <w:tc>
          <w:tcPr>
            <w:tcW w:w="54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PAGP Class C Shares</w:t>
            </w:r>
          </w:p>
        </w:tc>
        <w:tc>
          <w:tcPr>
            <w:tcW w:w="1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45"/>
        </w:trPr>
        <w:tc>
          <w:tcPr>
            <w:tcW w:w="360" w:type="dxa"/>
            <w:vAlign w:val="bottom"/>
            <w:tcBorders>
              <w:left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5100" w:type="dxa"/>
            <w:vAlign w:val="bottom"/>
          </w:tcPr>
          <w:p>
            <w:pPr>
              <w:ind w:left="60"/>
              <w:spacing w:after="0"/>
              <w:rPr>
                <w:sz w:val="20"/>
                <w:szCs w:val="20"/>
                <w:color w:val="auto"/>
              </w:rPr>
            </w:pPr>
            <w:r>
              <w:rPr>
                <w:rFonts w:ascii="Arial" w:cs="Arial" w:eastAsia="Arial" w:hAnsi="Arial"/>
                <w:sz w:val="18"/>
                <w:szCs w:val="18"/>
                <w:color w:val="auto"/>
                <w:w w:val="99"/>
              </w:rPr>
              <w:t>On Behalf of PAA Common Unitholders (excluding Plains AAP)</w:t>
            </w:r>
          </w:p>
        </w:tc>
        <w:tc>
          <w:tcPr>
            <w:tcW w:w="140" w:type="dxa"/>
            <w:vAlign w:val="bottom"/>
            <w:tcBorders>
              <w:right w:val="single" w:sz="8" w:color="424E6A"/>
            </w:tcBorders>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right w:val="single" w:sz="8" w:color="424E6A"/>
            </w:tcBorders>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Borders>
              <w:right w:val="single" w:sz="8" w:color="424E6A"/>
            </w:tcBorders>
          </w:tcPr>
          <w:p>
            <w:pPr>
              <w:spacing w:after="0"/>
              <w:rPr>
                <w:sz w:val="21"/>
                <w:szCs w:val="21"/>
                <w:color w:val="auto"/>
              </w:rPr>
            </w:pPr>
          </w:p>
        </w:tc>
      </w:tr>
      <w:tr>
        <w:trPr>
          <w:trHeight w:val="262"/>
        </w:trPr>
        <w:tc>
          <w:tcPr>
            <w:tcW w:w="3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0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(Nasdaq: PAA)</w:t>
            </w:r>
          </w:p>
        </w:tc>
        <w:tc>
          <w:tcPr>
            <w:tcW w:w="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rPr>
                <w:sz w:val="20"/>
                <w:szCs w:val="20"/>
                <w:color w:val="auto"/>
              </w:rPr>
            </w:pPr>
            <w:r>
              <w:rPr>
                <w:rFonts w:ascii="Arial" w:cs="Arial" w:eastAsia="Arial" w:hAnsi="Arial"/>
                <w:sz w:val="18"/>
                <w:szCs w:val="18"/>
                <w:color w:val="auto"/>
              </w:rPr>
              <w:t>​ 60.7%</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468.4 million</w:t>
            </w:r>
          </w:p>
        </w:tc>
      </w:tr>
      <w:tr>
        <w:trPr>
          <w:trHeight w:val="263"/>
        </w:trPr>
        <w:tc>
          <w:tcPr>
            <w:tcW w:w="360" w:type="dxa"/>
            <w:vAlign w:val="bottom"/>
            <w:tcBorders>
              <w:left w:val="single" w:sz="8" w:color="424E6A"/>
              <w:bottom w:val="single" w:sz="8" w:color="424E6A"/>
            </w:tcBorders>
            <w:shd w:val="clear" w:color="auto" w:fill="D9DCE1"/>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On Behalf of PAA Series A Preferred Unitholders</w:t>
            </w:r>
          </w:p>
        </w:tc>
        <w:tc>
          <w:tcPr>
            <w:tcW w:w="140" w:type="dxa"/>
            <w:vAlign w:val="bottom"/>
            <w:tcBorders>
              <w:bottom w:val="single" w:sz="8" w:color="424E6A"/>
              <w:right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shd w:val="clear" w:color="auto" w:fill="D9DCE1"/>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9.2%</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71.1 million</w:t>
            </w:r>
          </w:p>
        </w:tc>
      </w:tr>
      <w:tr>
        <w:trPr>
          <w:trHeight w:val="250"/>
        </w:trPr>
        <w:tc>
          <w:tcPr>
            <w:tcW w:w="54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100.0%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772.2 million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chart further illustrates our ownership structure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146050</wp:posOffset>
            </wp:positionV>
            <wp:extent cx="4568825" cy="4123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68825"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Considering the overall consolidated ownership and voting structure of PAGP and PAA,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following table lists who we believe are the top 10 holders of our voting securities based on combined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holdings of PAGP Class A Shares, PAGP Class B Shares, PAA Common Units (excluding Plains AAP)</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PAA Series A Preferred Units. These holdings are based on Schedule 13F filings as of</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31, 2023 and other publicly available information; the table below does not take into account</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holdings of investors who are not required to file a Schedule 13F or who do not otherwise publicly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disclose their holdings. It should be noted that Schedule 13F requires certain institutional investment</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managers to report holdings over which they exercise investment discretion (i.e., the power to buy or</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sell securities); such institutional investment managers may or may not also have voting discretion with</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respect to such holdings. (Holdings in 000s)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3040" w:type="dxa"/>
            <w:vAlign w:val="bottom"/>
            <w:tcBorders>
              <w:left w:val="single" w:sz="8" w:color="424E6A"/>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48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600" w:type="dxa"/>
            <w:vAlign w:val="bottom"/>
            <w:tcBorders>
              <w:right w:val="single" w:sz="8" w:color="424E6A"/>
            </w:tcBorders>
            <w:shd w:val="clear" w:color="auto" w:fill="424E6A"/>
          </w:tcPr>
          <w:p>
            <w:pPr>
              <w:spacing w:after="0"/>
              <w:rPr>
                <w:sz w:val="17"/>
                <w:szCs w:val="17"/>
                <w:color w:val="auto"/>
              </w:rPr>
            </w:pPr>
          </w:p>
        </w:tc>
        <w:tc>
          <w:tcPr>
            <w:tcW w:w="220" w:type="dxa"/>
            <w:vAlign w:val="bottom"/>
            <w:shd w:val="clear" w:color="auto" w:fill="424E6A"/>
          </w:tcPr>
          <w:p>
            <w:pPr>
              <w:spacing w:after="0"/>
              <w:rPr>
                <w:sz w:val="17"/>
                <w:szCs w:val="17"/>
                <w:color w:val="auto"/>
              </w:rPr>
            </w:pPr>
          </w:p>
        </w:tc>
        <w:tc>
          <w:tcPr>
            <w:tcW w:w="620" w:type="dxa"/>
            <w:vAlign w:val="bottom"/>
            <w:tcBorders>
              <w:right w:val="single" w:sz="8" w:color="424E6A"/>
            </w:tcBorders>
            <w:shd w:val="clear" w:color="auto" w:fill="424E6A"/>
          </w:tcPr>
          <w:p>
            <w:pPr>
              <w:spacing w:after="0"/>
              <w:rPr>
                <w:sz w:val="17"/>
                <w:szCs w:val="17"/>
                <w:color w:val="auto"/>
              </w:rPr>
            </w:pPr>
          </w:p>
        </w:tc>
        <w:tc>
          <w:tcPr>
            <w:tcW w:w="240" w:type="dxa"/>
            <w:vAlign w:val="bottom"/>
            <w:shd w:val="clear" w:color="auto" w:fill="424E6A"/>
          </w:tcPr>
          <w:p>
            <w:pPr>
              <w:spacing w:after="0"/>
              <w:rPr>
                <w:sz w:val="17"/>
                <w:szCs w:val="17"/>
                <w:color w:val="auto"/>
              </w:rPr>
            </w:pPr>
          </w:p>
        </w:tc>
        <w:tc>
          <w:tcPr>
            <w:tcW w:w="520" w:type="dxa"/>
            <w:vAlign w:val="bottom"/>
            <w:shd w:val="clear" w:color="auto" w:fill="424E6A"/>
          </w:tcPr>
          <w:p>
            <w:pPr>
              <w:jc w:val="center"/>
              <w:ind w:right="82"/>
              <w:spacing w:after="0"/>
              <w:rPr>
                <w:sz w:val="20"/>
                <w:szCs w:val="20"/>
                <w:color w:val="auto"/>
              </w:rPr>
            </w:pPr>
            <w:r>
              <w:rPr>
                <w:rFonts w:ascii="Arial" w:cs="Arial" w:eastAsia="Arial" w:hAnsi="Arial"/>
                <w:sz w:val="14"/>
                <w:szCs w:val="14"/>
                <w:b w:val="1"/>
                <w:bCs w:val="1"/>
                <w:color w:val="FFFFFF"/>
                <w:w w:val="94"/>
              </w:rPr>
              <w:t>PAA</w:t>
            </w:r>
          </w:p>
        </w:tc>
        <w:tc>
          <w:tcPr>
            <w:tcW w:w="140" w:type="dxa"/>
            <w:vAlign w:val="bottom"/>
            <w:tcBorders>
              <w:right w:val="single" w:sz="8" w:color="424E6A"/>
            </w:tcBorders>
            <w:shd w:val="clear" w:color="auto" w:fill="424E6A"/>
          </w:tcPr>
          <w:p>
            <w:pPr>
              <w:spacing w:after="0"/>
              <w:rPr>
                <w:sz w:val="17"/>
                <w:szCs w:val="17"/>
                <w:color w:val="auto"/>
              </w:rPr>
            </w:pPr>
          </w:p>
        </w:tc>
        <w:tc>
          <w:tcPr>
            <w:tcW w:w="68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 of</w:t>
            </w:r>
          </w:p>
        </w:tc>
        <w:tc>
          <w:tcPr>
            <w:tcW w:w="120" w:type="dxa"/>
            <w:vAlign w:val="bottom"/>
            <w:tcBorders>
              <w:right w:val="single" w:sz="8" w:color="424E6A"/>
            </w:tcBorders>
            <w:shd w:val="clear" w:color="auto" w:fill="424E6A"/>
          </w:tcPr>
          <w:p>
            <w:pPr>
              <w:spacing w:after="0"/>
              <w:rPr>
                <w:sz w:val="17"/>
                <w:szCs w:val="17"/>
                <w:color w:val="auto"/>
              </w:rPr>
            </w:pPr>
          </w:p>
        </w:tc>
      </w:tr>
      <w:tr>
        <w:trPr>
          <w:trHeight w:val="162"/>
        </w:trPr>
        <w:tc>
          <w:tcPr>
            <w:tcW w:w="3040" w:type="dxa"/>
            <w:vAlign w:val="bottom"/>
            <w:tcBorders>
              <w:left w:val="single" w:sz="8" w:color="424E6A"/>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480" w:type="dxa"/>
            <w:vAlign w:val="bottom"/>
            <w:shd w:val="clear" w:color="auto" w:fill="424E6A"/>
          </w:tcPr>
          <w:p>
            <w:pPr>
              <w:jc w:val="right"/>
              <w:ind w:right="3"/>
              <w:spacing w:after="0"/>
              <w:rPr>
                <w:sz w:val="20"/>
                <w:szCs w:val="20"/>
                <w:color w:val="auto"/>
              </w:rPr>
            </w:pPr>
            <w:r>
              <w:rPr>
                <w:rFonts w:ascii="Arial" w:cs="Arial" w:eastAsia="Arial" w:hAnsi="Arial"/>
                <w:sz w:val="14"/>
                <w:szCs w:val="14"/>
                <w:b w:val="1"/>
                <w:bCs w:val="1"/>
                <w:color w:val="FFFFFF"/>
                <w:w w:val="95"/>
              </w:rPr>
              <w:t>PAGP</w:t>
            </w:r>
          </w:p>
        </w:tc>
        <w:tc>
          <w:tcPr>
            <w:tcW w:w="12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600" w:type="dxa"/>
            <w:vAlign w:val="bottom"/>
            <w:tcBorders>
              <w:right w:val="single" w:sz="8" w:color="424E6A"/>
            </w:tcBorders>
            <w:shd w:val="clear" w:color="auto" w:fill="424E6A"/>
          </w:tcPr>
          <w:p>
            <w:pPr>
              <w:jc w:val="right"/>
              <w:ind w:right="127"/>
              <w:spacing w:after="0"/>
              <w:rPr>
                <w:sz w:val="20"/>
                <w:szCs w:val="20"/>
                <w:color w:val="auto"/>
              </w:rPr>
            </w:pPr>
            <w:r>
              <w:rPr>
                <w:rFonts w:ascii="Arial" w:cs="Arial" w:eastAsia="Arial" w:hAnsi="Arial"/>
                <w:sz w:val="14"/>
                <w:szCs w:val="14"/>
                <w:b w:val="1"/>
                <w:bCs w:val="1"/>
                <w:color w:val="FFFFFF"/>
                <w:w w:val="95"/>
              </w:rPr>
              <w:t>PAGP</w:t>
            </w:r>
          </w:p>
        </w:tc>
        <w:tc>
          <w:tcPr>
            <w:tcW w:w="220" w:type="dxa"/>
            <w:vAlign w:val="bottom"/>
            <w:shd w:val="clear" w:color="auto" w:fill="424E6A"/>
          </w:tcPr>
          <w:p>
            <w:pPr>
              <w:spacing w:after="0"/>
              <w:rPr>
                <w:sz w:val="14"/>
                <w:szCs w:val="14"/>
                <w:color w:val="auto"/>
              </w:rPr>
            </w:pPr>
          </w:p>
        </w:tc>
        <w:tc>
          <w:tcPr>
            <w:tcW w:w="620" w:type="dxa"/>
            <w:vAlign w:val="bottom"/>
            <w:tcBorders>
              <w:right w:val="single" w:sz="8" w:color="424E6A"/>
            </w:tcBorders>
            <w:shd w:val="clear" w:color="auto" w:fill="424E6A"/>
          </w:tcPr>
          <w:p>
            <w:pPr>
              <w:jc w:val="center"/>
              <w:ind w:right="188"/>
              <w:spacing w:after="0"/>
              <w:rPr>
                <w:sz w:val="20"/>
                <w:szCs w:val="20"/>
                <w:color w:val="auto"/>
              </w:rPr>
            </w:pPr>
            <w:r>
              <w:rPr>
                <w:rFonts w:ascii="Arial" w:cs="Arial" w:eastAsia="Arial" w:hAnsi="Arial"/>
                <w:sz w:val="14"/>
                <w:szCs w:val="14"/>
                <w:b w:val="1"/>
                <w:bCs w:val="1"/>
                <w:color w:val="FFFFFF"/>
                <w:w w:val="94"/>
              </w:rPr>
              <w:t>PAA</w:t>
            </w:r>
          </w:p>
        </w:tc>
        <w:tc>
          <w:tcPr>
            <w:tcW w:w="760" w:type="dxa"/>
            <w:vAlign w:val="bottom"/>
            <w:gridSpan w:val="2"/>
            <w:shd w:val="clear" w:color="auto" w:fill="424E6A"/>
          </w:tcPr>
          <w:p>
            <w:pPr>
              <w:jc w:val="center"/>
              <w:ind w:left="2"/>
              <w:spacing w:after="0"/>
              <w:rPr>
                <w:sz w:val="20"/>
                <w:szCs w:val="20"/>
                <w:color w:val="auto"/>
              </w:rPr>
            </w:pPr>
            <w:r>
              <w:rPr>
                <w:rFonts w:ascii="Arial" w:cs="Arial" w:eastAsia="Arial" w:hAnsi="Arial"/>
                <w:sz w:val="14"/>
                <w:szCs w:val="14"/>
                <w:b w:val="1"/>
                <w:bCs w:val="1"/>
                <w:color w:val="FFFFFF"/>
                <w:w w:val="99"/>
              </w:rPr>
              <w:t>Series A</w:t>
            </w:r>
          </w:p>
        </w:tc>
        <w:tc>
          <w:tcPr>
            <w:tcW w:w="140" w:type="dxa"/>
            <w:vAlign w:val="bottom"/>
            <w:tcBorders>
              <w:right w:val="single" w:sz="8" w:color="424E6A"/>
            </w:tcBorders>
            <w:shd w:val="clear" w:color="auto" w:fill="424E6A"/>
          </w:tcPr>
          <w:p>
            <w:pPr>
              <w:spacing w:after="0"/>
              <w:rPr>
                <w:sz w:val="14"/>
                <w:szCs w:val="14"/>
                <w:color w:val="auto"/>
              </w:rPr>
            </w:pPr>
          </w:p>
        </w:tc>
        <w:tc>
          <w:tcPr>
            <w:tcW w:w="68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Consolidated</w:t>
            </w:r>
          </w:p>
        </w:tc>
        <w:tc>
          <w:tcPr>
            <w:tcW w:w="120" w:type="dxa"/>
            <w:vAlign w:val="bottom"/>
            <w:tcBorders>
              <w:right w:val="single" w:sz="8" w:color="424E6A"/>
            </w:tcBorders>
            <w:shd w:val="clear" w:color="auto" w:fill="424E6A"/>
          </w:tcPr>
          <w:p>
            <w:pPr>
              <w:spacing w:after="0"/>
              <w:rPr>
                <w:sz w:val="14"/>
                <w:szCs w:val="14"/>
                <w:color w:val="auto"/>
              </w:rPr>
            </w:pPr>
          </w:p>
        </w:tc>
      </w:tr>
      <w:tr>
        <w:trPr>
          <w:trHeight w:val="162"/>
        </w:trPr>
        <w:tc>
          <w:tcPr>
            <w:tcW w:w="3040" w:type="dxa"/>
            <w:vAlign w:val="bottom"/>
            <w:tcBorders>
              <w:left w:val="single" w:sz="8" w:color="424E6A"/>
              <w:right w:val="single" w:sz="8" w:color="424E6A"/>
            </w:tcBorders>
            <w:shd w:val="clear" w:color="auto" w:fill="424E6A"/>
          </w:tcPr>
          <w:p>
            <w:pPr>
              <w:spacing w:after="0"/>
              <w:rPr>
                <w:sz w:val="14"/>
                <w:szCs w:val="14"/>
                <w:color w:val="auto"/>
              </w:rPr>
            </w:pPr>
          </w:p>
        </w:tc>
        <w:tc>
          <w:tcPr>
            <w:tcW w:w="620" w:type="dxa"/>
            <w:vAlign w:val="bottom"/>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Class A</w:t>
            </w:r>
          </w:p>
        </w:tc>
        <w:tc>
          <w:tcPr>
            <w:tcW w:w="120" w:type="dxa"/>
            <w:vAlign w:val="bottom"/>
            <w:tcBorders>
              <w:righ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Class B</w:t>
            </w:r>
          </w:p>
        </w:tc>
        <w:tc>
          <w:tcPr>
            <w:tcW w:w="840" w:type="dxa"/>
            <w:vAlign w:val="bottom"/>
            <w:tcBorders>
              <w:right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Common</w:t>
            </w:r>
          </w:p>
        </w:tc>
        <w:tc>
          <w:tcPr>
            <w:tcW w:w="760" w:type="dxa"/>
            <w:vAlign w:val="bottom"/>
            <w:gridSpan w:val="2"/>
            <w:shd w:val="clear" w:color="auto" w:fill="424E6A"/>
          </w:tcPr>
          <w:p>
            <w:pPr>
              <w:jc w:val="center"/>
              <w:ind w:left="2"/>
              <w:spacing w:after="0"/>
              <w:rPr>
                <w:sz w:val="20"/>
                <w:szCs w:val="20"/>
                <w:color w:val="auto"/>
              </w:rPr>
            </w:pPr>
            <w:r>
              <w:rPr>
                <w:rFonts w:ascii="Arial" w:cs="Arial" w:eastAsia="Arial" w:hAnsi="Arial"/>
                <w:sz w:val="14"/>
                <w:szCs w:val="14"/>
                <w:b w:val="1"/>
                <w:bCs w:val="1"/>
                <w:color w:val="FFFFFF"/>
              </w:rPr>
              <w:t>Preferred</w:t>
            </w:r>
          </w:p>
        </w:tc>
        <w:tc>
          <w:tcPr>
            <w:tcW w:w="140" w:type="dxa"/>
            <w:vAlign w:val="bottom"/>
            <w:tcBorders>
              <w:right w:val="single" w:sz="8" w:color="424E6A"/>
            </w:tcBorders>
            <w:shd w:val="clear" w:color="auto" w:fill="424E6A"/>
          </w:tcPr>
          <w:p>
            <w:pPr>
              <w:spacing w:after="0"/>
              <w:rPr>
                <w:sz w:val="14"/>
                <w:szCs w:val="14"/>
                <w:color w:val="auto"/>
              </w:rPr>
            </w:pPr>
          </w:p>
        </w:tc>
        <w:tc>
          <w:tcPr>
            <w:tcW w:w="680" w:type="dxa"/>
            <w:vAlign w:val="bottom"/>
            <w:shd w:val="clear" w:color="auto" w:fill="424E6A"/>
          </w:tcPr>
          <w:p>
            <w:pPr>
              <w:ind w:left="220"/>
              <w:spacing w:after="0"/>
              <w:rPr>
                <w:sz w:val="20"/>
                <w:szCs w:val="20"/>
                <w:color w:val="auto"/>
              </w:rPr>
            </w:pPr>
            <w:r>
              <w:rPr>
                <w:rFonts w:ascii="Arial" w:cs="Arial" w:eastAsia="Arial" w:hAnsi="Arial"/>
                <w:sz w:val="14"/>
                <w:szCs w:val="14"/>
                <w:b w:val="1"/>
                <w:bCs w:val="1"/>
                <w:color w:val="FFFFFF"/>
              </w:rPr>
              <w:t>Total</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Voting</w:t>
            </w:r>
          </w:p>
        </w:tc>
        <w:tc>
          <w:tcPr>
            <w:tcW w:w="120" w:type="dxa"/>
            <w:vAlign w:val="bottom"/>
            <w:tcBorders>
              <w:right w:val="single" w:sz="8" w:color="424E6A"/>
            </w:tcBorders>
            <w:shd w:val="clear" w:color="auto" w:fill="424E6A"/>
          </w:tcPr>
          <w:p>
            <w:pPr>
              <w:spacing w:after="0"/>
              <w:rPr>
                <w:sz w:val="14"/>
                <w:szCs w:val="14"/>
                <w:color w:val="auto"/>
              </w:rPr>
            </w:pPr>
          </w:p>
        </w:tc>
      </w:tr>
      <w:tr>
        <w:trPr>
          <w:trHeight w:val="212"/>
        </w:trPr>
        <w:tc>
          <w:tcPr>
            <w:tcW w:w="3040" w:type="dxa"/>
            <w:vAlign w:val="bottom"/>
            <w:tcBorders>
              <w:left w:val="single" w:sz="8" w:color="424E6A"/>
              <w:righ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6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right w:val="single" w:sz="8" w:color="424E6A"/>
            </w:tcBorders>
            <w:shd w:val="clear" w:color="auto" w:fill="424E6A"/>
          </w:tcPr>
          <w:p>
            <w:pPr>
              <w:spacing w:after="0"/>
              <w:rPr>
                <w:sz w:val="18"/>
                <w:szCs w:val="18"/>
                <w:color w:val="auto"/>
              </w:rPr>
            </w:pPr>
          </w:p>
        </w:tc>
        <w:tc>
          <w:tcPr>
            <w:tcW w:w="740" w:type="dxa"/>
            <w:vAlign w:val="bottom"/>
            <w:tcBorders>
              <w:right w:val="single" w:sz="8" w:color="424E6A"/>
            </w:tcBorders>
            <w:gridSpan w:val="2"/>
            <w:shd w:val="clear" w:color="auto" w:fill="424E6A"/>
          </w:tcPr>
          <w:p>
            <w:pPr>
              <w:jc w:val="right"/>
              <w:ind w:right="67"/>
              <w:spacing w:after="0"/>
              <w:rPr>
                <w:sz w:val="20"/>
                <w:szCs w:val="20"/>
                <w:color w:val="auto"/>
              </w:rPr>
            </w:pPr>
            <w:r>
              <w:rPr>
                <w:rFonts w:ascii="Arial" w:cs="Arial" w:eastAsia="Arial" w:hAnsi="Arial"/>
                <w:sz w:val="14"/>
                <w:szCs w:val="14"/>
                <w:b w:val="1"/>
                <w:bCs w:val="1"/>
                <w:color w:val="FFFFFF"/>
              </w:rPr>
              <w:t>Shares</w:t>
            </w:r>
          </w:p>
        </w:tc>
        <w:tc>
          <w:tcPr>
            <w:tcW w:w="220" w:type="dxa"/>
            <w:vAlign w:val="bottom"/>
            <w:shd w:val="clear" w:color="auto" w:fill="424E6A"/>
          </w:tcPr>
          <w:p>
            <w:pPr>
              <w:spacing w:after="0"/>
              <w:rPr>
                <w:sz w:val="18"/>
                <w:szCs w:val="18"/>
                <w:color w:val="auto"/>
              </w:rPr>
            </w:pPr>
          </w:p>
        </w:tc>
        <w:tc>
          <w:tcPr>
            <w:tcW w:w="620" w:type="dxa"/>
            <w:vAlign w:val="bottom"/>
            <w:tcBorders>
              <w:right w:val="single" w:sz="8" w:color="424E6A"/>
            </w:tcBorders>
            <w:shd w:val="clear" w:color="auto" w:fill="424E6A"/>
          </w:tcPr>
          <w:p>
            <w:pPr>
              <w:jc w:val="center"/>
              <w:ind w:right="148"/>
              <w:spacing w:after="0"/>
              <w:rPr>
                <w:sz w:val="20"/>
                <w:szCs w:val="20"/>
                <w:color w:val="auto"/>
              </w:rPr>
            </w:pPr>
            <w:r>
              <w:rPr>
                <w:rFonts w:ascii="Arial" w:cs="Arial" w:eastAsia="Arial" w:hAnsi="Arial"/>
                <w:sz w:val="14"/>
                <w:szCs w:val="14"/>
                <w:b w:val="1"/>
                <w:bCs w:val="1"/>
                <w:color w:val="FFFFFF"/>
              </w:rPr>
              <w:t>Units</w:t>
            </w:r>
          </w:p>
        </w:tc>
        <w:tc>
          <w:tcPr>
            <w:tcW w:w="24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424E6A"/>
          </w:tcPr>
          <w:p>
            <w:pPr>
              <w:jc w:val="center"/>
              <w:ind w:right="42"/>
              <w:spacing w:after="0"/>
              <w:rPr>
                <w:sz w:val="20"/>
                <w:szCs w:val="20"/>
                <w:color w:val="auto"/>
              </w:rPr>
            </w:pPr>
            <w:r>
              <w:rPr>
                <w:rFonts w:ascii="Arial" w:cs="Arial" w:eastAsia="Arial" w:hAnsi="Arial"/>
                <w:sz w:val="14"/>
                <w:szCs w:val="14"/>
                <w:b w:val="1"/>
                <w:bCs w:val="1"/>
                <w:color w:val="FFFFFF"/>
              </w:rPr>
              <w:t>Units</w:t>
            </w:r>
          </w:p>
        </w:tc>
        <w:tc>
          <w:tcPr>
            <w:tcW w:w="1060" w:type="dxa"/>
            <w:vAlign w:val="bottom"/>
            <w:gridSpan w:val="4"/>
            <w:shd w:val="clear" w:color="auto" w:fill="424E6A"/>
          </w:tcPr>
          <w:p>
            <w:pPr>
              <w:jc w:val="right"/>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Holdings </w:t>
            </w:r>
            <w:r>
              <w:rPr>
                <w:rFonts w:ascii="Arial" w:cs="Arial" w:eastAsia="Arial" w:hAnsi="Arial"/>
                <w:sz w:val="22"/>
                <w:szCs w:val="22"/>
                <w:b w:val="1"/>
                <w:bCs w:val="1"/>
                <w:color w:val="FFFFFF"/>
                <w:vertAlign w:val="subscript"/>
              </w:rPr>
              <w:t>​ ​</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Structure</w:t>
            </w:r>
          </w:p>
        </w:tc>
        <w:tc>
          <w:tcPr>
            <w:tcW w:w="120" w:type="dxa"/>
            <w:vAlign w:val="bottom"/>
            <w:tcBorders>
              <w:right w:val="single" w:sz="8" w:color="424E6A"/>
            </w:tcBorders>
            <w:shd w:val="clear" w:color="auto" w:fill="424E6A"/>
          </w:tcPr>
          <w:p>
            <w:pPr>
              <w:spacing w:after="0"/>
              <w:rPr>
                <w:sz w:val="18"/>
                <w:szCs w:val="18"/>
                <w:color w:val="auto"/>
              </w:rPr>
            </w:pPr>
          </w:p>
        </w:tc>
      </w:tr>
      <w:tr>
        <w:trPr>
          <w:trHeight w:val="243"/>
        </w:trPr>
        <w:tc>
          <w:tcPr>
            <w:tcW w:w="3040" w:type="dxa"/>
            <w:vAlign w:val="bottom"/>
            <w:tcBorders>
              <w:left w:val="single" w:sz="8" w:color="424E6A"/>
              <w:bottom w:val="single" w:sz="8" w:color="424E6A"/>
              <w:right w:val="single" w:sz="8" w:color="424E6A"/>
            </w:tcBorders>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ALPS Advisors</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60,732 </w:t>
            </w:r>
            <w:r>
              <w:rPr>
                <w:rFonts w:ascii="Arial" w:cs="Arial" w:eastAsia="Arial" w:hAnsi="Arial"/>
                <w:sz w:val="28"/>
                <w:szCs w:val="28"/>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shd w:val="clear" w:color="auto" w:fill="D9DCE1"/>
          </w:tcPr>
          <w:p>
            <w:pPr>
              <w:jc w:val="right"/>
              <w:spacing w:after="0" w:line="243"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61,515 </w:t>
            </w:r>
            <w:r>
              <w:rPr>
                <w:rFonts w:ascii="Arial" w:cs="Arial" w:eastAsia="Arial" w:hAnsi="Arial"/>
                <w:sz w:val="28"/>
                <w:szCs w:val="28"/>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EMG Investments/John Raymond</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11,459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1,603 </w:t>
            </w:r>
            <w:r>
              <w:rPr>
                <w:rFonts w:ascii="Arial" w:cs="Arial" w:eastAsia="Arial" w:hAnsi="Arial"/>
                <w:sz w:val="27"/>
                <w:szCs w:val="27"/>
                <w:color w:val="auto"/>
                <w:vertAlign w:val="subscript"/>
              </w:rPr>
              <w:t>​</w:t>
            </w:r>
          </w:p>
        </w:tc>
        <w:tc>
          <w:tcPr>
            <w:tcW w:w="900" w:type="dxa"/>
            <w:vAlign w:val="bottom"/>
            <w:tcBorders>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20,376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33,710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4.4%</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Invesco Advisors</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3,135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29,916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33,052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4.3%</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Tortoise Capital Advisors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11,538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18,351 </w:t>
            </w:r>
            <w:r>
              <w:rPr>
                <w:rFonts w:ascii="Arial" w:cs="Arial" w:eastAsia="Arial" w:hAnsi="Arial"/>
                <w:sz w:val="27"/>
                <w:szCs w:val="27"/>
                <w:color w:val="auto"/>
                <w:vertAlign w:val="subscript"/>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29,889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3.9%</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Harvest Fund Advisors</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2,810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23,220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26,030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3.4%</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EnCap</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220" w:type="dxa"/>
            <w:vAlign w:val="bottom"/>
            <w:tcBorders>
              <w:bottom w:val="single" w:sz="8" w:color="424E6A"/>
            </w:tcBorders>
          </w:tcPr>
          <w:p>
            <w:pPr>
              <w:ind w:left="14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900" w:type="dxa"/>
            <w:vAlign w:val="bottom"/>
            <w:tcBorders>
              <w:bottom w:val="single" w:sz="8" w:color="424E6A"/>
              <w:right w:val="single" w:sz="8" w:color="424E6A"/>
            </w:tcBorders>
            <w:gridSpan w:val="3"/>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25,357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25,357 </w:t>
            </w:r>
            <w:r>
              <w:rPr>
                <w:rFonts w:ascii="Arial" w:cs="Arial" w:eastAsia="Arial" w:hAnsi="Arial"/>
                <w:sz w:val="27"/>
                <w:szCs w:val="27"/>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3.3%</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Goldman Sachs Asset Management</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6,547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15,941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22,487 </w:t>
            </w:r>
            <w:r>
              <w:rPr>
                <w:rFonts w:ascii="Arial" w:cs="Arial" w:eastAsia="Arial" w:hAnsi="Arial"/>
                <w:sz w:val="27"/>
                <w:szCs w:val="27"/>
                <w:color w:val="auto"/>
                <w:vertAlign w:val="subscript"/>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2.9%</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Energy Income Partners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11,312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4,385 </w:t>
            </w:r>
            <w:r>
              <w:rPr>
                <w:rFonts w:ascii="Arial" w:cs="Arial" w:eastAsia="Arial" w:hAnsi="Arial"/>
                <w:sz w:val="27"/>
                <w:szCs w:val="27"/>
                <w:color w:val="auto"/>
                <w:vertAlign w:val="subscript"/>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15,697</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r>
        <w:trPr>
          <w:trHeight w:val="236"/>
        </w:trPr>
        <w:tc>
          <w:tcPr>
            <w:tcW w:w="3040" w:type="dxa"/>
            <w:vAlign w:val="bottom"/>
            <w:tcBorders>
              <w:left w:val="single" w:sz="8" w:color="424E6A"/>
              <w:bottom w:val="single" w:sz="8" w:color="424E6A"/>
              <w:right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ClearBridge Investments</w:t>
            </w:r>
          </w:p>
        </w:tc>
        <w:tc>
          <w:tcPr>
            <w:tcW w:w="740" w:type="dxa"/>
            <w:vAlign w:val="bottom"/>
            <w:tcBorders>
              <w:bottom w:val="single" w:sz="8" w:color="424E6A"/>
              <w:right w:val="single" w:sz="8" w:color="424E6A"/>
            </w:tcBorders>
            <w:gridSpan w:val="3"/>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8,332 </w:t>
            </w:r>
            <w:r>
              <w:rPr>
                <w:rFonts w:ascii="Arial" w:cs="Arial" w:eastAsia="Arial" w:hAnsi="Arial"/>
                <w:sz w:val="27"/>
                <w:szCs w:val="27"/>
                <w:color w:val="auto"/>
                <w:vertAlign w:val="subscript"/>
              </w:rPr>
              <w:t>​</w:t>
            </w:r>
          </w:p>
        </w:tc>
        <w:tc>
          <w:tcPr>
            <w:tcW w:w="14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840" w:type="dxa"/>
            <w:vAlign w:val="bottom"/>
            <w:tcBorders>
              <w:bottom w:val="single" w:sz="8" w:color="424E6A"/>
              <w:right w:val="single" w:sz="8" w:color="424E6A"/>
            </w:tcBorders>
            <w:gridSpan w:val="2"/>
            <w:shd w:val="clear" w:color="auto" w:fill="D9DCE1"/>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6,704 </w:t>
            </w:r>
            <w:r>
              <w:rPr>
                <w:rFonts w:ascii="Arial" w:cs="Arial" w:eastAsia="Arial" w:hAnsi="Arial"/>
                <w:sz w:val="27"/>
                <w:szCs w:val="27"/>
                <w:color w:val="auto"/>
                <w:vertAlign w:val="subscript"/>
              </w:rPr>
              <w:t>​</w:t>
            </w:r>
          </w:p>
        </w:tc>
        <w:tc>
          <w:tcPr>
            <w:tcW w:w="2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shd w:val="clear" w:color="auto" w:fill="D9DCE1"/>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15,036</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shd w:val="clear" w:color="auto" w:fill="D9DCE1"/>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color w:val="auto"/>
              </w:rPr>
              <w:t>​</w:t>
            </w:r>
          </w:p>
        </w:tc>
      </w:tr>
      <w:tr>
        <w:trPr>
          <w:trHeight w:val="237"/>
        </w:trPr>
        <w:tc>
          <w:tcPr>
            <w:tcW w:w="3040" w:type="dxa"/>
            <w:vAlign w:val="bottom"/>
            <w:tcBorders>
              <w:left w:val="single" w:sz="8" w:color="424E6A"/>
              <w:bottom w:val="single" w:sz="8" w:color="424E6A"/>
              <w:right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Mirae Asset Global Investments</w:t>
            </w:r>
          </w:p>
        </w:tc>
        <w:tc>
          <w:tcPr>
            <w:tcW w:w="740" w:type="dxa"/>
            <w:vAlign w:val="bottom"/>
            <w:tcBorders>
              <w:bottom w:val="single" w:sz="8" w:color="424E6A"/>
              <w:right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1,369 </w:t>
            </w:r>
            <w:r>
              <w:rPr>
                <w:rFonts w:ascii="Arial" w:cs="Arial" w:eastAsia="Arial" w:hAnsi="Arial"/>
                <w:sz w:val="27"/>
                <w:szCs w:val="27"/>
                <w:color w:val="auto"/>
                <w:vertAlign w:val="subscript"/>
              </w:rPr>
              <w:t>​</w:t>
            </w:r>
          </w:p>
        </w:tc>
        <w:tc>
          <w:tcPr>
            <w:tcW w:w="140" w:type="dxa"/>
            <w:vAlign w:val="bottom"/>
            <w:tcBorders>
              <w:bottom w:val="single" w:sz="8" w:color="424E6A"/>
            </w:tcBorders>
          </w:tcPr>
          <w:p>
            <w:pPr>
              <w:ind w:left="1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424E6A"/>
              <w:right w:val="single" w:sz="8" w:color="424E6A"/>
            </w:tcBorders>
          </w:tcPr>
          <w:p>
            <w:pPr>
              <w:jc w:val="right"/>
              <w:spacing w:after="0" w:line="236" w:lineRule="exact"/>
              <w:rPr>
                <w:sz w:val="20"/>
                <w:szCs w:val="20"/>
                <w:color w:val="auto"/>
              </w:rPr>
            </w:pPr>
            <w:r>
              <w:rPr>
                <w:rFonts w:ascii="Arial" w:cs="Arial" w:eastAsia="Arial" w:hAnsi="Arial"/>
                <w:sz w:val="14"/>
                <w:szCs w:val="14"/>
                <w:color w:val="auto"/>
              </w:rPr>
              <w:t xml:space="preserve">— </w:t>
            </w:r>
            <w:r>
              <w:rPr>
                <w:rFonts w:ascii="Arial" w:cs="Arial" w:eastAsia="Arial" w:hAnsi="Arial"/>
                <w:sz w:val="27"/>
                <w:szCs w:val="27"/>
                <w:color w:val="auto"/>
                <w:vertAlign w:val="subscript"/>
              </w:rPr>
              <w:t>​</w:t>
            </w:r>
          </w:p>
        </w:tc>
        <w:tc>
          <w:tcPr>
            <w:tcW w:w="840" w:type="dxa"/>
            <w:vAlign w:val="bottom"/>
            <w:tcBorders>
              <w:bottom w:val="single" w:sz="8" w:color="424E6A"/>
              <w:right w:val="single" w:sz="8" w:color="424E6A"/>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12,908 </w:t>
            </w:r>
            <w:r>
              <w:rPr>
                <w:rFonts w:ascii="Arial" w:cs="Arial" w:eastAsia="Arial" w:hAnsi="Arial"/>
                <w:sz w:val="27"/>
                <w:szCs w:val="27"/>
                <w:color w:val="auto"/>
                <w:vertAlign w:val="subscript"/>
              </w:rPr>
              <w:t>​</w:t>
            </w:r>
          </w:p>
        </w:tc>
        <w:tc>
          <w:tcPr>
            <w:tcW w:w="24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 ​</w:t>
            </w:r>
          </w:p>
        </w:tc>
        <w:tc>
          <w:tcPr>
            <w:tcW w:w="520" w:type="dxa"/>
            <w:vAlign w:val="bottom"/>
            <w:tcBorders>
              <w:bottom w:val="single" w:sz="8" w:color="424E6A"/>
            </w:tcBorders>
          </w:tcPr>
          <w:p>
            <w:pPr>
              <w:ind w:lef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ind w:left="40"/>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14,277</w:t>
            </w:r>
          </w:p>
        </w:tc>
        <w:tc>
          <w:tcPr>
            <w:tcW w:w="16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tcBorders>
          </w:tcPr>
          <w:p>
            <w:pPr>
              <w:ind w:left="3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r>
    </w:tbl>
    <w:p>
      <w:pPr>
        <w:spacing w:after="0" w:line="130" w:lineRule="exact"/>
        <w:rPr>
          <w:sz w:val="20"/>
          <w:szCs w:val="20"/>
          <w:color w:val="auto"/>
        </w:rPr>
      </w:pPr>
    </w:p>
    <w:p>
      <w:pPr>
        <w:ind w:left="1260" w:right="439" w:firstLine="360"/>
        <w:spacing w:after="0" w:line="284" w:lineRule="auto"/>
        <w:rPr>
          <w:sz w:val="20"/>
          <w:szCs w:val="20"/>
          <w:color w:val="auto"/>
        </w:rPr>
      </w:pPr>
      <w:r>
        <w:rPr>
          <w:rFonts w:ascii="Arial" w:cs="Arial" w:eastAsia="Arial" w:hAnsi="Arial"/>
          <w:sz w:val="18"/>
          <w:szCs w:val="18"/>
          <w:color w:val="auto"/>
        </w:rPr>
        <w:t>See “Security Ownership of Certain Beneficial Owners and Management” beginning on page 59 for additional information regarding beneficial ownership of our securities, including ownership by our Directors and executive officers.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w:t>
      </w:r>
    </w:p>
    <w:p>
      <w:pPr>
        <w:spacing w:after="0" w:line="158"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Mr. Chiang serves as Chairman of the Board and as CEO, and Mr. Shackouls serves as Lead Director.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Role in Risk Oversight</w:t>
      </w:r>
    </w:p>
    <w:p>
      <w:pPr>
        <w:spacing w:after="0" w:line="14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8"/>
          <w:szCs w:val="18"/>
          <w:color w:val="auto"/>
        </w:rPr>
        <w:t>With respect to the management of enterprise-level risk (“ELR”), which is the process of identifying, managing and monitoring events that present opportunities and risks with respect to the operation of our business and the creation of value for our shareholders, the Board has delegated primary responsibility to management while retaining oversight responsibility. Management evaluates short-, medium- and long-term risks on an ongoing basis and provides a formal ELR assessment to the Board at least once every year and provides updates on other areas of potential risk on at least a quarterly basis.</w:t>
      </w:r>
    </w:p>
    <w:p>
      <w:pPr>
        <w:spacing w:after="0" w:line="103"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8"/>
          <w:szCs w:val="18"/>
          <w:color w:val="auto"/>
        </w:rPr>
        <w:t>We believe that our Board leadership and committee structure supports the Board’s risk oversight function by facilitating open and regular communication between management and the directors, which allows informed oversight of management’s processes for identifying and managing significant risks and their impact on PAA’s business. The Board’s various committees (Audit, Governance, Compensation and HSES) assist the Board with respect to its oversight of risks related to the specific areas of focus for each committee.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Non-Management Executive Sessions and Shareholder Communications</w:t>
      </w:r>
    </w:p>
    <w:p>
      <w:pPr>
        <w:spacing w:after="0" w:line="158" w:lineRule="exact"/>
        <w:rPr>
          <w:sz w:val="20"/>
          <w:szCs w:val="20"/>
          <w:color w:val="auto"/>
        </w:rPr>
      </w:pPr>
    </w:p>
    <w:p>
      <w:pPr>
        <w:jc w:val="both"/>
        <w:ind w:left="1260" w:right="939" w:firstLine="360"/>
        <w:spacing w:after="0" w:line="291" w:lineRule="auto"/>
        <w:rPr>
          <w:sz w:val="20"/>
          <w:szCs w:val="20"/>
          <w:color w:val="auto"/>
        </w:rPr>
      </w:pPr>
      <w:r>
        <w:rPr>
          <w:rFonts w:ascii="Arial" w:cs="Arial" w:eastAsia="Arial" w:hAnsi="Arial"/>
          <w:sz w:val="17"/>
          <w:szCs w:val="17"/>
          <w:color w:val="auto"/>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p>
    <w:p>
      <w:pPr>
        <w:spacing w:after="0" w:line="85" w:lineRule="exact"/>
        <w:rPr>
          <w:sz w:val="20"/>
          <w:szCs w:val="20"/>
          <w:color w:val="auto"/>
        </w:rPr>
      </w:pPr>
    </w:p>
    <w:p>
      <w:pPr>
        <w:ind w:left="1260" w:right="579" w:firstLine="360"/>
        <w:spacing w:after="0" w:line="262" w:lineRule="auto"/>
        <w:rPr>
          <w:sz w:val="20"/>
          <w:szCs w:val="20"/>
          <w:color w:val="auto"/>
        </w:rPr>
      </w:pPr>
      <w:r>
        <w:rPr>
          <w:rFonts w:ascii="Arial" w:cs="Arial" w:eastAsia="Arial" w:hAnsi="Arial"/>
          <w:sz w:val="18"/>
          <w:szCs w:val="18"/>
          <w:color w:val="auto"/>
        </w:rPr>
        <w:t>Interested shareholders can communicate with non-management directors regarding PAGP’s business and affairs by mail in care of the General Counsel and Secretary or in care of the Vice President of Internal Audit at Plains All American Pipeline, L.P., 333 Clay Street, Suite 1600, Houston, Texas 77002. Commercial solicitations or communications will be disregarded.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Independence Determinations</w:t>
      </w:r>
    </w:p>
    <w:p>
      <w:pPr>
        <w:spacing w:after="0" w:line="14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nine directors who are not current or former members of management (Messrs. Burk, McCarthy, Petersen, Raymond, Shackouls, Temple and Ziemba,</w:t>
      </w:r>
    </w:p>
    <w:p>
      <w:pPr>
        <w:spacing w:after="0" w:line="3" w:lineRule="exact"/>
        <w:rPr>
          <w:sz w:val="20"/>
          <w:szCs w:val="20"/>
          <w:color w:val="auto"/>
        </w:rPr>
      </w:pPr>
    </w:p>
    <w:p>
      <w:pPr>
        <w:ind w:left="1260" w:right="799"/>
        <w:spacing w:after="0" w:line="266" w:lineRule="auto"/>
        <w:rPr>
          <w:sz w:val="20"/>
          <w:szCs w:val="20"/>
          <w:color w:val="auto"/>
        </w:rPr>
      </w:pPr>
      <w:r>
        <w:rPr>
          <w:rFonts w:ascii="Arial" w:cs="Arial" w:eastAsia="Arial" w:hAnsi="Arial"/>
          <w:sz w:val="18"/>
          <w:szCs w:val="18"/>
          <w:color w:val="auto"/>
        </w:rPr>
        <w:t>Ms. DeSanctis and Ms. Pruner) and has concluded that all of such directors are independent under applicable Nasdaq and SEC standards.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Committee</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Our Audit Committee reviews our external financial reporting, engages our independent auditors, reviews the adequacy of our internal accounting controls and discusses with management our major financial risk exposures and steps management has taken to monitor and control such exposures. The charter of our Audit Committee is available on our website. See “— Meetings and Other Information” for information on how to access or obtain copies of this charter. The Board has determined that each member of our Audit Committee (Messrs. Burk (chair) and Ziemba, Ms. DeSanctis and Ms. Pruner) is</w:t>
      </w:r>
    </w:p>
    <w:p>
      <w:pPr>
        <w:spacing w:after="0" w:line="5" w:lineRule="exact"/>
        <w:rPr>
          <w:sz w:val="20"/>
          <w:szCs w:val="20"/>
          <w:color w:val="auto"/>
        </w:rPr>
      </w:pPr>
    </w:p>
    <w:p>
      <w:pPr>
        <w:ind w:left="1260" w:right="479"/>
        <w:spacing w:after="0" w:line="258" w:lineRule="auto"/>
        <w:tabs>
          <w:tab w:leader="none" w:pos="146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under applicable Nasdaq and SEC rules, and (ii) financially literate. The Board has also determined that each of Mr. Burk and Ms. Pruner qualifies as an Audit Committee Financial Expert as that term is defined in Item 407 of Regulation S-K.</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Compensation Committee Interlocks and Insider Participation</w:t>
      </w:r>
    </w:p>
    <w:p>
      <w:pPr>
        <w:spacing w:after="0" w:line="158" w:lineRule="exact"/>
        <w:rPr>
          <w:sz w:val="20"/>
          <w:szCs w:val="20"/>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Shackouls and Temple.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 has engaged Meridian Compensation Partners, LLC (“Meridian”) to conduct independent annual reviews and benchmark studies of our executive compensation program and practices.</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During 2023,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The Energy &amp; Minerals Group (“EMG”) and Mr. Petersen is associated with EnCap Investments LP (“EnCap”). We have ordinary course business relationships with entities affiliated with EMG and EnCap; however, the Board has determined that these relationships do not impact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Raymond’s or Mr. Petersen’s independence. See “Certain Relationships and Related Transactions.”</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Governance Committee</w:t>
      </w:r>
    </w:p>
    <w:p>
      <w:pPr>
        <w:spacing w:after="0" w:line="158"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Although not required by Nasdaq listing standards, we also have a Governance Committee that periodically reviews our governance structure, policies and principles, oversees the Board’s annual self-assessment and committee and individual director evaluation processes, and assists with succession planning and other governance-related activities, including identifying and assessing director nominees. See “Proposal 1 — Election of Class III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McCarthy and Petersen and Ms. Pruner.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the Governance Committee are independent under applicable Nasdaq and SEC standards.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HSES Committee</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In February 2021, the Board established the HSES Committee to assist the Board in its evaluation and oversight of our (i) management of HSES matters, including compliance with applicable laws and regulations; (ii) 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certain ESG matters. The charter of our HSES Committee is available on our website. See “— Meetings and Other Information” for information on how to access or obtain copies of this charter. The HSES Committee currently consists of Messrs. Ziemba (chair), McCarthy and Temple and Ms. DeSanctis. The Board has determined that all of the current members of the HSES Committee are independent under applicable Nasdaq and SEC standards.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Meetings and Other Information</w:t>
      </w:r>
    </w:p>
    <w:p>
      <w:pPr>
        <w:spacing w:after="0" w:line="144"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During 2023, our Board had four meetings, our Audit Committee had nine meetings, our Compensation Committee had two meetings, our Governance Committee had one meeting and our HSES Committee had five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2023, all of our directors attended all meetings of the Board and applicable committees of the Board on which the director served, other than one director who missed one committee meeting. Board members are encouraged, but not required, to attend our annual meetings; eight Board members attended our annual meeting in 2023.</w:t>
      </w:r>
    </w:p>
    <w:p>
      <w:pPr>
        <w:spacing w:after="0" w:line="11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Structure and Governance tab in the Investor</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99"/>
        <w:spacing w:after="0" w:line="259" w:lineRule="auto"/>
        <w:rPr>
          <w:sz w:val="20"/>
          <w:szCs w:val="20"/>
          <w:color w:val="auto"/>
        </w:rPr>
      </w:pPr>
      <w:r>
        <w:rPr>
          <w:rFonts w:ascii="Arial" w:cs="Arial" w:eastAsia="Arial" w:hAnsi="Arial"/>
          <w:sz w:val="18"/>
          <w:szCs w:val="18"/>
          <w:color w:val="auto"/>
        </w:rPr>
        <w:t xml:space="preserve">Relations section of our Internet website at </w:t>
      </w:r>
      <w:r>
        <w:rPr>
          <w:rFonts w:ascii="Arial" w:cs="Arial" w:eastAsia="Arial" w:hAnsi="Arial"/>
          <w:sz w:val="18"/>
          <w:szCs w:val="18"/>
          <w:i w:val="1"/>
          <w:iCs w:val="1"/>
          <w:color w:val="auto"/>
        </w:rPr>
        <w:t>http://www.plains.com</w:t>
      </w:r>
      <w:r>
        <w:rPr>
          <w:rFonts w:ascii="Arial" w:cs="Arial" w:eastAsia="Arial" w:hAnsi="Arial"/>
          <w:sz w:val="18"/>
          <w:szCs w:val="18"/>
          <w:color w:val="auto"/>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Conflicts Committee/Fiduciary Duties</w:t>
      </w:r>
    </w:p>
    <w:p>
      <w:pPr>
        <w:spacing w:after="0" w:line="158"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Transactions —Review,​ Approval or Ratification of Transactions with Related Persons.”</w:t>
      </w:r>
    </w:p>
    <w:p>
      <w:pPr>
        <w:spacing w:after="0" w:line="10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 ELECTION OF CLASS III DIRECTORS</w:t>
      </w:r>
    </w:p>
    <w:p>
      <w:pPr>
        <w:spacing w:after="0" w:line="158" w:lineRule="exact"/>
        <w:rPr>
          <w:sz w:val="20"/>
          <w:szCs w:val="20"/>
          <w:color w:val="auto"/>
        </w:rPr>
      </w:pPr>
    </w:p>
    <w:p>
      <w:pPr>
        <w:jc w:val="center"/>
        <w:ind w:left="1860" w:right="14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ELECTION OF EACH OF GREG ARMSTRONG, JOHN RAYMOND AND BOBBY SHACKOULS TO SERVE AS A CLASS III DIRECTOR ON OUR GENERAL PARTNER’S BOARD OF DIRECTORS UNTIL THE 2027 ANNUAL MEETING.</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5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i w:val="1"/>
          <w:iCs w:val="1"/>
          <w:color w:val="auto"/>
        </w:rPr>
        <w:t xml:space="preserve">General Overview and Board Makeup. </w:t>
      </w:r>
      <w:r>
        <w:rPr>
          <w:rFonts w:ascii="Arial" w:cs="Arial" w:eastAsia="Arial" w:hAnsi="Arial"/>
          <w:sz w:val="18"/>
          <w:szCs w:val="18"/>
          <w:color w:val="auto"/>
        </w:rPr>
        <w:t>Our Board has responsibility for managing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and affairs of PAGP and PAA. The Board currently has 12 members, including the CEO, who currently serves as Chairman of the Board. As contemplated by our governing documents, because the roles of CEO and Board Chair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p>
    <w:p>
      <w:pPr>
        <w:spacing w:after="0" w:line="11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Class A, B or C shares have the right to nominate individuals to stand for election at an annual meeting. For a description of such ownership and notice requirements, see “Director Nominations and Shareholder Proposals for the 2025 Annual Meeting” on page 72.</w:t>
      </w:r>
    </w:p>
    <w:p>
      <w:pPr>
        <w:spacing w:after="0" w:line="101"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2024 PAA and PAGP Annual Meetings were nominated by the Board (excluding the vote of the directors whose terms are expiring); no other nominations were received.</w:t>
      </w:r>
    </w:p>
    <w:p>
      <w:pPr>
        <w:spacing w:after="0" w:line="90"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320" w:type="dxa"/>
            <w:vAlign w:val="bottom"/>
            <w:tcBorders>
              <w:left w:val="single" w:sz="8" w:color="424E6A"/>
              <w:right w:val="single" w:sz="8" w:color="424E6A"/>
            </w:tcBorders>
            <w:shd w:val="clear" w:color="auto" w:fill="424E6A"/>
          </w:tcPr>
          <w:p>
            <w:pPr>
              <w:spacing w:after="0"/>
              <w:rPr>
                <w:sz w:val="17"/>
                <w:szCs w:val="17"/>
                <w:color w:val="auto"/>
              </w:rPr>
            </w:pPr>
          </w:p>
        </w:tc>
        <w:tc>
          <w:tcPr>
            <w:tcW w:w="960" w:type="dxa"/>
            <w:vAlign w:val="bottom"/>
            <w:tcBorders>
              <w:right w:val="single" w:sz="8" w:color="424E6A"/>
            </w:tcBorders>
            <w:shd w:val="clear" w:color="auto" w:fill="424E6A"/>
          </w:tcPr>
          <w:p>
            <w:pPr>
              <w:spacing w:after="0"/>
              <w:rPr>
                <w:sz w:val="17"/>
                <w:szCs w:val="17"/>
                <w:color w:val="auto"/>
              </w:rPr>
            </w:pPr>
          </w:p>
        </w:tc>
        <w:tc>
          <w:tcPr>
            <w:tcW w:w="840" w:type="dxa"/>
            <w:vAlign w:val="bottom"/>
            <w:tcBorders>
              <w:right w:val="single" w:sz="8" w:color="424E6A"/>
            </w:tcBorders>
            <w:shd w:val="clear" w:color="auto" w:fill="424E6A"/>
          </w:tcPr>
          <w:p>
            <w:pPr>
              <w:ind w:left="200"/>
              <w:spacing w:after="0"/>
              <w:rPr>
                <w:sz w:val="20"/>
                <w:szCs w:val="20"/>
                <w:color w:val="auto"/>
              </w:rPr>
            </w:pPr>
            <w:r>
              <w:rPr>
                <w:rFonts w:ascii="Arial" w:cs="Arial" w:eastAsia="Arial" w:hAnsi="Arial"/>
                <w:sz w:val="14"/>
                <w:szCs w:val="14"/>
                <w:b w:val="1"/>
                <w:bCs w:val="1"/>
                <w:color w:val="FFFFFF"/>
              </w:rPr>
              <w:t>Audit</w:t>
            </w:r>
          </w:p>
        </w:tc>
        <w:tc>
          <w:tcPr>
            <w:tcW w:w="112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Compensation</w:t>
            </w:r>
          </w:p>
        </w:tc>
        <w:tc>
          <w:tcPr>
            <w:tcW w:w="940" w:type="dxa"/>
            <w:vAlign w:val="bottom"/>
            <w:tcBorders>
              <w:righ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Governance</w:t>
            </w:r>
          </w:p>
        </w:tc>
        <w:tc>
          <w:tcPr>
            <w:tcW w:w="840" w:type="dxa"/>
            <w:vAlign w:val="bottom"/>
            <w:tcBorders>
              <w:right w:val="single" w:sz="8" w:color="424E6A"/>
            </w:tcBorders>
            <w:shd w:val="clear" w:color="auto" w:fill="424E6A"/>
          </w:tcPr>
          <w:p>
            <w:pPr>
              <w:ind w:left="180"/>
              <w:spacing w:after="0"/>
              <w:rPr>
                <w:sz w:val="20"/>
                <w:szCs w:val="20"/>
                <w:color w:val="auto"/>
              </w:rPr>
            </w:pPr>
            <w:r>
              <w:rPr>
                <w:rFonts w:ascii="Arial" w:cs="Arial" w:eastAsia="Arial" w:hAnsi="Arial"/>
                <w:sz w:val="14"/>
                <w:szCs w:val="14"/>
                <w:b w:val="1"/>
                <w:bCs w:val="1"/>
                <w:color w:val="FFFFFF"/>
              </w:rPr>
              <w:t>HSES</w:t>
            </w:r>
          </w:p>
        </w:tc>
        <w:tc>
          <w:tcPr>
            <w:tcW w:w="520" w:type="dxa"/>
            <w:vAlign w:val="bottom"/>
            <w:tcBorders>
              <w:right w:val="single" w:sz="8" w:color="424E6A"/>
            </w:tcBorders>
            <w:shd w:val="clear" w:color="auto" w:fill="424E6A"/>
          </w:tcPr>
          <w:p>
            <w:pPr>
              <w:jc w:val="right"/>
              <w:ind w:right="8"/>
              <w:spacing w:after="0"/>
              <w:rPr>
                <w:sz w:val="20"/>
                <w:szCs w:val="20"/>
                <w:color w:val="auto"/>
              </w:rPr>
            </w:pPr>
            <w:r>
              <w:rPr>
                <w:rFonts w:ascii="Arial" w:cs="Arial" w:eastAsia="Arial" w:hAnsi="Arial"/>
                <w:sz w:val="14"/>
                <w:szCs w:val="14"/>
                <w:b w:val="1"/>
                <w:bCs w:val="1"/>
                <w:color w:val="FFFFFF"/>
              </w:rPr>
              <w:t>Board</w:t>
            </w:r>
          </w:p>
        </w:tc>
        <w:tc>
          <w:tcPr>
            <w:tcW w:w="68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Lead</w:t>
            </w:r>
          </w:p>
        </w:tc>
        <w:tc>
          <w:tcPr>
            <w:tcW w:w="0" w:type="dxa"/>
            <w:vAlign w:val="bottom"/>
          </w:tcPr>
          <w:p>
            <w:pPr>
              <w:spacing w:after="0"/>
              <w:rPr>
                <w:sz w:val="1"/>
                <w:szCs w:val="1"/>
                <w:color w:val="auto"/>
              </w:rPr>
            </w:pPr>
          </w:p>
        </w:tc>
      </w:tr>
      <w:tr>
        <w:trPr>
          <w:trHeight w:val="171"/>
        </w:trPr>
        <w:tc>
          <w:tcPr>
            <w:tcW w:w="2320" w:type="dxa"/>
            <w:vAlign w:val="bottom"/>
            <w:tcBorders>
              <w:left w:val="single" w:sz="8" w:color="424E6A"/>
              <w:righ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Independent</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1120" w:type="dxa"/>
            <w:vAlign w:val="bottom"/>
            <w:tcBorders>
              <w:right w:val="single" w:sz="8" w:color="424E6A"/>
            </w:tcBorders>
            <w:shd w:val="clear" w:color="auto" w:fill="424E6A"/>
          </w:tcPr>
          <w:p>
            <w:pPr>
              <w:ind w:left="180"/>
              <w:spacing w:after="0"/>
              <w:rPr>
                <w:sz w:val="20"/>
                <w:szCs w:val="20"/>
                <w:color w:val="auto"/>
              </w:rPr>
            </w:pPr>
            <w:r>
              <w:rPr>
                <w:rFonts w:ascii="Arial" w:cs="Arial" w:eastAsia="Arial" w:hAnsi="Arial"/>
                <w:sz w:val="14"/>
                <w:szCs w:val="14"/>
                <w:b w:val="1"/>
                <w:bCs w:val="1"/>
                <w:color w:val="FFFFFF"/>
              </w:rPr>
              <w:t>Committee</w:t>
            </w:r>
          </w:p>
        </w:tc>
        <w:tc>
          <w:tcPr>
            <w:tcW w:w="94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Committee</w:t>
            </w:r>
          </w:p>
        </w:tc>
        <w:tc>
          <w:tcPr>
            <w:tcW w:w="84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Committee</w:t>
            </w:r>
          </w:p>
        </w:tc>
        <w:tc>
          <w:tcPr>
            <w:tcW w:w="520" w:type="dxa"/>
            <w:vAlign w:val="bottom"/>
            <w:tcBorders>
              <w:right w:val="single" w:sz="8" w:color="424E6A"/>
            </w:tcBorders>
            <w:shd w:val="clear" w:color="auto" w:fill="424E6A"/>
          </w:tcPr>
          <w:p>
            <w:pPr>
              <w:jc w:val="right"/>
              <w:ind w:right="28"/>
              <w:spacing w:after="0"/>
              <w:rPr>
                <w:sz w:val="20"/>
                <w:szCs w:val="20"/>
                <w:color w:val="auto"/>
              </w:rPr>
            </w:pPr>
            <w:r>
              <w:rPr>
                <w:rFonts w:ascii="Arial" w:cs="Arial" w:eastAsia="Arial" w:hAnsi="Arial"/>
                <w:sz w:val="14"/>
                <w:szCs w:val="14"/>
                <w:b w:val="1"/>
                <w:bCs w:val="1"/>
                <w:color w:val="FFFFFF"/>
              </w:rPr>
              <w:t>Chair</w:t>
            </w:r>
          </w:p>
        </w:tc>
        <w:tc>
          <w:tcPr>
            <w:tcW w:w="680" w:type="dxa"/>
            <w:vAlign w:val="bottom"/>
            <w:tcBorders>
              <w:righ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Director</w:t>
            </w:r>
          </w:p>
        </w:tc>
        <w:tc>
          <w:tcPr>
            <w:tcW w:w="0" w:type="dxa"/>
            <w:vAlign w:val="bottom"/>
          </w:tcPr>
          <w:p>
            <w:pPr>
              <w:spacing w:after="0"/>
              <w:rPr>
                <w:sz w:val="1"/>
                <w:szCs w:val="1"/>
                <w:color w:val="auto"/>
              </w:rPr>
            </w:pPr>
          </w:p>
        </w:tc>
      </w:tr>
      <w:tr>
        <w:trPr>
          <w:trHeight w:val="197"/>
        </w:trPr>
        <w:tc>
          <w:tcPr>
            <w:tcW w:w="2320" w:type="dxa"/>
            <w:vAlign w:val="bottom"/>
            <w:tcBorders>
              <w:left w:val="single" w:sz="8" w:color="424E6A"/>
              <w:right w:val="single" w:sz="8" w:color="424E6A"/>
            </w:tcBorders>
            <w:shd w:val="clear" w:color="auto" w:fill="D9DCE1"/>
          </w:tcPr>
          <w:p>
            <w:pPr>
              <w:ind w:left="40"/>
              <w:spacing w:after="0"/>
              <w:rPr>
                <w:sz w:val="20"/>
                <w:szCs w:val="20"/>
                <w:color w:val="auto"/>
              </w:rPr>
            </w:pPr>
            <w:r>
              <w:rPr>
                <w:rFonts w:ascii="Arial" w:cs="Arial" w:eastAsia="Arial" w:hAnsi="Arial"/>
                <w:sz w:val="17"/>
                <w:szCs w:val="17"/>
                <w:color w:val="auto"/>
              </w:rPr>
              <w:t>Class I Directors</w:t>
            </w:r>
          </w:p>
        </w:tc>
        <w:tc>
          <w:tcPr>
            <w:tcW w:w="960" w:type="dxa"/>
            <w:vAlign w:val="bottom"/>
            <w:tcBorders>
              <w:right w:val="single" w:sz="8" w:color="424E6A"/>
            </w:tcBorders>
            <w:shd w:val="clear" w:color="auto" w:fill="D9DCE1"/>
          </w:tcPr>
          <w:p>
            <w:pPr>
              <w:spacing w:after="0"/>
              <w:rPr>
                <w:sz w:val="17"/>
                <w:szCs w:val="17"/>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shd w:val="clear" w:color="auto" w:fill="D9DCE1"/>
          </w:tcPr>
          <w:p>
            <w:pPr>
              <w:spacing w:after="0"/>
              <w:rPr>
                <w:sz w:val="17"/>
                <w:szCs w:val="17"/>
                <w:color w:val="auto"/>
              </w:rPr>
            </w:pPr>
          </w:p>
        </w:tc>
        <w:tc>
          <w:tcPr>
            <w:tcW w:w="680" w:type="dxa"/>
            <w:vAlign w:val="bottom"/>
            <w:tcBorders>
              <w:right w:val="single" w:sz="8" w:color="424E6A"/>
            </w:tcBorders>
            <w:vMerge w:val="restart"/>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2320" w:type="dxa"/>
            <w:vAlign w:val="bottom"/>
            <w:tcBorders>
              <w:left w:val="single" w:sz="8" w:color="424E6A"/>
              <w:right w:val="single" w:sz="8" w:color="424E6A"/>
            </w:tcBorders>
            <w:vMerge w:val="restart"/>
            <w:shd w:val="clear" w:color="auto" w:fill="D9DCE1"/>
          </w:tcPr>
          <w:p>
            <w:pPr>
              <w:ind w:left="200"/>
              <w:spacing w:after="0"/>
              <w:rPr>
                <w:sz w:val="20"/>
                <w:szCs w:val="20"/>
                <w:color w:val="auto"/>
              </w:rPr>
            </w:pPr>
            <w:r>
              <w:rPr>
                <w:rFonts w:ascii="Arial" w:cs="Arial" w:eastAsia="Arial" w:hAnsi="Arial"/>
                <w:sz w:val="17"/>
                <w:szCs w:val="17"/>
                <w:color w:val="auto"/>
              </w:rPr>
              <w:t>(Term expires 2026)</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2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424E6A"/>
            </w:tcBorders>
            <w:vMerge w:val="continue"/>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520" w:type="dxa"/>
            <w:vAlign w:val="bottom"/>
            <w:tcBorders>
              <w:right w:val="single" w:sz="8" w:color="424E6A"/>
            </w:tcBorders>
            <w:shd w:val="clear" w:color="auto" w:fill="D9DCE1"/>
          </w:tcPr>
          <w:p>
            <w:pPr>
              <w:spacing w:after="0"/>
              <w:rPr>
                <w:sz w:val="9"/>
                <w:szCs w:val="9"/>
                <w:color w:val="auto"/>
              </w:rPr>
            </w:pPr>
          </w:p>
        </w:tc>
        <w:tc>
          <w:tcPr>
            <w:tcW w:w="680" w:type="dxa"/>
            <w:vAlign w:val="bottom"/>
            <w:tcBorders>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424E6A"/>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2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520" w:type="dxa"/>
            <w:vAlign w:val="bottom"/>
            <w:tcBorders>
              <w:bottom w:val="single" w:sz="8" w:color="424E6A"/>
              <w:right w:val="single" w:sz="8" w:color="424E6A"/>
            </w:tcBorders>
            <w:shd w:val="clear" w:color="auto" w:fill="D9DCE1"/>
          </w:tcPr>
          <w:p>
            <w:pPr>
              <w:spacing w:after="0"/>
              <w:rPr>
                <w:sz w:val="9"/>
                <w:szCs w:val="9"/>
                <w:color w:val="auto"/>
              </w:rPr>
            </w:pPr>
          </w:p>
        </w:tc>
        <w:tc>
          <w:tcPr>
            <w:tcW w:w="680" w:type="dxa"/>
            <w:vAlign w:val="bottom"/>
            <w:tcBorders>
              <w:bottom w:val="single" w:sz="8" w:color="424E6A"/>
              <w:right w:val="single" w:sz="8" w:color="424E6A"/>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424E6A"/>
              <w:right w:val="single" w:sz="8" w:color="424E6A"/>
            </w:tcBorders>
          </w:tcPr>
          <w:p>
            <w:pPr>
              <w:ind w:left="200"/>
              <w:spacing w:after="0" w:line="190" w:lineRule="exact"/>
              <w:rPr>
                <w:sz w:val="20"/>
                <w:szCs w:val="20"/>
                <w:color w:val="auto"/>
              </w:rPr>
            </w:pPr>
            <w:r>
              <w:rPr>
                <w:rFonts w:ascii="Arial" w:cs="Arial" w:eastAsia="Arial" w:hAnsi="Arial"/>
                <w:sz w:val="17"/>
                <w:szCs w:val="17"/>
                <w:color w:val="auto"/>
              </w:rPr>
              <w:t>Willie Chiang,</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1120" w:type="dxa"/>
            <w:vAlign w:val="bottom"/>
            <w:tcBorders>
              <w:right w:val="single" w:sz="8" w:color="424E6A"/>
            </w:tcBorders>
          </w:tcPr>
          <w:p>
            <w:pPr>
              <w:spacing w:after="0"/>
              <w:rPr>
                <w:sz w:val="16"/>
                <w:szCs w:val="16"/>
                <w:color w:val="auto"/>
              </w:rPr>
            </w:pPr>
          </w:p>
        </w:tc>
        <w:tc>
          <w:tcPr>
            <w:tcW w:w="94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520" w:type="dxa"/>
            <w:vAlign w:val="bottom"/>
            <w:tcBorders>
              <w:right w:val="single" w:sz="8" w:color="424E6A"/>
            </w:tcBorders>
          </w:tcPr>
          <w:p>
            <w:pPr>
              <w:spacing w:after="0"/>
              <w:rPr>
                <w:sz w:val="16"/>
                <w:szCs w:val="16"/>
                <w:color w:val="auto"/>
              </w:rPr>
            </w:pPr>
          </w:p>
        </w:tc>
        <w:tc>
          <w:tcPr>
            <w:tcW w:w="68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Chairman of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320" w:type="dxa"/>
            <w:vAlign w:val="bottom"/>
            <w:tcBorders>
              <w:left w:val="single" w:sz="8" w:color="424E6A"/>
              <w:bottom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Board and CEO</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Ellen DeSanctis</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Alexandra D. Pruner</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Lawrence M. Ziemba</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320" w:type="dxa"/>
            <w:vAlign w:val="bottom"/>
            <w:tcBorders>
              <w:left w:val="single" w:sz="8" w:color="424E6A"/>
              <w:right w:val="single" w:sz="8" w:color="424E6A"/>
            </w:tcBorders>
            <w:shd w:val="clear" w:color="auto" w:fill="D9DCE1"/>
          </w:tcPr>
          <w:p>
            <w:pPr>
              <w:ind w:left="40"/>
              <w:spacing w:after="0" w:line="190" w:lineRule="exact"/>
              <w:rPr>
                <w:sz w:val="20"/>
                <w:szCs w:val="20"/>
                <w:color w:val="auto"/>
              </w:rPr>
            </w:pPr>
            <w:r>
              <w:rPr>
                <w:rFonts w:ascii="Arial" w:cs="Arial" w:eastAsia="Arial" w:hAnsi="Arial"/>
                <w:sz w:val="17"/>
                <w:szCs w:val="17"/>
                <w:color w:val="auto"/>
              </w:rPr>
              <w:t>Class II Directors</w:t>
            </w:r>
          </w:p>
        </w:tc>
        <w:tc>
          <w:tcPr>
            <w:tcW w:w="960" w:type="dxa"/>
            <w:vAlign w:val="bottom"/>
            <w:tcBorders>
              <w:right w:val="single" w:sz="8" w:color="424E6A"/>
            </w:tcBorders>
            <w:shd w:val="clear" w:color="auto" w:fill="D9DCE1"/>
          </w:tcPr>
          <w:p>
            <w:pPr>
              <w:spacing w:after="0"/>
              <w:rPr>
                <w:sz w:val="16"/>
                <w:szCs w:val="16"/>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shd w:val="clear" w:color="auto" w:fill="D9DCE1"/>
          </w:tcPr>
          <w:p>
            <w:pPr>
              <w:spacing w:after="0"/>
              <w:rPr>
                <w:sz w:val="16"/>
                <w:szCs w:val="16"/>
                <w:color w:val="auto"/>
              </w:rPr>
            </w:pPr>
          </w:p>
        </w:tc>
        <w:tc>
          <w:tcPr>
            <w:tcW w:w="680" w:type="dxa"/>
            <w:vAlign w:val="bottom"/>
            <w:tcBorders>
              <w:right w:val="single" w:sz="8" w:color="424E6A"/>
            </w:tcBorders>
            <w:vMerge w:val="restart"/>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2320" w:type="dxa"/>
            <w:vAlign w:val="bottom"/>
            <w:tcBorders>
              <w:left w:val="single" w:sz="8" w:color="424E6A"/>
              <w:right w:val="single" w:sz="8" w:color="424E6A"/>
            </w:tcBorders>
            <w:vMerge w:val="restart"/>
            <w:shd w:val="clear" w:color="auto" w:fill="D9DCE1"/>
          </w:tcPr>
          <w:p>
            <w:pPr>
              <w:ind w:left="200"/>
              <w:spacing w:after="0"/>
              <w:rPr>
                <w:sz w:val="20"/>
                <w:szCs w:val="20"/>
                <w:color w:val="auto"/>
              </w:rPr>
            </w:pPr>
            <w:r>
              <w:rPr>
                <w:rFonts w:ascii="Arial" w:cs="Arial" w:eastAsia="Arial" w:hAnsi="Arial"/>
                <w:sz w:val="17"/>
                <w:szCs w:val="17"/>
                <w:color w:val="auto"/>
              </w:rPr>
              <w:t>(Term expires 2025)</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2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424E6A"/>
            </w:tcBorders>
            <w:vMerge w:val="continue"/>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520" w:type="dxa"/>
            <w:vAlign w:val="bottom"/>
            <w:tcBorders>
              <w:right w:val="single" w:sz="8" w:color="424E6A"/>
            </w:tcBorders>
            <w:shd w:val="clear" w:color="auto" w:fill="D9DCE1"/>
          </w:tcPr>
          <w:p>
            <w:pPr>
              <w:spacing w:after="0"/>
              <w:rPr>
                <w:sz w:val="9"/>
                <w:szCs w:val="9"/>
                <w:color w:val="auto"/>
              </w:rPr>
            </w:pPr>
          </w:p>
        </w:tc>
        <w:tc>
          <w:tcPr>
            <w:tcW w:w="680" w:type="dxa"/>
            <w:vAlign w:val="bottom"/>
            <w:tcBorders>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424E6A"/>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2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520" w:type="dxa"/>
            <w:vAlign w:val="bottom"/>
            <w:tcBorders>
              <w:bottom w:val="single" w:sz="8" w:color="424E6A"/>
              <w:right w:val="single" w:sz="8" w:color="424E6A"/>
            </w:tcBorders>
            <w:shd w:val="clear" w:color="auto" w:fill="D9DCE1"/>
          </w:tcPr>
          <w:p>
            <w:pPr>
              <w:spacing w:after="0"/>
              <w:rPr>
                <w:sz w:val="9"/>
                <w:szCs w:val="9"/>
                <w:color w:val="auto"/>
              </w:rPr>
            </w:pPr>
          </w:p>
        </w:tc>
        <w:tc>
          <w:tcPr>
            <w:tcW w:w="680" w:type="dxa"/>
            <w:vAlign w:val="bottom"/>
            <w:tcBorders>
              <w:bottom w:val="single" w:sz="8" w:color="424E6A"/>
              <w:right w:val="single" w:sz="8" w:color="424E6A"/>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Victor Burk</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Kevin S. McCarthy</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spacing w:after="0"/>
              <w:rPr>
                <w:sz w:val="19"/>
                <w:szCs w:val="19"/>
                <w:color w:val="auto"/>
              </w:rPr>
            </w:pP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Harry N. Pefanis, President</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Gary R. Petersen</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320" w:type="dxa"/>
            <w:vAlign w:val="bottom"/>
            <w:tcBorders>
              <w:left w:val="single" w:sz="8" w:color="424E6A"/>
              <w:right w:val="single" w:sz="8" w:color="424E6A"/>
            </w:tcBorders>
            <w:shd w:val="clear" w:color="auto" w:fill="D9DCE1"/>
          </w:tcPr>
          <w:p>
            <w:pPr>
              <w:ind w:left="40"/>
              <w:spacing w:after="0" w:line="190" w:lineRule="exact"/>
              <w:rPr>
                <w:sz w:val="20"/>
                <w:szCs w:val="20"/>
                <w:color w:val="auto"/>
              </w:rPr>
            </w:pPr>
            <w:r>
              <w:rPr>
                <w:rFonts w:ascii="Arial" w:cs="Arial" w:eastAsia="Arial" w:hAnsi="Arial"/>
                <w:sz w:val="17"/>
                <w:szCs w:val="17"/>
                <w:color w:val="auto"/>
              </w:rPr>
              <w:t>Class III Directors</w:t>
            </w:r>
          </w:p>
        </w:tc>
        <w:tc>
          <w:tcPr>
            <w:tcW w:w="960" w:type="dxa"/>
            <w:vAlign w:val="bottom"/>
            <w:tcBorders>
              <w:right w:val="single" w:sz="8" w:color="424E6A"/>
            </w:tcBorders>
            <w:shd w:val="clear" w:color="auto" w:fill="D9DCE1"/>
          </w:tcPr>
          <w:p>
            <w:pPr>
              <w:spacing w:after="0"/>
              <w:rPr>
                <w:sz w:val="16"/>
                <w:szCs w:val="16"/>
                <w:color w:val="auto"/>
              </w:rPr>
            </w:pPr>
          </w:p>
        </w:tc>
        <w:tc>
          <w:tcPr>
            <w:tcW w:w="840" w:type="dxa"/>
            <w:vAlign w:val="bottom"/>
            <w:tcBorders>
              <w:right w:val="single" w:sz="8" w:color="424E6A"/>
            </w:tcBorders>
            <w:vMerge w:val="restart"/>
            <w:shd w:val="clear" w:color="auto" w:fill="D9DCE1"/>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shd w:val="clear" w:color="auto" w:fill="D9DCE1"/>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shd w:val="clear" w:color="auto" w:fill="D9DCE1"/>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shd w:val="clear" w:color="auto" w:fill="D9DCE1"/>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shd w:val="clear" w:color="auto" w:fill="D9DCE1"/>
          </w:tcPr>
          <w:p>
            <w:pPr>
              <w:spacing w:after="0"/>
              <w:rPr>
                <w:sz w:val="16"/>
                <w:szCs w:val="16"/>
                <w:color w:val="auto"/>
              </w:rPr>
            </w:pPr>
          </w:p>
        </w:tc>
        <w:tc>
          <w:tcPr>
            <w:tcW w:w="680" w:type="dxa"/>
            <w:vAlign w:val="bottom"/>
            <w:tcBorders>
              <w:right w:val="single" w:sz="8" w:color="424E6A"/>
            </w:tcBorders>
            <w:vMerge w:val="restart"/>
            <w:shd w:val="clear" w:color="auto" w:fill="D9DCE1"/>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13"/>
        </w:trPr>
        <w:tc>
          <w:tcPr>
            <w:tcW w:w="2320" w:type="dxa"/>
            <w:vAlign w:val="bottom"/>
            <w:tcBorders>
              <w:left w:val="single" w:sz="8" w:color="424E6A"/>
              <w:right w:val="single" w:sz="8" w:color="424E6A"/>
            </w:tcBorders>
            <w:vMerge w:val="restart"/>
            <w:shd w:val="clear" w:color="auto" w:fill="D9DCE1"/>
          </w:tcPr>
          <w:p>
            <w:pPr>
              <w:ind w:left="200"/>
              <w:spacing w:after="0"/>
              <w:rPr>
                <w:sz w:val="20"/>
                <w:szCs w:val="20"/>
                <w:color w:val="auto"/>
              </w:rPr>
            </w:pPr>
            <w:r>
              <w:rPr>
                <w:rFonts w:ascii="Arial" w:cs="Arial" w:eastAsia="Arial" w:hAnsi="Arial"/>
                <w:sz w:val="17"/>
                <w:szCs w:val="17"/>
                <w:color w:val="auto"/>
              </w:rPr>
              <w:t>(Term expires 2024)</w:t>
            </w:r>
          </w:p>
        </w:tc>
        <w:tc>
          <w:tcPr>
            <w:tcW w:w="960" w:type="dxa"/>
            <w:vAlign w:val="bottom"/>
            <w:tcBorders>
              <w:right w:val="single" w:sz="8" w:color="424E6A"/>
            </w:tcBorders>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1120" w:type="dxa"/>
            <w:vAlign w:val="bottom"/>
            <w:tcBorders>
              <w:right w:val="single" w:sz="8" w:color="424E6A"/>
            </w:tcBorders>
            <w:vMerge w:val="continue"/>
            <w:shd w:val="clear" w:color="auto" w:fill="D9DCE1"/>
          </w:tcPr>
          <w:p>
            <w:pPr>
              <w:spacing w:after="0"/>
              <w:rPr>
                <w:sz w:val="9"/>
                <w:szCs w:val="9"/>
                <w:color w:val="auto"/>
              </w:rPr>
            </w:pPr>
          </w:p>
        </w:tc>
        <w:tc>
          <w:tcPr>
            <w:tcW w:w="940" w:type="dxa"/>
            <w:vAlign w:val="bottom"/>
            <w:tcBorders>
              <w:right w:val="single" w:sz="8" w:color="424E6A"/>
            </w:tcBorders>
            <w:vMerge w:val="continue"/>
            <w:shd w:val="clear" w:color="auto" w:fill="D9DCE1"/>
          </w:tcPr>
          <w:p>
            <w:pPr>
              <w:spacing w:after="0"/>
              <w:rPr>
                <w:sz w:val="9"/>
                <w:szCs w:val="9"/>
                <w:color w:val="auto"/>
              </w:rPr>
            </w:pPr>
          </w:p>
        </w:tc>
        <w:tc>
          <w:tcPr>
            <w:tcW w:w="840" w:type="dxa"/>
            <w:vAlign w:val="bottom"/>
            <w:tcBorders>
              <w:right w:val="single" w:sz="8" w:color="424E6A"/>
            </w:tcBorders>
            <w:vMerge w:val="continue"/>
            <w:shd w:val="clear" w:color="auto" w:fill="D9DCE1"/>
          </w:tcPr>
          <w:p>
            <w:pPr>
              <w:spacing w:after="0"/>
              <w:rPr>
                <w:sz w:val="9"/>
                <w:szCs w:val="9"/>
                <w:color w:val="auto"/>
              </w:rPr>
            </w:pPr>
          </w:p>
        </w:tc>
        <w:tc>
          <w:tcPr>
            <w:tcW w:w="520" w:type="dxa"/>
            <w:vAlign w:val="bottom"/>
            <w:tcBorders>
              <w:right w:val="single" w:sz="8" w:color="424E6A"/>
            </w:tcBorders>
            <w:shd w:val="clear" w:color="auto" w:fill="D9DCE1"/>
          </w:tcPr>
          <w:p>
            <w:pPr>
              <w:spacing w:after="0"/>
              <w:rPr>
                <w:sz w:val="9"/>
                <w:szCs w:val="9"/>
                <w:color w:val="auto"/>
              </w:rPr>
            </w:pPr>
          </w:p>
        </w:tc>
        <w:tc>
          <w:tcPr>
            <w:tcW w:w="680" w:type="dxa"/>
            <w:vAlign w:val="bottom"/>
            <w:tcBorders>
              <w:right w:val="single" w:sz="8" w:color="424E6A"/>
            </w:tcBorders>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left w:val="single" w:sz="8" w:color="424E6A"/>
              <w:bottom w:val="single" w:sz="8" w:color="424E6A"/>
              <w:right w:val="single" w:sz="8" w:color="424E6A"/>
            </w:tcBorders>
            <w:vMerge w:val="continue"/>
            <w:shd w:val="clear" w:color="auto" w:fill="D9DCE1"/>
          </w:tcPr>
          <w:p>
            <w:pPr>
              <w:spacing w:after="0"/>
              <w:rPr>
                <w:sz w:val="9"/>
                <w:szCs w:val="9"/>
                <w:color w:val="auto"/>
              </w:rPr>
            </w:pPr>
          </w:p>
        </w:tc>
        <w:tc>
          <w:tcPr>
            <w:tcW w:w="96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1120" w:type="dxa"/>
            <w:vAlign w:val="bottom"/>
            <w:tcBorders>
              <w:bottom w:val="single" w:sz="8" w:color="424E6A"/>
              <w:right w:val="single" w:sz="8" w:color="424E6A"/>
            </w:tcBorders>
            <w:shd w:val="clear" w:color="auto" w:fill="D9DCE1"/>
          </w:tcPr>
          <w:p>
            <w:pPr>
              <w:spacing w:after="0"/>
              <w:rPr>
                <w:sz w:val="9"/>
                <w:szCs w:val="9"/>
                <w:color w:val="auto"/>
              </w:rPr>
            </w:pPr>
          </w:p>
        </w:tc>
        <w:tc>
          <w:tcPr>
            <w:tcW w:w="940" w:type="dxa"/>
            <w:vAlign w:val="bottom"/>
            <w:tcBorders>
              <w:bottom w:val="single" w:sz="8" w:color="424E6A"/>
              <w:right w:val="single" w:sz="8" w:color="424E6A"/>
            </w:tcBorders>
            <w:shd w:val="clear" w:color="auto" w:fill="D9DCE1"/>
          </w:tcPr>
          <w:p>
            <w:pPr>
              <w:spacing w:after="0"/>
              <w:rPr>
                <w:sz w:val="9"/>
                <w:szCs w:val="9"/>
                <w:color w:val="auto"/>
              </w:rPr>
            </w:pPr>
          </w:p>
        </w:tc>
        <w:tc>
          <w:tcPr>
            <w:tcW w:w="840" w:type="dxa"/>
            <w:vAlign w:val="bottom"/>
            <w:tcBorders>
              <w:bottom w:val="single" w:sz="8" w:color="424E6A"/>
              <w:right w:val="single" w:sz="8" w:color="424E6A"/>
            </w:tcBorders>
            <w:shd w:val="clear" w:color="auto" w:fill="D9DCE1"/>
          </w:tcPr>
          <w:p>
            <w:pPr>
              <w:spacing w:after="0"/>
              <w:rPr>
                <w:sz w:val="9"/>
                <w:szCs w:val="9"/>
                <w:color w:val="auto"/>
              </w:rPr>
            </w:pPr>
          </w:p>
        </w:tc>
        <w:tc>
          <w:tcPr>
            <w:tcW w:w="520" w:type="dxa"/>
            <w:vAlign w:val="bottom"/>
            <w:tcBorders>
              <w:bottom w:val="single" w:sz="8" w:color="424E6A"/>
              <w:right w:val="single" w:sz="8" w:color="424E6A"/>
            </w:tcBorders>
            <w:shd w:val="clear" w:color="auto" w:fill="D9DCE1"/>
          </w:tcPr>
          <w:p>
            <w:pPr>
              <w:spacing w:after="0"/>
              <w:rPr>
                <w:sz w:val="9"/>
                <w:szCs w:val="9"/>
                <w:color w:val="auto"/>
              </w:rPr>
            </w:pPr>
          </w:p>
        </w:tc>
        <w:tc>
          <w:tcPr>
            <w:tcW w:w="680" w:type="dxa"/>
            <w:vAlign w:val="bottom"/>
            <w:tcBorders>
              <w:bottom w:val="single" w:sz="8" w:color="424E6A"/>
              <w:right w:val="single" w:sz="8" w:color="424E6A"/>
            </w:tcBorders>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424E6A"/>
              <w:right w:val="single" w:sz="8" w:color="424E6A"/>
            </w:tcBorders>
          </w:tcPr>
          <w:p>
            <w:pPr>
              <w:ind w:left="200"/>
              <w:spacing w:after="0" w:line="190" w:lineRule="exact"/>
              <w:rPr>
                <w:sz w:val="20"/>
                <w:szCs w:val="20"/>
                <w:color w:val="auto"/>
              </w:rPr>
            </w:pPr>
            <w:r>
              <w:rPr>
                <w:rFonts w:ascii="Arial" w:cs="Arial" w:eastAsia="Arial" w:hAnsi="Arial"/>
                <w:sz w:val="17"/>
                <w:szCs w:val="17"/>
                <w:color w:val="auto"/>
              </w:rPr>
              <w:t>Greg L. Armstrong,</w:t>
            </w:r>
          </w:p>
        </w:tc>
        <w:tc>
          <w:tcPr>
            <w:tcW w:w="96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1120" w:type="dxa"/>
            <w:vAlign w:val="bottom"/>
            <w:tcBorders>
              <w:right w:val="single" w:sz="8" w:color="424E6A"/>
            </w:tcBorders>
          </w:tcPr>
          <w:p>
            <w:pPr>
              <w:spacing w:after="0"/>
              <w:rPr>
                <w:sz w:val="16"/>
                <w:szCs w:val="16"/>
                <w:color w:val="auto"/>
              </w:rPr>
            </w:pPr>
          </w:p>
        </w:tc>
        <w:tc>
          <w:tcPr>
            <w:tcW w:w="940" w:type="dxa"/>
            <w:vAlign w:val="bottom"/>
            <w:tcBorders>
              <w:right w:val="single" w:sz="8" w:color="424E6A"/>
            </w:tcBorders>
          </w:tcPr>
          <w:p>
            <w:pPr>
              <w:spacing w:after="0"/>
              <w:rPr>
                <w:sz w:val="16"/>
                <w:szCs w:val="16"/>
                <w:color w:val="auto"/>
              </w:rPr>
            </w:pPr>
          </w:p>
        </w:tc>
        <w:tc>
          <w:tcPr>
            <w:tcW w:w="840" w:type="dxa"/>
            <w:vAlign w:val="bottom"/>
            <w:tcBorders>
              <w:right w:val="single" w:sz="8" w:color="424E6A"/>
            </w:tcBorders>
          </w:tcPr>
          <w:p>
            <w:pPr>
              <w:spacing w:after="0"/>
              <w:rPr>
                <w:sz w:val="16"/>
                <w:szCs w:val="16"/>
                <w:color w:val="auto"/>
              </w:rPr>
            </w:pPr>
          </w:p>
        </w:tc>
        <w:tc>
          <w:tcPr>
            <w:tcW w:w="520" w:type="dxa"/>
            <w:vAlign w:val="bottom"/>
            <w:tcBorders>
              <w:right w:val="single" w:sz="8" w:color="424E6A"/>
            </w:tcBorders>
          </w:tcPr>
          <w:p>
            <w:pPr>
              <w:spacing w:after="0"/>
              <w:rPr>
                <w:sz w:val="16"/>
                <w:szCs w:val="16"/>
                <w:color w:val="auto"/>
              </w:rPr>
            </w:pPr>
          </w:p>
        </w:tc>
        <w:tc>
          <w:tcPr>
            <w:tcW w:w="68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Senior Advisor to</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vMerge w:val="restart"/>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vMerge w:val="restart"/>
          </w:tcPr>
          <w:p>
            <w:pPr>
              <w:ind w:left="54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424E6A"/>
            </w:tcBorders>
            <w:vMerge w:val="restart"/>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vMerge w:val="restart"/>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vMerge w:val="restart"/>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320" w:type="dxa"/>
            <w:vAlign w:val="bottom"/>
            <w:tcBorders>
              <w:left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the CEO (former</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vMerge w:val="continue"/>
          </w:tcPr>
          <w:p>
            <w:pPr>
              <w:spacing w:after="0"/>
              <w:rPr>
                <w:sz w:val="17"/>
                <w:szCs w:val="17"/>
                <w:color w:val="auto"/>
              </w:rPr>
            </w:pPr>
          </w:p>
        </w:tc>
        <w:tc>
          <w:tcPr>
            <w:tcW w:w="1120" w:type="dxa"/>
            <w:vAlign w:val="bottom"/>
            <w:tcBorders>
              <w:right w:val="single" w:sz="8" w:color="424E6A"/>
            </w:tcBorders>
            <w:vMerge w:val="continue"/>
          </w:tcPr>
          <w:p>
            <w:pPr>
              <w:spacing w:after="0"/>
              <w:rPr>
                <w:sz w:val="17"/>
                <w:szCs w:val="17"/>
                <w:color w:val="auto"/>
              </w:rPr>
            </w:pPr>
          </w:p>
        </w:tc>
        <w:tc>
          <w:tcPr>
            <w:tcW w:w="940" w:type="dxa"/>
            <w:vAlign w:val="bottom"/>
            <w:tcBorders>
              <w:right w:val="single" w:sz="8" w:color="424E6A"/>
            </w:tcBorders>
            <w:vMerge w:val="continue"/>
          </w:tcPr>
          <w:p>
            <w:pPr>
              <w:spacing w:after="0"/>
              <w:rPr>
                <w:sz w:val="17"/>
                <w:szCs w:val="17"/>
                <w:color w:val="auto"/>
              </w:rPr>
            </w:pPr>
          </w:p>
        </w:tc>
        <w:tc>
          <w:tcPr>
            <w:tcW w:w="840" w:type="dxa"/>
            <w:vAlign w:val="bottom"/>
            <w:tcBorders>
              <w:right w:val="single" w:sz="8" w:color="424E6A"/>
            </w:tcBorders>
            <w:vMerge w:val="continue"/>
          </w:tcPr>
          <w:p>
            <w:pPr>
              <w:spacing w:after="0"/>
              <w:rPr>
                <w:sz w:val="17"/>
                <w:szCs w:val="17"/>
                <w:color w:val="auto"/>
              </w:rPr>
            </w:pP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Chairman of the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20" w:type="dxa"/>
            <w:vAlign w:val="bottom"/>
            <w:tcBorders>
              <w:right w:val="single" w:sz="8" w:color="424E6A"/>
            </w:tcBorders>
          </w:tcPr>
          <w:p>
            <w:pPr>
              <w:spacing w:after="0"/>
              <w:rPr>
                <w:sz w:val="17"/>
                <w:szCs w:val="17"/>
                <w:color w:val="auto"/>
              </w:rPr>
            </w:pPr>
          </w:p>
        </w:tc>
        <w:tc>
          <w:tcPr>
            <w:tcW w:w="94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20" w:type="dxa"/>
            <w:vAlign w:val="bottom"/>
            <w:tcBorders>
              <w:left w:val="single" w:sz="8" w:color="424E6A"/>
              <w:bottom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Board and CEO)*</w:t>
            </w:r>
          </w:p>
        </w:tc>
        <w:tc>
          <w:tcPr>
            <w:tcW w:w="96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1120" w:type="dxa"/>
            <w:vAlign w:val="bottom"/>
            <w:tcBorders>
              <w:bottom w:val="single" w:sz="8" w:color="424E6A"/>
              <w:right w:val="single" w:sz="8" w:color="424E6A"/>
            </w:tcBorders>
          </w:tcPr>
          <w:p>
            <w:pPr>
              <w:spacing w:after="0"/>
              <w:rPr>
                <w:sz w:val="18"/>
                <w:szCs w:val="18"/>
                <w:color w:val="auto"/>
              </w:rPr>
            </w:pPr>
          </w:p>
        </w:tc>
        <w:tc>
          <w:tcPr>
            <w:tcW w:w="940" w:type="dxa"/>
            <w:vAlign w:val="bottom"/>
            <w:tcBorders>
              <w:bottom w:val="single" w:sz="8" w:color="424E6A"/>
              <w:right w:val="single" w:sz="8" w:color="424E6A"/>
            </w:tcBorders>
          </w:tcPr>
          <w:p>
            <w:pPr>
              <w:spacing w:after="0"/>
              <w:rPr>
                <w:sz w:val="18"/>
                <w:szCs w:val="18"/>
                <w:color w:val="auto"/>
              </w:rPr>
            </w:pPr>
          </w:p>
        </w:tc>
        <w:tc>
          <w:tcPr>
            <w:tcW w:w="840" w:type="dxa"/>
            <w:vAlign w:val="bottom"/>
            <w:tcBorders>
              <w:bottom w:val="single" w:sz="8" w:color="424E6A"/>
              <w:right w:val="single" w:sz="8" w:color="424E6A"/>
            </w:tcBorders>
          </w:tcPr>
          <w:p>
            <w:pPr>
              <w:spacing w:after="0"/>
              <w:rPr>
                <w:sz w:val="18"/>
                <w:szCs w:val="18"/>
                <w:color w:val="auto"/>
              </w:rPr>
            </w:pPr>
          </w:p>
        </w:tc>
        <w:tc>
          <w:tcPr>
            <w:tcW w:w="520" w:type="dxa"/>
            <w:vAlign w:val="bottom"/>
            <w:tcBorders>
              <w:bottom w:val="single" w:sz="8" w:color="424E6A"/>
              <w:right w:val="single" w:sz="8" w:color="424E6A"/>
            </w:tcBorders>
          </w:tcPr>
          <w:p>
            <w:pPr>
              <w:spacing w:after="0"/>
              <w:rPr>
                <w:sz w:val="18"/>
                <w:szCs w:val="18"/>
                <w:color w:val="auto"/>
              </w:rPr>
            </w:pPr>
          </w:p>
        </w:tc>
        <w:tc>
          <w:tcPr>
            <w:tcW w:w="680" w:type="dxa"/>
            <w:vAlign w:val="bottom"/>
            <w:tcBorders>
              <w:bottom w:val="single" w:sz="8" w:color="424E6A"/>
              <w:right w:val="single" w:sz="8" w:color="424E6A"/>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John T. Raymond*</w:t>
            </w:r>
          </w:p>
        </w:tc>
        <w:tc>
          <w:tcPr>
            <w:tcW w:w="960" w:type="dxa"/>
            <w:vAlign w:val="bottom"/>
            <w:tcBorders>
              <w:bottom w:val="single" w:sz="8" w:color="424E6A"/>
              <w:right w:val="single" w:sz="8" w:color="424E6A"/>
            </w:tcBorders>
          </w:tcPr>
          <w:p>
            <w:pPr>
              <w:spacing w:after="0"/>
              <w:rPr>
                <w:sz w:val="19"/>
                <w:szCs w:val="19"/>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spacing w:after="0"/>
              <w:rPr>
                <w:sz w:val="19"/>
                <w:szCs w:val="19"/>
                <w:color w:val="auto"/>
              </w:rPr>
            </w:pPr>
          </w:p>
        </w:tc>
        <w:tc>
          <w:tcPr>
            <w:tcW w:w="940" w:type="dxa"/>
            <w:vAlign w:val="bottom"/>
            <w:tcBorders>
              <w:bottom w:val="single" w:sz="8" w:color="424E6A"/>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19"/>
                <w:szCs w:val="19"/>
                <w:color w:val="auto"/>
              </w:rPr>
            </w:pPr>
          </w:p>
        </w:tc>
        <w:tc>
          <w:tcPr>
            <w:tcW w:w="680" w:type="dxa"/>
            <w:vAlign w:val="bottom"/>
            <w:tcBorders>
              <w:bottom w:val="single" w:sz="8" w:color="424E6A"/>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2320" w:type="dxa"/>
            <w:vAlign w:val="bottom"/>
            <w:tcBorders>
              <w:left w:val="single" w:sz="8" w:color="424E6A"/>
              <w:bottom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Bobby S. Shackouls*</w:t>
            </w:r>
          </w:p>
        </w:tc>
        <w:tc>
          <w:tcPr>
            <w:tcW w:w="960" w:type="dxa"/>
            <w:vAlign w:val="bottom"/>
            <w:tcBorders>
              <w:bottom w:val="single" w:sz="8" w:color="424E6A"/>
              <w:right w:val="single" w:sz="8" w:color="424E6A"/>
            </w:tcBorders>
          </w:tcPr>
          <w:p>
            <w:pPr>
              <w:spacing w:after="0"/>
              <w:rPr>
                <w:sz w:val="22"/>
                <w:szCs w:val="22"/>
                <w:color w:val="auto"/>
              </w:rPr>
            </w:pPr>
          </w:p>
        </w:tc>
        <w:tc>
          <w:tcPr>
            <w:tcW w:w="840" w:type="dxa"/>
            <w:vAlign w:val="bottom"/>
            <w:tcBorders>
              <w:bottom w:val="single" w:sz="8" w:color="424E6A"/>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424E6A"/>
              <w:right w:val="single" w:sz="8" w:color="424E6A"/>
            </w:tcBorders>
          </w:tcPr>
          <w:p>
            <w:pPr>
              <w:spacing w:after="0"/>
              <w:rPr>
                <w:sz w:val="22"/>
                <w:szCs w:val="22"/>
                <w:color w:val="auto"/>
              </w:rPr>
            </w:pPr>
          </w:p>
        </w:tc>
        <w:tc>
          <w:tcPr>
            <w:tcW w:w="940" w:type="dxa"/>
            <w:vAlign w:val="bottom"/>
            <w:tcBorders>
              <w:bottom w:val="single" w:sz="8" w:color="424E6A"/>
              <w:right w:val="single" w:sz="8" w:color="424E6A"/>
            </w:tcBorders>
          </w:tcPr>
          <w:p>
            <w:pPr>
              <w:spacing w:after="0"/>
              <w:rPr>
                <w:sz w:val="22"/>
                <w:szCs w:val="22"/>
                <w:color w:val="auto"/>
              </w:rPr>
            </w:pPr>
          </w:p>
        </w:tc>
        <w:tc>
          <w:tcPr>
            <w:tcW w:w="840" w:type="dxa"/>
            <w:vAlign w:val="bottom"/>
            <w:tcBorders>
              <w:bottom w:val="single" w:sz="8" w:color="424E6A"/>
              <w:right w:val="single" w:sz="8" w:color="424E6A"/>
            </w:tcBorders>
          </w:tcPr>
          <w:p>
            <w:pPr>
              <w:ind w:left="4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424E6A"/>
              <w:right w:val="single" w:sz="8" w:color="424E6A"/>
            </w:tcBorders>
          </w:tcPr>
          <w:p>
            <w:pPr>
              <w:spacing w:after="0"/>
              <w:rPr>
                <w:sz w:val="22"/>
                <w:szCs w:val="22"/>
                <w:color w:val="auto"/>
              </w:rPr>
            </w:pPr>
          </w:p>
        </w:tc>
        <w:tc>
          <w:tcPr>
            <w:tcW w:w="680" w:type="dxa"/>
            <w:vAlign w:val="bottom"/>
            <w:tcBorders>
              <w:bottom w:val="single" w:sz="8" w:color="424E6A"/>
              <w:right w:val="single" w:sz="8" w:color="424E6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320" w:type="dxa"/>
            <w:vAlign w:val="bottom"/>
            <w:tcBorders>
              <w:left w:val="single" w:sz="8" w:color="424E6A"/>
              <w:right w:val="single" w:sz="8" w:color="424E6A"/>
            </w:tcBorders>
          </w:tcPr>
          <w:p>
            <w:pPr>
              <w:ind w:left="200"/>
              <w:spacing w:after="0"/>
              <w:rPr>
                <w:sz w:val="20"/>
                <w:szCs w:val="20"/>
                <w:color w:val="auto"/>
              </w:rPr>
            </w:pPr>
            <w:r>
              <w:rPr>
                <w:rFonts w:ascii="Arial" w:cs="Arial" w:eastAsia="Arial" w:hAnsi="Arial"/>
                <w:sz w:val="17"/>
                <w:szCs w:val="17"/>
                <w:color w:val="auto"/>
              </w:rPr>
              <w:t>Christopher M. Temple</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1120" w:type="dxa"/>
            <w:vAlign w:val="bottom"/>
            <w:tcBorders>
              <w:right w:val="single" w:sz="8" w:color="424E6A"/>
            </w:tcBorders>
          </w:tcPr>
          <w:p>
            <w:pPr>
              <w:spacing w:after="0"/>
              <w:rPr>
                <w:sz w:val="17"/>
                <w:szCs w:val="17"/>
                <w:color w:val="auto"/>
              </w:rPr>
            </w:pPr>
          </w:p>
        </w:tc>
        <w:tc>
          <w:tcPr>
            <w:tcW w:w="94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spacing w:after="0"/>
              <w:rPr>
                <w:sz w:val="17"/>
                <w:szCs w:val="17"/>
                <w:color w:val="auto"/>
              </w:rPr>
            </w:pP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tcBorders>
              <w:left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(Not standing for</w:t>
            </w:r>
          </w:p>
        </w:tc>
        <w:tc>
          <w:tcPr>
            <w:tcW w:w="960" w:type="dxa"/>
            <w:vAlign w:val="bottom"/>
            <w:tcBorders>
              <w:right w:val="single" w:sz="8" w:color="424E6A"/>
            </w:tcBorders>
          </w:tcPr>
          <w:p>
            <w:pPr>
              <w:spacing w:after="0"/>
              <w:rPr>
                <w:sz w:val="17"/>
                <w:szCs w:val="17"/>
                <w:color w:val="auto"/>
              </w:rPr>
            </w:pPr>
          </w:p>
        </w:tc>
        <w:tc>
          <w:tcPr>
            <w:tcW w:w="840" w:type="dxa"/>
            <w:vAlign w:val="bottom"/>
            <w:tcBorders>
              <w:right w:val="single" w:sz="8" w:color="424E6A"/>
            </w:tcBorders>
          </w:tcPr>
          <w:p>
            <w:pPr>
              <w:ind w:left="420"/>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424E6A"/>
            </w:tcBorders>
          </w:tcPr>
          <w:p>
            <w:pPr>
              <w:spacing w:after="0"/>
              <w:rPr>
                <w:sz w:val="17"/>
                <w:szCs w:val="17"/>
                <w:color w:val="auto"/>
              </w:rPr>
            </w:pPr>
          </w:p>
        </w:tc>
        <w:tc>
          <w:tcPr>
            <w:tcW w:w="940" w:type="dxa"/>
            <w:vAlign w:val="bottom"/>
            <w:tcBorders>
              <w:right w:val="single" w:sz="8" w:color="424E6A"/>
            </w:tcBorders>
          </w:tcPr>
          <w:p>
            <w:pPr>
              <w:ind w:left="4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424E6A"/>
            </w:tcBorders>
          </w:tcPr>
          <w:p>
            <w:pPr>
              <w:spacing w:after="0"/>
              <w:rPr>
                <w:sz w:val="17"/>
                <w:szCs w:val="17"/>
                <w:color w:val="auto"/>
              </w:rPr>
            </w:pPr>
          </w:p>
        </w:tc>
        <w:tc>
          <w:tcPr>
            <w:tcW w:w="520" w:type="dxa"/>
            <w:vAlign w:val="bottom"/>
            <w:tcBorders>
              <w:right w:val="single" w:sz="8" w:color="424E6A"/>
            </w:tcBorders>
          </w:tcPr>
          <w:p>
            <w:pPr>
              <w:spacing w:after="0"/>
              <w:rPr>
                <w:sz w:val="17"/>
                <w:szCs w:val="17"/>
                <w:color w:val="auto"/>
              </w:rPr>
            </w:pPr>
          </w:p>
        </w:tc>
        <w:tc>
          <w:tcPr>
            <w:tcW w:w="680" w:type="dxa"/>
            <w:vAlign w:val="bottom"/>
            <w:tcBorders>
              <w:right w:val="single" w:sz="8" w:color="424E6A"/>
            </w:tcBorders>
          </w:tcPr>
          <w:p>
            <w:pPr>
              <w:ind w:left="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320" w:type="dxa"/>
            <w:vAlign w:val="bottom"/>
            <w:tcBorders>
              <w:left w:val="single" w:sz="8" w:color="424E6A"/>
              <w:right w:val="single" w:sz="8" w:color="424E6A"/>
            </w:tcBorders>
          </w:tcPr>
          <w:p>
            <w:pPr>
              <w:ind w:left="380"/>
              <w:spacing w:after="0"/>
              <w:rPr>
                <w:sz w:val="20"/>
                <w:szCs w:val="20"/>
                <w:color w:val="auto"/>
              </w:rPr>
            </w:pPr>
            <w:r>
              <w:rPr>
                <w:rFonts w:ascii="Arial" w:cs="Arial" w:eastAsia="Arial" w:hAnsi="Arial"/>
                <w:sz w:val="17"/>
                <w:szCs w:val="17"/>
                <w:color w:val="auto"/>
              </w:rPr>
              <w:t>re-election)</w:t>
            </w:r>
          </w:p>
        </w:tc>
        <w:tc>
          <w:tcPr>
            <w:tcW w:w="960" w:type="dxa"/>
            <w:vAlign w:val="bottom"/>
            <w:tcBorders>
              <w:right w:val="single" w:sz="8" w:color="424E6A"/>
            </w:tcBorders>
          </w:tcPr>
          <w:p>
            <w:pPr>
              <w:spacing w:after="0"/>
              <w:rPr>
                <w:sz w:val="19"/>
                <w:szCs w:val="19"/>
                <w:color w:val="auto"/>
              </w:rPr>
            </w:pPr>
          </w:p>
        </w:tc>
        <w:tc>
          <w:tcPr>
            <w:tcW w:w="840" w:type="dxa"/>
            <w:vAlign w:val="bottom"/>
            <w:tcBorders>
              <w:right w:val="single" w:sz="8" w:color="424E6A"/>
            </w:tcBorders>
          </w:tcPr>
          <w:p>
            <w:pPr>
              <w:spacing w:after="0"/>
              <w:rPr>
                <w:sz w:val="19"/>
                <w:szCs w:val="19"/>
                <w:color w:val="auto"/>
              </w:rPr>
            </w:pPr>
          </w:p>
        </w:tc>
        <w:tc>
          <w:tcPr>
            <w:tcW w:w="1120" w:type="dxa"/>
            <w:vAlign w:val="bottom"/>
            <w:tcBorders>
              <w:right w:val="single" w:sz="8" w:color="424E6A"/>
            </w:tcBorders>
          </w:tcPr>
          <w:p>
            <w:pPr>
              <w:spacing w:after="0"/>
              <w:rPr>
                <w:sz w:val="19"/>
                <w:szCs w:val="19"/>
                <w:color w:val="auto"/>
              </w:rPr>
            </w:pPr>
          </w:p>
        </w:tc>
        <w:tc>
          <w:tcPr>
            <w:tcW w:w="940" w:type="dxa"/>
            <w:vAlign w:val="bottom"/>
            <w:tcBorders>
              <w:right w:val="single" w:sz="8" w:color="424E6A"/>
            </w:tcBorders>
          </w:tcPr>
          <w:p>
            <w:pPr>
              <w:spacing w:after="0"/>
              <w:rPr>
                <w:sz w:val="19"/>
                <w:szCs w:val="19"/>
                <w:color w:val="auto"/>
              </w:rPr>
            </w:pPr>
          </w:p>
        </w:tc>
        <w:tc>
          <w:tcPr>
            <w:tcW w:w="840" w:type="dxa"/>
            <w:vAlign w:val="bottom"/>
            <w:tcBorders>
              <w:right w:val="single" w:sz="8" w:color="424E6A"/>
            </w:tcBorders>
          </w:tcPr>
          <w:p>
            <w:pPr>
              <w:spacing w:after="0"/>
              <w:rPr>
                <w:sz w:val="19"/>
                <w:szCs w:val="19"/>
                <w:color w:val="auto"/>
              </w:rPr>
            </w:pPr>
          </w:p>
        </w:tc>
        <w:tc>
          <w:tcPr>
            <w:tcW w:w="520" w:type="dxa"/>
            <w:vAlign w:val="bottom"/>
            <w:tcBorders>
              <w:right w:val="single" w:sz="8" w:color="424E6A"/>
            </w:tcBorders>
          </w:tcPr>
          <w:p>
            <w:pPr>
              <w:spacing w:after="0"/>
              <w:rPr>
                <w:sz w:val="19"/>
                <w:szCs w:val="19"/>
                <w:color w:val="auto"/>
              </w:rPr>
            </w:pPr>
          </w:p>
        </w:tc>
        <w:tc>
          <w:tcPr>
            <w:tcW w:w="680" w:type="dxa"/>
            <w:vAlign w:val="bottom"/>
            <w:tcBorders>
              <w:right w:val="single" w:sz="8" w:color="424E6A"/>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424E6A"/>
              <w:bottom w:val="single" w:sz="8" w:color="424E6A"/>
              <w:right w:val="single" w:sz="8" w:color="424E6A"/>
            </w:tcBorders>
          </w:tcPr>
          <w:p>
            <w:pPr>
              <w:spacing w:after="0"/>
              <w:rPr>
                <w:sz w:val="2"/>
                <w:szCs w:val="2"/>
                <w:color w:val="auto"/>
              </w:rPr>
            </w:pPr>
          </w:p>
        </w:tc>
        <w:tc>
          <w:tcPr>
            <w:tcW w:w="960" w:type="dxa"/>
            <w:vAlign w:val="bottom"/>
            <w:tcBorders>
              <w:bottom w:val="single" w:sz="8" w:color="424E6A"/>
              <w:right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1120" w:type="dxa"/>
            <w:vAlign w:val="bottom"/>
            <w:tcBorders>
              <w:bottom w:val="single" w:sz="8" w:color="424E6A"/>
              <w:right w:val="single" w:sz="8" w:color="424E6A"/>
            </w:tcBorders>
          </w:tcPr>
          <w:p>
            <w:pPr>
              <w:spacing w:after="0"/>
              <w:rPr>
                <w:sz w:val="2"/>
                <w:szCs w:val="2"/>
                <w:color w:val="auto"/>
              </w:rPr>
            </w:pPr>
          </w:p>
        </w:tc>
        <w:tc>
          <w:tcPr>
            <w:tcW w:w="940" w:type="dxa"/>
            <w:vAlign w:val="bottom"/>
            <w:tcBorders>
              <w:bottom w:val="single" w:sz="8" w:color="424E6A"/>
              <w:right w:val="single" w:sz="8" w:color="424E6A"/>
            </w:tcBorders>
          </w:tcPr>
          <w:p>
            <w:pPr>
              <w:spacing w:after="0"/>
              <w:rPr>
                <w:sz w:val="2"/>
                <w:szCs w:val="2"/>
                <w:color w:val="auto"/>
              </w:rPr>
            </w:pPr>
          </w:p>
        </w:tc>
        <w:tc>
          <w:tcPr>
            <w:tcW w:w="840" w:type="dxa"/>
            <w:vAlign w:val="bottom"/>
            <w:tcBorders>
              <w:bottom w:val="single" w:sz="8" w:color="424E6A"/>
              <w:right w:val="single" w:sz="8" w:color="424E6A"/>
            </w:tcBorders>
          </w:tcPr>
          <w:p>
            <w:pPr>
              <w:spacing w:after="0"/>
              <w:rPr>
                <w:sz w:val="2"/>
                <w:szCs w:val="2"/>
                <w:color w:val="auto"/>
              </w:rPr>
            </w:pPr>
          </w:p>
        </w:tc>
        <w:tc>
          <w:tcPr>
            <w:tcW w:w="520" w:type="dxa"/>
            <w:vAlign w:val="bottom"/>
            <w:tcBorders>
              <w:bottom w:val="single" w:sz="8" w:color="424E6A"/>
              <w:right w:val="single" w:sz="8" w:color="424E6A"/>
            </w:tcBorders>
          </w:tcPr>
          <w:p>
            <w:pPr>
              <w:spacing w:after="0"/>
              <w:rPr>
                <w:sz w:val="2"/>
                <w:szCs w:val="2"/>
                <w:color w:val="auto"/>
              </w:rPr>
            </w:pPr>
          </w:p>
        </w:tc>
        <w:tc>
          <w:tcPr>
            <w:tcW w:w="680" w:type="dxa"/>
            <w:vAlign w:val="bottom"/>
            <w:tcBorders>
              <w:bottom w:val="single" w:sz="8" w:color="424E6A"/>
              <w:right w:val="single" w:sz="8" w:color="424E6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-3291205</wp:posOffset>
            </wp:positionV>
            <wp:extent cx="10287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-3300095</wp:posOffset>
            </wp:positionV>
            <wp:extent cx="76835"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-3016885</wp:posOffset>
            </wp:positionV>
            <wp:extent cx="10287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-3008630</wp:posOffset>
            </wp:positionV>
            <wp:extent cx="111125"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-3008630</wp:posOffset>
            </wp:positionV>
            <wp:extent cx="111125" cy="94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-2862580</wp:posOffset>
            </wp:positionV>
            <wp:extent cx="10287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-2854325</wp:posOffset>
            </wp:positionV>
            <wp:extent cx="111125" cy="94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-2854325</wp:posOffset>
            </wp:positionV>
            <wp:extent cx="111125"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-2708275</wp:posOffset>
            </wp:positionV>
            <wp:extent cx="102870" cy="102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-2700020</wp:posOffset>
            </wp:positionV>
            <wp:extent cx="111125"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-2700020</wp:posOffset>
            </wp:positionV>
            <wp:extent cx="9398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-2279650</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-2271395</wp:posOffset>
            </wp:positionV>
            <wp:extent cx="94615"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-2125345</wp:posOffset>
            </wp:positionV>
            <wp:extent cx="10287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-2117090</wp:posOffset>
            </wp:positionV>
            <wp:extent cx="111125" cy="93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-2117090</wp:posOffset>
            </wp:positionV>
            <wp:extent cx="111125" cy="93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-1971040</wp:posOffset>
            </wp:positionV>
            <wp:extent cx="10287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-1816735</wp:posOffset>
            </wp:positionV>
            <wp:extent cx="10287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-1808480</wp:posOffset>
            </wp:positionV>
            <wp:extent cx="111125" cy="93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4357370</wp:posOffset>
            </wp:positionH>
            <wp:positionV relativeFrom="paragraph">
              <wp:posOffset>-1808480</wp:posOffset>
            </wp:positionV>
            <wp:extent cx="111125"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-1139825</wp:posOffset>
            </wp:positionV>
            <wp:extent cx="10287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-736600</wp:posOffset>
            </wp:positionV>
            <wp:extent cx="10287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-728345</wp:posOffset>
            </wp:positionV>
            <wp:extent cx="93980" cy="93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-565150</wp:posOffset>
            </wp:positionV>
            <wp:extent cx="10287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-565150</wp:posOffset>
            </wp:positionV>
            <wp:extent cx="111125"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9461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-565150</wp:posOffset>
            </wp:positionV>
            <wp:extent cx="94615"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-574040</wp:posOffset>
            </wp:positionV>
            <wp:extent cx="85725"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-265430</wp:posOffset>
            </wp:positionV>
            <wp:extent cx="10287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-265430</wp:posOffset>
            </wp:positionV>
            <wp:extent cx="111125" cy="93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9398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-265430</wp:posOffset>
            </wp:positionV>
            <wp:extent cx="111125" cy="939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hanging="360"/>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Nominated by the Board for election at the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102870" cy="93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93980"/>
                    </a:xfrm>
                    <a:prstGeom prst="rect">
                      <a:avLst/>
                    </a:prstGeom>
                    <a:noFill/>
                  </pic:spPr>
                </pic:pic>
              </a:graphicData>
            </a:graphic>
          </wp:anchor>
        </w:drawing>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Determined by the Board to be independent under applicable Nasdaq and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43180</wp:posOffset>
            </wp:positionV>
            <wp:extent cx="10287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94615"/>
                    </a:xfrm>
                    <a:prstGeom prst="rect">
                      <a:avLst/>
                    </a:prstGeom>
                    <a:noFill/>
                  </pic:spPr>
                </pic:pic>
              </a:graphicData>
            </a:graphic>
          </wp:anchor>
        </w:drawing>
      </w:r>
    </w:p>
    <w:p>
      <w:pPr>
        <w:spacing w:after="0" w:line="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Company Employee — independence has not been assessed by the Board.</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111125" cy="939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125" cy="93980"/>
                    </a:xfrm>
                    <a:prstGeom prst="rect">
                      <a:avLst/>
                    </a:prstGeom>
                    <a:noFill/>
                  </pic:spPr>
                </pic:pic>
              </a:graphicData>
            </a:graphic>
          </wp:anchor>
        </w:drawing>
      </w:r>
    </w:p>
    <w:p>
      <w:pPr>
        <w:spacing w:after="0" w:line="8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93980" cy="939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9398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86360</wp:posOffset>
            </wp:positionV>
            <wp:extent cx="85725"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12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103505</wp:posOffset>
            </wp:positionV>
            <wp:extent cx="8572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28905"/>
                    </a:xfrm>
                    <a:prstGeom prst="rect">
                      <a:avLst/>
                    </a:prstGeom>
                    <a:noFill/>
                  </pic:spPr>
                </pic:pic>
              </a:graphicData>
            </a:graphic>
          </wp:anchor>
        </w:drawing>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Lead Director</w:t>
      </w:r>
    </w:p>
    <w:p>
      <w:pPr>
        <w:spacing w:after="0" w:line="3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and Nominee Experience and Qualifications</w:t>
      </w:r>
    </w:p>
    <w:p>
      <w:pPr>
        <w:spacing w:after="0" w:line="158"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(including diversity of gender, race and ethnicity) in connection with the process of identifying and assessing potential Board candidates.</w:t>
      </w:r>
    </w:p>
    <w:p>
      <w:pPr>
        <w:spacing w:after="0" w:line="10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Our board assessment, refreshment and succession planning process involves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individual director evaluations are updated on a regular basis with assistance and oversight of the Governance Committee. The Governance Committee also oversees the Board’s annual self-assessment process as well as the process by which the Board assesses the effectiveness of its various committees.</w:t>
      </w:r>
    </w:p>
    <w:p>
      <w:pPr>
        <w:spacing w:after="0" w:line="101"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8"/>
          <w:szCs w:val="18"/>
          <w:color w:val="auto"/>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 in light of the needs of the Board. For incumbent directors, factors also include past performance on the Board. The Board has determined that it is beneficial to have individuals on the Board with the following skills, experiences, and characteristics (See the Director Skills Matrix below for an overview of the skills, experiences and characteristics of our current Board members):</w:t>
      </w:r>
    </w:p>
    <w:p>
      <w:pPr>
        <w:spacing w:after="0" w:line="141" w:lineRule="exact"/>
        <w:rPr>
          <w:sz w:val="20"/>
          <w:szCs w:val="20"/>
          <w:color w:val="auto"/>
        </w:rPr>
      </w:pPr>
    </w:p>
    <w:tbl>
      <w:tblPr>
        <w:tblLayout w:type="fixed"/>
        <w:tblInd w:w="1270" w:type="dxa"/>
        <w:tblCellMar>
          <w:top w:w="0" w:type="dxa"/>
          <w:left w:w="0" w:type="dxa"/>
          <w:bottom w:w="0" w:type="dxa"/>
          <w:right w:w="0" w:type="dxa"/>
        </w:tblCellMar>
      </w:tblPr>
      <w:tr>
        <w:trPr>
          <w:trHeight w:val="309"/>
        </w:trPr>
        <w:tc>
          <w:tcPr>
            <w:tcW w:w="37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 Public Company Experience (Officer/Director)</w:t>
            </w: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Industry Experience (Upstream/Midstream/Downstream)</w:t>
            </w:r>
          </w:p>
        </w:tc>
      </w:tr>
      <w:tr>
        <w:trPr>
          <w:trHeight w:val="256"/>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Finance/Accounting</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Private Equity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Business Development/Strategy/Commercial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Diversity (Gender/Race/Ethnicity)</w:t>
            </w:r>
          </w:p>
        </w:tc>
      </w:tr>
      <w:tr>
        <w:trPr>
          <w:trHeight w:val="243"/>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Legal/Governance/Government Relations</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r>
      <w:tr>
        <w:trPr>
          <w:trHeight w:val="257"/>
        </w:trPr>
        <w:tc>
          <w:tcPr>
            <w:tcW w:w="160" w:type="dxa"/>
            <w:vAlign w:val="bottom"/>
            <w:tcBorders>
              <w:left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5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Operations/Engineering/Construction/Technical</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Cybersecurity/IT</w:t>
            </w:r>
          </w:p>
        </w:tc>
      </w:tr>
      <w:tr>
        <w:trPr>
          <w:trHeight w:val="243"/>
        </w:trPr>
        <w:tc>
          <w:tcPr>
            <w:tcW w:w="160" w:type="dxa"/>
            <w:vAlign w:val="bottom"/>
            <w:tcBorders>
              <w:left w:val="single" w:sz="8" w:color="auto"/>
            </w:tcBorders>
          </w:tcPr>
          <w:p>
            <w:pPr>
              <w:spacing w:after="0"/>
              <w:rPr>
                <w:sz w:val="21"/>
                <w:szCs w:val="21"/>
                <w:color w:val="auto"/>
              </w:rPr>
            </w:pPr>
          </w:p>
        </w:tc>
        <w:tc>
          <w:tcPr>
            <w:tcW w:w="3560" w:type="dxa"/>
            <w:vAlign w:val="bottom"/>
            <w:tcBorders>
              <w:right w:val="single" w:sz="8" w:color="auto"/>
            </w:tcBorders>
          </w:tcPr>
          <w:p>
            <w:pPr>
              <w:spacing w:after="0"/>
              <w:rPr>
                <w:sz w:val="21"/>
                <w:szCs w:val="21"/>
                <w:color w:val="auto"/>
              </w:rPr>
            </w:pP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430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Energy Evolution</w:t>
            </w:r>
          </w:p>
        </w:tc>
      </w:tr>
      <w:tr>
        <w:trPr>
          <w:trHeight w:val="137"/>
        </w:trPr>
        <w:tc>
          <w:tcPr>
            <w:tcW w:w="160" w:type="dxa"/>
            <w:vAlign w:val="bottom"/>
            <w:tcBorders>
              <w:left w:val="single" w:sz="8" w:color="auto"/>
              <w:bottom w:val="single" w:sz="8" w:color="auto"/>
            </w:tcBorders>
          </w:tcPr>
          <w:p>
            <w:pPr>
              <w:spacing w:after="0"/>
              <w:rPr>
                <w:sz w:val="11"/>
                <w:szCs w:val="11"/>
                <w:color w:val="auto"/>
              </w:rPr>
            </w:pPr>
          </w:p>
        </w:tc>
        <w:tc>
          <w:tcPr>
            <w:tcW w:w="35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300" w:type="dxa"/>
            <w:vAlign w:val="bottom"/>
            <w:tcBorders>
              <w:bottom w:val="single" w:sz="8" w:color="auto"/>
              <w:right w:val="single" w:sz="8" w:color="auto"/>
            </w:tcBorders>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Skills Matrix</w:t>
      </w:r>
    </w:p>
    <w:p>
      <w:pPr>
        <w:spacing w:after="0" w:line="143" w:lineRule="exact"/>
        <w:rPr>
          <w:sz w:val="20"/>
          <w:szCs w:val="20"/>
          <w:color w:val="auto"/>
        </w:rPr>
      </w:pPr>
    </w:p>
    <w:p>
      <w:pPr>
        <w:ind w:left="1260"/>
        <w:spacing w:after="0"/>
        <w:tabs>
          <w:tab w:leader="none" w:pos="3980" w:val="left"/>
          <w:tab w:leader="none" w:pos="4460" w:val="left"/>
          <w:tab w:leader="none" w:pos="5100" w:val="left"/>
        </w:tabs>
        <w:rPr>
          <w:sz w:val="20"/>
          <w:szCs w:val="20"/>
          <w:color w:val="auto"/>
        </w:rPr>
      </w:pPr>
      <w:r>
        <w:rPr>
          <w:sz w:val="1"/>
          <w:szCs w:val="1"/>
          <w:color w:val="auto"/>
        </w:rPr>
        <w:drawing>
          <wp:inline distT="0" distB="0" distL="0" distR="0">
            <wp:extent cx="1045845" cy="1460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45845" cy="146050"/>
                    </a:xfrm>
                    <a:prstGeom prst="rect">
                      <a:avLst/>
                    </a:prstGeom>
                    <a:noFill/>
                    <a:ln>
                      <a:noFill/>
                    </a:ln>
                  </pic:spPr>
                </pic:pic>
              </a:graphicData>
            </a:graphic>
          </wp:inline>
        </w:drawing>
      </w:r>
      <w:r>
        <w:rPr>
          <w:rFonts w:ascii="Arial" w:cs="Arial" w:eastAsia="Arial" w:hAnsi="Arial"/>
          <w:sz w:val="11"/>
          <w:szCs w:val="11"/>
          <w:b w:val="1"/>
          <w:bCs w:val="1"/>
          <w:color w:val="FFFFFF"/>
          <w:shd w:val="clear" w:color="auto" w:fill="424E6A"/>
        </w:rPr>
        <w:t xml:space="preserve"> Armstrong  </w:t>
      </w:r>
      <w:r>
        <w:rPr>
          <w:rFonts w:ascii="Arial" w:cs="Arial" w:eastAsia="Arial" w:hAnsi="Arial"/>
          <w:sz w:val="11"/>
          <w:szCs w:val="11"/>
          <w:b w:val="1"/>
          <w:bCs w:val="1"/>
          <w:color w:val="FFFFFF"/>
        </w:rPr>
        <w:t>Burk</w:t>
      </w:r>
      <w:r>
        <w:rPr>
          <w:rFonts w:ascii="Arial" w:cs="Arial" w:eastAsia="Arial" w:hAnsi="Arial"/>
          <w:sz w:val="11"/>
          <w:szCs w:val="11"/>
          <w:b w:val="1"/>
          <w:bCs w:val="1"/>
          <w:color w:val="FFFFFF"/>
          <w:shd w:val="clear" w:color="auto" w:fill="424E6A"/>
        </w:rPr>
        <w:tab/>
        <w:t>Chiang</w:t>
        <w:tab/>
        <w:t>DeSanctis</w:t>
        <w:tab/>
        <w:t xml:space="preserve">McCarthy  Pefanis  Petersen  Pruner  Raymond  Shackouls  Temple </w:t>
      </w:r>
      <w:r>
        <w:rPr>
          <w:rFonts w:ascii="Arial" w:cs="Arial" w:eastAsia="Arial" w:hAnsi="Arial"/>
          <w:sz w:val="22"/>
          <w:szCs w:val="22"/>
          <w:b w:val="1"/>
          <w:bCs w:val="1"/>
          <w:color w:val="FFFFFF"/>
          <w:vertAlign w:val="subscript"/>
          <w:shd w:val="clear" w:color="auto" w:fill="424E6A"/>
        </w:rPr>
        <w:t>​</w:t>
      </w:r>
      <w:r>
        <w:rPr>
          <w:rFonts w:ascii="Arial" w:cs="Arial" w:eastAsia="Arial" w:hAnsi="Arial"/>
          <w:sz w:val="11"/>
          <w:szCs w:val="11"/>
          <w:b w:val="1"/>
          <w:bCs w:val="1"/>
          <w:color w:val="FFFFFF"/>
          <w:shd w:val="clear" w:color="auto" w:fill="424E6A"/>
        </w:rPr>
        <w:t xml:space="preserve"> </w:t>
      </w:r>
      <w:r>
        <w:rPr>
          <w:rFonts w:ascii="Arial" w:cs="Arial" w:eastAsia="Arial" w:hAnsi="Arial"/>
          <w:sz w:val="22"/>
          <w:szCs w:val="22"/>
          <w:b w:val="1"/>
          <w:bCs w:val="1"/>
          <w:color w:val="FFFFFF"/>
          <w:vertAlign w:val="subscript"/>
        </w:rPr>
        <w:t>​</w:t>
      </w:r>
      <w:r>
        <w:rPr>
          <w:rFonts w:ascii="Arial" w:cs="Arial" w:eastAsia="Arial" w:hAnsi="Arial"/>
          <w:sz w:val="11"/>
          <w:szCs w:val="11"/>
          <w:b w:val="1"/>
          <w:bCs w:val="1"/>
          <w:color w:val="FFFFFF"/>
          <w:shd w:val="clear" w:color="auto" w:fill="424E6A"/>
        </w:rPr>
        <w:t xml:space="preserve">Ziemba </w:t>
      </w:r>
      <w:r>
        <w:rPr>
          <w:rFonts w:ascii="Arial" w:cs="Arial" w:eastAsia="Arial" w:hAnsi="Arial"/>
          <w:sz w:val="22"/>
          <w:szCs w:val="22"/>
          <w:b w:val="1"/>
          <w:bCs w:val="1"/>
          <w:color w:val="FFFFFF"/>
          <w:vertAlign w:val="subscript"/>
          <w:shd w:val="clear" w:color="auto" w:fill="424E6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-128270</wp:posOffset>
            </wp:positionV>
            <wp:extent cx="5212080" cy="2220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2220595"/>
                    </a:xfrm>
                    <a:prstGeom prst="rect">
                      <a:avLst/>
                    </a:prstGeom>
                    <a:noFill/>
                  </pic:spPr>
                </pic:pic>
              </a:graphicData>
            </a:graphic>
          </wp:anchor>
        </w:drawing>
      </w:r>
    </w:p>
    <w:tbl>
      <w:tblPr>
        <w:tblLayout w:type="fixed"/>
        <w:tblInd w:w="1270" w:type="dxa"/>
        <w:tblCellMar>
          <w:top w:w="0" w:type="dxa"/>
          <w:left w:w="0" w:type="dxa"/>
          <w:bottom w:w="0" w:type="dxa"/>
          <w:right w:w="0" w:type="dxa"/>
        </w:tblCellMar>
      </w:tblPr>
      <w:tr>
        <w:trPr>
          <w:trHeight w:val="253"/>
        </w:trPr>
        <w:tc>
          <w:tcPr>
            <w:tcW w:w="1640" w:type="dxa"/>
            <w:vAlign w:val="bottom"/>
            <w:tcBorders>
              <w:left w:val="single" w:sz="8" w:color="424E6A"/>
              <w:bottom w:val="single" w:sz="8" w:color="auto"/>
            </w:tcBorders>
            <w:shd w:val="clear" w:color="auto" w:fill="D9DCE1"/>
          </w:tcPr>
          <w:p>
            <w:pPr>
              <w:ind w:left="40"/>
              <w:spacing w:after="0"/>
              <w:rPr>
                <w:sz w:val="20"/>
                <w:szCs w:val="20"/>
                <w:color w:val="auto"/>
              </w:rPr>
            </w:pPr>
            <w:r>
              <w:rPr>
                <w:rFonts w:ascii="Arial" w:cs="Arial" w:eastAsia="Arial" w:hAnsi="Arial"/>
                <w:sz w:val="11"/>
                <w:szCs w:val="11"/>
                <w:color w:val="auto"/>
              </w:rPr>
              <w:t>Public Company Experience</w:t>
            </w: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shd w:val="clear" w:color="auto" w:fill="D9DCE1"/>
          </w:tcPr>
          <w:p>
            <w:pPr>
              <w:ind w:left="2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shd w:val="clear" w:color="auto" w:fill="D9DCE1"/>
          </w:tcPr>
          <w:p>
            <w:pPr>
              <w:jc w:val="right"/>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360" w:type="dxa"/>
            <w:vAlign w:val="bottom"/>
            <w:tcBorders>
              <w:bottom w:val="single" w:sz="8" w:color="auto"/>
            </w:tcBorders>
            <w:shd w:val="clear" w:color="auto" w:fill="D9DCE1"/>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shd w:val="clear" w:color="auto" w:fill="D9DCE1"/>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shd w:val="clear" w:color="auto" w:fill="D9DCE1"/>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D9DCE1"/>
          </w:tcPr>
          <w:p>
            <w:pPr>
              <w:ind w:left="2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shd w:val="clear" w:color="auto" w:fill="D9DCE1"/>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D9DCE1"/>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D9DCE1"/>
          </w:tcPr>
          <w:p>
            <w:pPr>
              <w:ind w:left="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right w:val="single" w:sz="8" w:color="424E6A"/>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640" w:type="dxa"/>
            <w:vAlign w:val="bottom"/>
            <w:tcBorders>
              <w:left w:val="single" w:sz="8" w:color="424E6A"/>
              <w:bottom w:val="single" w:sz="8" w:color="auto"/>
            </w:tcBorders>
          </w:tcPr>
          <w:p>
            <w:pPr>
              <w:ind w:left="40"/>
              <w:spacing w:after="0"/>
              <w:rPr>
                <w:sz w:val="20"/>
                <w:szCs w:val="20"/>
                <w:color w:val="auto"/>
              </w:rPr>
            </w:pPr>
            <w:r>
              <w:rPr>
                <w:rFonts w:ascii="Arial" w:cs="Arial" w:eastAsia="Arial" w:hAnsi="Arial"/>
                <w:sz w:val="11"/>
                <w:szCs w:val="11"/>
                <w:color w:val="auto"/>
              </w:rPr>
              <w:t>Finance/Accounting</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color w:val="auto"/>
              </w:rPr>
              <w:t>​​ ​</w:t>
            </w:r>
          </w:p>
        </w:tc>
        <w:tc>
          <w:tcPr>
            <w:tcW w:w="26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right w:val="single" w:sz="8" w:color="424E6A"/>
            </w:tcBorders>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1640" w:type="dxa"/>
            <w:vAlign w:val="bottom"/>
            <w:tcBorders>
              <w:left w:val="single" w:sz="8" w:color="424E6A"/>
            </w:tcBorders>
            <w:shd w:val="clear" w:color="auto" w:fill="D9DCE1"/>
          </w:tcPr>
          <w:p>
            <w:pPr>
              <w:ind w:left="40"/>
              <w:spacing w:after="0"/>
              <w:rPr>
                <w:sz w:val="20"/>
                <w:szCs w:val="20"/>
                <w:color w:val="auto"/>
              </w:rPr>
            </w:pPr>
            <w:r>
              <w:rPr>
                <w:rFonts w:ascii="Arial" w:cs="Arial" w:eastAsia="Arial" w:hAnsi="Arial"/>
                <w:sz w:val="11"/>
                <w:szCs w:val="11"/>
                <w:color w:val="auto"/>
              </w:rPr>
              <w:t>Business Development/​</w:t>
            </w:r>
          </w:p>
        </w:tc>
        <w:tc>
          <w:tcPr>
            <w:tcW w:w="20" w:type="dxa"/>
            <w:vAlign w:val="bottom"/>
          </w:tcPr>
          <w:p>
            <w:pPr>
              <w:spacing w:after="0"/>
              <w:rPr>
                <w:sz w:val="16"/>
                <w:szCs w:val="16"/>
                <w:color w:val="auto"/>
              </w:rPr>
            </w:pPr>
          </w:p>
        </w:tc>
        <w:tc>
          <w:tcPr>
            <w:tcW w:w="500" w:type="dxa"/>
            <w:vAlign w:val="bottom"/>
            <w:vMerge w:val="restart"/>
            <w:shd w:val="clear" w:color="auto" w:fill="D9DCE1"/>
          </w:tcPr>
          <w:p>
            <w:pPr>
              <w:ind w:left="280"/>
              <w:spacing w:after="0" w:line="265"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16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2"/>
            <w:vMerge w:val="restart"/>
            <w:shd w:val="clear" w:color="auto" w:fill="D9DCE1"/>
          </w:tcPr>
          <w:p>
            <w:pPr>
              <w:jc w:val="right"/>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360" w:type="dxa"/>
            <w:vAlign w:val="bottom"/>
            <w:vMerge w:val="restart"/>
            <w:shd w:val="clear" w:color="auto" w:fill="D9DCE1"/>
          </w:tcPr>
          <w:p>
            <w:pPr>
              <w:ind w:left="180"/>
              <w:spacing w:after="0" w:line="25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2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vMerge w:val="restart"/>
            <w:shd w:val="clear" w:color="auto" w:fill="D9DCE1"/>
          </w:tcPr>
          <w:p>
            <w:pPr>
              <w:ind w:left="260"/>
              <w:spacing w:after="0" w:line="265"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14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vMerge w:val="restart"/>
            <w:shd w:val="clear" w:color="auto" w:fill="D9DCE1"/>
          </w:tcPr>
          <w:p>
            <w:pPr>
              <w:ind w:left="260"/>
              <w:spacing w:after="0" w:line="265"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14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vMerge w:val="restart"/>
            <w:shd w:val="clear" w:color="auto" w:fill="D9DCE1"/>
          </w:tcPr>
          <w:p>
            <w:pPr>
              <w:ind w:left="180"/>
              <w:spacing w:after="0" w:line="25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20" w:type="dxa"/>
            <w:vAlign w:val="bottom"/>
            <w:shd w:val="clear" w:color="auto" w:fill="D9DCE1"/>
          </w:tcPr>
          <w:p>
            <w:pPr>
              <w:spacing w:after="0"/>
              <w:rPr>
                <w:sz w:val="16"/>
                <w:szCs w:val="16"/>
                <w:color w:val="auto"/>
              </w:rPr>
            </w:pPr>
          </w:p>
        </w:tc>
        <w:tc>
          <w:tcPr>
            <w:tcW w:w="440" w:type="dxa"/>
            <w:vAlign w:val="bottom"/>
            <w:vMerge w:val="restart"/>
            <w:shd w:val="clear" w:color="auto" w:fill="D9DCE1"/>
          </w:tcPr>
          <w:p>
            <w:pPr>
              <w:ind w:left="240"/>
              <w:spacing w:after="0" w:line="265"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12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vMerge w:val="restart"/>
            <w:shd w:val="clear" w:color="auto" w:fill="D9DCE1"/>
          </w:tcPr>
          <w:p>
            <w:pPr>
              <w:ind w:left="160"/>
              <w:spacing w:after="0" w:line="25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0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shd w:val="clear" w:color="auto" w:fill="D9DCE1"/>
          </w:tcPr>
          <w:p>
            <w:pPr>
              <w:ind w:left="240"/>
              <w:spacing w:after="0" w:line="265"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140" w:type="dxa"/>
            <w:vAlign w:val="bottom"/>
            <w:shd w:val="clear" w:color="auto" w:fill="D9DCE1"/>
          </w:tcPr>
          <w:p>
            <w:pPr>
              <w:spacing w:after="0"/>
              <w:rPr>
                <w:sz w:val="16"/>
                <w:szCs w:val="16"/>
                <w:color w:val="auto"/>
              </w:rPr>
            </w:pPr>
          </w:p>
        </w:tc>
        <w:tc>
          <w:tcPr>
            <w:tcW w:w="500" w:type="dxa"/>
            <w:vAlign w:val="bottom"/>
            <w:vMerge w:val="restart"/>
            <w:shd w:val="clear" w:color="auto" w:fill="D9DCE1"/>
          </w:tcPr>
          <w:p>
            <w:pPr>
              <w:ind w:left="280"/>
              <w:spacing w:after="0" w:line="265"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14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vMerge w:val="restart"/>
            <w:shd w:val="clear" w:color="auto" w:fill="D9DCE1"/>
          </w:tcPr>
          <w:p>
            <w:pPr>
              <w:ind w:left="180"/>
              <w:spacing w:after="0" w:line="25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2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260" w:type="dxa"/>
            <w:vAlign w:val="bottom"/>
            <w:vMerge w:val="restart"/>
            <w:shd w:val="clear" w:color="auto" w:fill="D9DCE1"/>
          </w:tcPr>
          <w:p>
            <w:pPr>
              <w:ind w:left="80"/>
              <w:spacing w:after="0" w:line="25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40" w:type="dxa"/>
            <w:vAlign w:val="bottom"/>
            <w:tcBorders>
              <w:right w:val="single" w:sz="8" w:color="424E6A"/>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40" w:type="dxa"/>
            <w:vAlign w:val="bottom"/>
            <w:tcBorders>
              <w:left w:val="single" w:sz="8" w:color="424E6A"/>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Strategy/Commercial</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vMerge w:val="continue"/>
            <w:shd w:val="clear" w:color="auto" w:fill="D9DCE1"/>
          </w:tcPr>
          <w:p>
            <w:pPr>
              <w:spacing w:after="0"/>
              <w:rPr>
                <w:sz w:val="15"/>
                <w:szCs w:val="15"/>
                <w:color w:val="auto"/>
              </w:rPr>
            </w:pPr>
          </w:p>
        </w:tc>
        <w:tc>
          <w:tcPr>
            <w:tcW w:w="360" w:type="dxa"/>
            <w:vAlign w:val="bottom"/>
            <w:tcBorders>
              <w:bottom w:val="single" w:sz="8" w:color="auto"/>
            </w:tcBorders>
            <w:vMerge w:val="continue"/>
            <w:shd w:val="clear" w:color="auto" w:fill="D9DCE1"/>
          </w:tcPr>
          <w:p>
            <w:pPr>
              <w:spacing w:after="0"/>
              <w:rPr>
                <w:sz w:val="15"/>
                <w:szCs w:val="15"/>
                <w:color w:val="auto"/>
              </w:rPr>
            </w:pP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shd w:val="clear" w:color="auto" w:fill="D9DCE1"/>
          </w:tcPr>
          <w:p>
            <w:pPr>
              <w:spacing w:after="0"/>
              <w:rPr>
                <w:sz w:val="15"/>
                <w:szCs w:val="15"/>
                <w:color w:val="auto"/>
              </w:rPr>
            </w:pP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1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shd w:val="clear" w:color="auto" w:fill="D9DCE1"/>
          </w:tcPr>
          <w:p>
            <w:pPr>
              <w:spacing w:after="0"/>
              <w:rPr>
                <w:sz w:val="15"/>
                <w:szCs w:val="15"/>
                <w:color w:val="auto"/>
              </w:rPr>
            </w:pPr>
          </w:p>
        </w:tc>
        <w:tc>
          <w:tcPr>
            <w:tcW w:w="10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shd w:val="clear" w:color="auto" w:fill="D9DCE1"/>
          </w:tcPr>
          <w:p>
            <w:pPr>
              <w:spacing w:after="0"/>
              <w:rPr>
                <w:sz w:val="15"/>
                <w:szCs w:val="15"/>
                <w:color w:val="auto"/>
              </w:rPr>
            </w:pP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shd w:val="clear" w:color="auto" w:fill="D9DCE1"/>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right w:val="single" w:sz="8" w:color="424E6A"/>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1640" w:type="dxa"/>
            <w:vAlign w:val="bottom"/>
            <w:tcBorders>
              <w:left w:val="single" w:sz="8" w:color="424E6A"/>
            </w:tcBorders>
          </w:tcPr>
          <w:p>
            <w:pPr>
              <w:ind w:left="40"/>
              <w:spacing w:after="0"/>
              <w:rPr>
                <w:sz w:val="20"/>
                <w:szCs w:val="20"/>
                <w:color w:val="auto"/>
              </w:rPr>
            </w:pPr>
            <w:r>
              <w:rPr>
                <w:rFonts w:ascii="Arial" w:cs="Arial" w:eastAsia="Arial" w:hAnsi="Arial"/>
                <w:sz w:val="11"/>
                <w:szCs w:val="11"/>
                <w:color w:val="auto"/>
              </w:rPr>
              <w:t>Legal/Governance/​Government</w:t>
            </w:r>
          </w:p>
        </w:tc>
        <w:tc>
          <w:tcPr>
            <w:tcW w:w="20" w:type="dxa"/>
            <w:vAlign w:val="bottom"/>
          </w:tcPr>
          <w:p>
            <w:pPr>
              <w:spacing w:after="0"/>
              <w:rPr>
                <w:sz w:val="16"/>
                <w:szCs w:val="16"/>
                <w:color w:val="auto"/>
              </w:rPr>
            </w:pPr>
          </w:p>
        </w:tc>
        <w:tc>
          <w:tcPr>
            <w:tcW w:w="500" w:type="dxa"/>
            <w:vAlign w:val="bottom"/>
            <w:vMerge w:val="restart"/>
          </w:tcPr>
          <w:p>
            <w:pPr>
              <w:ind w:left="2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2"/>
            <w:vMerge w:val="restart"/>
          </w:tcPr>
          <w:p>
            <w:pPr>
              <w:jc w:val="right"/>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360" w:type="dxa"/>
            <w:vAlign w:val="bottom"/>
            <w:vMerge w:val="restart"/>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vMerge w:val="restart"/>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vMerge w:val="restart"/>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vMerge w:val="restart"/>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Pr>
          <w:p>
            <w:pPr>
              <w:spacing w:after="0"/>
              <w:rPr>
                <w:sz w:val="16"/>
                <w:szCs w:val="16"/>
                <w:color w:val="auto"/>
              </w:rPr>
            </w:pPr>
          </w:p>
        </w:tc>
        <w:tc>
          <w:tcPr>
            <w:tcW w:w="440" w:type="dxa"/>
            <w:vAlign w:val="bottom"/>
            <w:vMerge w:val="restart"/>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vMerge w:val="restart"/>
          </w:tcPr>
          <w:p>
            <w:pPr>
              <w:ind w:left="1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vMerge w:val="restart"/>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Pr>
          <w:p>
            <w:pPr>
              <w:spacing w:after="0"/>
              <w:rPr>
                <w:sz w:val="16"/>
                <w:szCs w:val="16"/>
                <w:color w:val="auto"/>
              </w:rPr>
            </w:pPr>
          </w:p>
        </w:tc>
        <w:tc>
          <w:tcPr>
            <w:tcW w:w="500" w:type="dxa"/>
            <w:vAlign w:val="bottom"/>
            <w:vMerge w:val="restart"/>
          </w:tcPr>
          <w:p>
            <w:pPr>
              <w:ind w:left="2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vMerge w:val="restart"/>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ind w:left="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right w:val="single" w:sz="8" w:color="424E6A"/>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40" w:type="dxa"/>
            <w:vAlign w:val="bottom"/>
            <w:tcBorders>
              <w:left w:val="single" w:sz="8" w:color="424E6A"/>
              <w:bottom w:val="single" w:sz="8" w:color="auto"/>
            </w:tcBorders>
          </w:tcPr>
          <w:p>
            <w:pPr>
              <w:ind w:left="160"/>
              <w:spacing w:after="0"/>
              <w:rPr>
                <w:sz w:val="20"/>
                <w:szCs w:val="20"/>
                <w:color w:val="auto"/>
              </w:rPr>
            </w:pPr>
            <w:r>
              <w:rPr>
                <w:rFonts w:ascii="Arial" w:cs="Arial" w:eastAsia="Arial" w:hAnsi="Arial"/>
                <w:sz w:val="11"/>
                <w:szCs w:val="11"/>
                <w:color w:val="auto"/>
              </w:rPr>
              <w:t>Relations</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gridSpan w:val="2"/>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color w:val="auto"/>
              </w:rPr>
              <w:t>​​ ​</w:t>
            </w:r>
          </w:p>
        </w:tc>
        <w:tc>
          <w:tcPr>
            <w:tcW w:w="2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right w:val="single" w:sz="8" w:color="424E6A"/>
            </w:tcBorders>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1"/>
        </w:trPr>
        <w:tc>
          <w:tcPr>
            <w:tcW w:w="1640" w:type="dxa"/>
            <w:vAlign w:val="bottom"/>
            <w:tcBorders>
              <w:left w:val="single" w:sz="8" w:color="424E6A"/>
            </w:tcBorders>
            <w:shd w:val="clear" w:color="auto" w:fill="D9DCE1"/>
          </w:tcPr>
          <w:p>
            <w:pPr>
              <w:ind w:left="40"/>
              <w:spacing w:after="0"/>
              <w:rPr>
                <w:sz w:val="20"/>
                <w:szCs w:val="20"/>
                <w:color w:val="auto"/>
              </w:rPr>
            </w:pPr>
            <w:r>
              <w:rPr>
                <w:rFonts w:ascii="Arial" w:cs="Arial" w:eastAsia="Arial" w:hAnsi="Arial"/>
                <w:sz w:val="11"/>
                <w:szCs w:val="11"/>
                <w:color w:val="auto"/>
              </w:rPr>
              <w:t>Operations/Engineering/</w:t>
            </w:r>
          </w:p>
        </w:tc>
        <w:tc>
          <w:tcPr>
            <w:tcW w:w="20" w:type="dxa"/>
            <w:vAlign w:val="bottom"/>
          </w:tcPr>
          <w:p>
            <w:pPr>
              <w:spacing w:after="0"/>
              <w:rPr>
                <w:sz w:val="16"/>
                <w:szCs w:val="16"/>
                <w:color w:val="auto"/>
              </w:rPr>
            </w:pPr>
          </w:p>
        </w:tc>
        <w:tc>
          <w:tcPr>
            <w:tcW w:w="500" w:type="dxa"/>
            <w:vAlign w:val="bottom"/>
            <w:shd w:val="clear" w:color="auto" w:fill="D9DCE1"/>
          </w:tcPr>
          <w:p>
            <w:pPr>
              <w:spacing w:after="0"/>
              <w:rPr>
                <w:sz w:val="16"/>
                <w:szCs w:val="16"/>
                <w:color w:val="auto"/>
              </w:rPr>
            </w:pPr>
          </w:p>
        </w:tc>
        <w:tc>
          <w:tcPr>
            <w:tcW w:w="16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D9DCE1"/>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360" w:type="dxa"/>
            <w:vAlign w:val="bottom"/>
            <w:shd w:val="clear" w:color="auto" w:fill="D9DCE1"/>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D9DCE1"/>
          </w:tcPr>
          <w:p>
            <w:pPr>
              <w:spacing w:after="0"/>
              <w:rPr>
                <w:sz w:val="16"/>
                <w:szCs w:val="16"/>
                <w:color w:val="auto"/>
              </w:rPr>
            </w:pPr>
          </w:p>
        </w:tc>
        <w:tc>
          <w:tcPr>
            <w:tcW w:w="14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D9DCE1"/>
          </w:tcPr>
          <w:p>
            <w:pPr>
              <w:spacing w:after="0"/>
              <w:rPr>
                <w:sz w:val="16"/>
                <w:szCs w:val="16"/>
                <w:color w:val="auto"/>
              </w:rPr>
            </w:pPr>
          </w:p>
        </w:tc>
        <w:tc>
          <w:tcPr>
            <w:tcW w:w="14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D9DCE1"/>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440" w:type="dxa"/>
            <w:vAlign w:val="bottom"/>
            <w:shd w:val="clear" w:color="auto" w:fill="D9DCE1"/>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D9DCE1"/>
          </w:tcPr>
          <w:p>
            <w:pPr>
              <w:spacing w:after="0"/>
              <w:rPr>
                <w:sz w:val="16"/>
                <w:szCs w:val="16"/>
                <w:color w:val="auto"/>
              </w:rPr>
            </w:pPr>
          </w:p>
        </w:tc>
        <w:tc>
          <w:tcPr>
            <w:tcW w:w="10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shd w:val="clear" w:color="auto" w:fill="D9DCE1"/>
          </w:tcPr>
          <w:p>
            <w:pPr>
              <w:spacing w:after="0"/>
              <w:rPr>
                <w:sz w:val="16"/>
                <w:szCs w:val="16"/>
                <w:color w:val="auto"/>
              </w:rPr>
            </w:pPr>
          </w:p>
        </w:tc>
        <w:tc>
          <w:tcPr>
            <w:tcW w:w="140" w:type="dxa"/>
            <w:vAlign w:val="bottom"/>
            <w:shd w:val="clear" w:color="auto" w:fill="D9DCE1"/>
          </w:tcPr>
          <w:p>
            <w:pPr>
              <w:spacing w:after="0"/>
              <w:rPr>
                <w:sz w:val="16"/>
                <w:szCs w:val="16"/>
                <w:color w:val="auto"/>
              </w:rPr>
            </w:pPr>
          </w:p>
        </w:tc>
        <w:tc>
          <w:tcPr>
            <w:tcW w:w="500" w:type="dxa"/>
            <w:vAlign w:val="bottom"/>
            <w:shd w:val="clear" w:color="auto" w:fill="D9DCE1"/>
          </w:tcPr>
          <w:p>
            <w:pPr>
              <w:spacing w:after="0"/>
              <w:rPr>
                <w:sz w:val="16"/>
                <w:szCs w:val="16"/>
                <w:color w:val="auto"/>
              </w:rPr>
            </w:pPr>
          </w:p>
        </w:tc>
        <w:tc>
          <w:tcPr>
            <w:tcW w:w="14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D9DCE1"/>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260" w:type="dxa"/>
            <w:vAlign w:val="bottom"/>
            <w:shd w:val="clear" w:color="auto" w:fill="D9DCE1"/>
          </w:tcPr>
          <w:p>
            <w:pPr>
              <w:spacing w:after="0"/>
              <w:rPr>
                <w:sz w:val="16"/>
                <w:szCs w:val="16"/>
                <w:color w:val="auto"/>
              </w:rPr>
            </w:pPr>
          </w:p>
        </w:tc>
        <w:tc>
          <w:tcPr>
            <w:tcW w:w="140" w:type="dxa"/>
            <w:vAlign w:val="bottom"/>
            <w:tcBorders>
              <w:right w:val="single" w:sz="8" w:color="424E6A"/>
            </w:tcBorders>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424E6A"/>
            </w:tcBorders>
            <w:shd w:val="clear" w:color="auto" w:fill="D9DCE1"/>
          </w:tcPr>
          <w:p>
            <w:pPr>
              <w:ind w:left="160"/>
              <w:spacing w:after="0"/>
              <w:rPr>
                <w:sz w:val="20"/>
                <w:szCs w:val="20"/>
                <w:color w:val="auto"/>
              </w:rPr>
            </w:pPr>
            <w:r>
              <w:rPr>
                <w:rFonts w:ascii="Arial" w:cs="Arial" w:eastAsia="Arial" w:hAnsi="Arial"/>
                <w:sz w:val="11"/>
                <w:szCs w:val="11"/>
                <w:color w:val="auto"/>
              </w:rPr>
              <w:t>Construction/​</w:t>
            </w:r>
          </w:p>
        </w:tc>
        <w:tc>
          <w:tcPr>
            <w:tcW w:w="20" w:type="dxa"/>
            <w:vAlign w:val="bottom"/>
          </w:tcPr>
          <w:p>
            <w:pPr>
              <w:spacing w:after="0"/>
              <w:rPr>
                <w:sz w:val="11"/>
                <w:szCs w:val="11"/>
                <w:color w:val="auto"/>
              </w:rPr>
            </w:pPr>
          </w:p>
        </w:tc>
        <w:tc>
          <w:tcPr>
            <w:tcW w:w="500" w:type="dxa"/>
            <w:vAlign w:val="bottom"/>
            <w:vMerge w:val="restart"/>
            <w:shd w:val="clear" w:color="auto" w:fill="D9DCE1"/>
          </w:tcPr>
          <w:p>
            <w:pPr>
              <w:ind w:left="2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D9DCE1"/>
          </w:tcPr>
          <w:p>
            <w:pPr>
              <w:spacing w:after="0"/>
              <w:rPr>
                <w:sz w:val="11"/>
                <w:szCs w:val="11"/>
                <w:color w:val="auto"/>
              </w:rPr>
            </w:pPr>
          </w:p>
        </w:tc>
        <w:tc>
          <w:tcPr>
            <w:tcW w:w="120" w:type="dxa"/>
            <w:vAlign w:val="bottom"/>
            <w:shd w:val="clear" w:color="auto" w:fill="D9DCE1"/>
          </w:tcPr>
          <w:p>
            <w:pPr>
              <w:spacing w:after="0"/>
              <w:rPr>
                <w:sz w:val="11"/>
                <w:szCs w:val="11"/>
                <w:color w:val="auto"/>
              </w:rPr>
            </w:pPr>
          </w:p>
        </w:tc>
        <w:tc>
          <w:tcPr>
            <w:tcW w:w="360" w:type="dxa"/>
            <w:vAlign w:val="bottom"/>
            <w:vMerge w:val="restart"/>
            <w:shd w:val="clear" w:color="auto" w:fill="D9DCE1"/>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restart"/>
            <w:shd w:val="clear" w:color="auto" w:fill="D9DCE1"/>
          </w:tcPr>
          <w:p>
            <w:pPr>
              <w:ind w:left="26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shd w:val="clear" w:color="auto" w:fill="D9DCE1"/>
          </w:tcPr>
          <w:p>
            <w:pPr>
              <w:spacing w:after="0"/>
              <w:rPr>
                <w:sz w:val="11"/>
                <w:szCs w:val="11"/>
                <w:color w:val="auto"/>
              </w:rPr>
            </w:pPr>
          </w:p>
        </w:tc>
        <w:tc>
          <w:tcPr>
            <w:tcW w:w="14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vMerge w:val="restart"/>
            <w:shd w:val="clear" w:color="auto" w:fill="D9DCE1"/>
          </w:tcPr>
          <w:p>
            <w:pPr>
              <w:ind w:left="1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shd w:val="clear" w:color="auto" w:fill="D9DCE1"/>
          </w:tcPr>
          <w:p>
            <w:pPr>
              <w:spacing w:after="0"/>
              <w:rPr>
                <w:sz w:val="11"/>
                <w:szCs w:val="11"/>
                <w:color w:val="auto"/>
              </w:rPr>
            </w:pPr>
          </w:p>
        </w:tc>
        <w:tc>
          <w:tcPr>
            <w:tcW w:w="440" w:type="dxa"/>
            <w:vAlign w:val="bottom"/>
            <w:shd w:val="clear" w:color="auto" w:fill="D9DCE1"/>
          </w:tcPr>
          <w:p>
            <w:pPr>
              <w:spacing w:after="0"/>
              <w:rPr>
                <w:sz w:val="11"/>
                <w:szCs w:val="11"/>
                <w:color w:val="auto"/>
              </w:rPr>
            </w:pPr>
          </w:p>
        </w:tc>
        <w:tc>
          <w:tcPr>
            <w:tcW w:w="12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D9DCE1"/>
          </w:tcPr>
          <w:p>
            <w:pPr>
              <w:spacing w:after="0"/>
              <w:rPr>
                <w:sz w:val="11"/>
                <w:szCs w:val="11"/>
                <w:color w:val="auto"/>
              </w:rPr>
            </w:pPr>
          </w:p>
        </w:tc>
        <w:tc>
          <w:tcPr>
            <w:tcW w:w="10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vMerge w:val="restart"/>
            <w:shd w:val="clear" w:color="auto" w:fill="D9DCE1"/>
          </w:tcPr>
          <w:p>
            <w:pPr>
              <w:ind w:left="24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shd w:val="clear" w:color="auto" w:fill="D9DCE1"/>
          </w:tcPr>
          <w:p>
            <w:pPr>
              <w:spacing w:after="0"/>
              <w:rPr>
                <w:sz w:val="11"/>
                <w:szCs w:val="11"/>
                <w:color w:val="auto"/>
              </w:rPr>
            </w:pPr>
          </w:p>
        </w:tc>
        <w:tc>
          <w:tcPr>
            <w:tcW w:w="500" w:type="dxa"/>
            <w:vAlign w:val="bottom"/>
            <w:vMerge w:val="restart"/>
            <w:shd w:val="clear" w:color="auto" w:fill="D9DCE1"/>
          </w:tcPr>
          <w:p>
            <w:pPr>
              <w:ind w:left="2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D9DCE1"/>
          </w:tcPr>
          <w:p>
            <w:pPr>
              <w:spacing w:after="0"/>
              <w:rPr>
                <w:sz w:val="11"/>
                <w:szCs w:val="11"/>
                <w:color w:val="auto"/>
              </w:rPr>
            </w:pPr>
          </w:p>
        </w:tc>
        <w:tc>
          <w:tcPr>
            <w:tcW w:w="120" w:type="dxa"/>
            <w:vAlign w:val="bottom"/>
            <w:shd w:val="clear" w:color="auto" w:fill="D9DCE1"/>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D9DCE1"/>
          </w:tcPr>
          <w:p>
            <w:pPr>
              <w:spacing w:after="0"/>
              <w:rPr>
                <w:sz w:val="11"/>
                <w:szCs w:val="11"/>
                <w:color w:val="auto"/>
              </w:rPr>
            </w:pPr>
          </w:p>
        </w:tc>
        <w:tc>
          <w:tcPr>
            <w:tcW w:w="260" w:type="dxa"/>
            <w:vAlign w:val="bottom"/>
            <w:vMerge w:val="restart"/>
            <w:shd w:val="clear" w:color="auto" w:fill="D9DCE1"/>
          </w:tcPr>
          <w:p>
            <w:pPr>
              <w:ind w:left="80"/>
              <w:spacing w:after="0" w:line="25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right w:val="single" w:sz="8" w:color="424E6A"/>
            </w:tcBorders>
            <w:shd w:val="clear" w:color="auto" w:fill="D9DCE1"/>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40" w:type="dxa"/>
            <w:vAlign w:val="bottom"/>
            <w:tcBorders>
              <w:left w:val="single" w:sz="8" w:color="424E6A"/>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Technical</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shd w:val="clear" w:color="auto" w:fill="D9DCE1"/>
          </w:tcPr>
          <w:p>
            <w:pPr>
              <w:spacing w:after="0"/>
              <w:rPr>
                <w:sz w:val="15"/>
                <w:szCs w:val="15"/>
                <w:color w:val="auto"/>
              </w:rPr>
            </w:pPr>
          </w:p>
        </w:tc>
        <w:tc>
          <w:tcPr>
            <w:tcW w:w="16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vMerge w:val="continue"/>
            <w:shd w:val="clear" w:color="auto" w:fill="D9DCE1"/>
          </w:tcPr>
          <w:p>
            <w:pPr>
              <w:spacing w:after="0"/>
              <w:rPr>
                <w:sz w:val="15"/>
                <w:szCs w:val="15"/>
                <w:color w:val="auto"/>
              </w:rPr>
            </w:pP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shd w:val="clear" w:color="auto" w:fill="D9DCE1"/>
          </w:tcPr>
          <w:p>
            <w:pPr>
              <w:spacing w:after="0"/>
              <w:rPr>
                <w:sz w:val="15"/>
                <w:szCs w:val="15"/>
                <w:color w:val="auto"/>
              </w:rPr>
            </w:pP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shd w:val="clear" w:color="auto" w:fill="D9DCE1"/>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vMerge w:val="continue"/>
            <w:shd w:val="clear" w:color="auto" w:fill="D9DCE1"/>
          </w:tcPr>
          <w:p>
            <w:pPr>
              <w:spacing w:after="0"/>
              <w:rPr>
                <w:sz w:val="15"/>
                <w:szCs w:val="15"/>
                <w:color w:val="auto"/>
              </w:rPr>
            </w:pPr>
          </w:p>
        </w:tc>
        <w:tc>
          <w:tcPr>
            <w:tcW w:w="140" w:type="dxa"/>
            <w:vAlign w:val="bottom"/>
            <w:tcBorders>
              <w:bottom w:val="single" w:sz="8" w:color="auto"/>
              <w:right w:val="single" w:sz="8" w:color="424E6A"/>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640" w:type="dxa"/>
            <w:vAlign w:val="bottom"/>
            <w:tcBorders>
              <w:left w:val="single" w:sz="8" w:color="424E6A"/>
              <w:bottom w:val="single" w:sz="8" w:color="auto"/>
            </w:tcBorders>
          </w:tcPr>
          <w:p>
            <w:pPr>
              <w:ind w:left="40"/>
              <w:spacing w:after="0"/>
              <w:rPr>
                <w:sz w:val="20"/>
                <w:szCs w:val="20"/>
                <w:color w:val="auto"/>
              </w:rPr>
            </w:pPr>
            <w:r>
              <w:rPr>
                <w:rFonts w:ascii="Arial" w:cs="Arial" w:eastAsia="Arial" w:hAnsi="Arial"/>
                <w:sz w:val="11"/>
                <w:szCs w:val="11"/>
                <w:color w:val="auto"/>
              </w:rPr>
              <w:t>Industry Experience</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gridSpan w:val="2"/>
          </w:tcPr>
          <w:p>
            <w:pPr>
              <w:jc w:val="right"/>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60"/>
              <w:spacing w:after="0" w:line="223"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60"/>
              <w:spacing w:after="0" w:line="223"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1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line="223"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1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ind w:left="280"/>
              <w:spacing w:after="0" w:line="223" w:lineRule="exact"/>
              <w:rPr>
                <w:sz w:val="20"/>
                <w:szCs w:val="20"/>
                <w:color w:val="auto"/>
              </w:rPr>
            </w:pPr>
            <w:r>
              <w:rPr>
                <w:rFonts w:ascii="Arial" w:cs="Arial" w:eastAsia="Arial" w:hAnsi="Arial"/>
                <w:sz w:val="23"/>
                <w:szCs w:val="23"/>
                <w:color w:val="auto"/>
                <w:w w:val="86"/>
                <w:vertAlign w:val="subscript"/>
              </w:rPr>
              <w:t>​</w:t>
            </w:r>
            <w:r>
              <w:rPr>
                <w:rFonts w:ascii="MS PGothic" w:cs="MS PGothic" w:eastAsia="MS PGothic" w:hAnsi="MS PGothic"/>
                <w:sz w:val="23"/>
                <w:szCs w:val="23"/>
                <w:color w:val="auto"/>
                <w:w w:val="86"/>
              </w:rPr>
              <w:t>✓</w:t>
            </w:r>
          </w:p>
        </w:tc>
        <w:tc>
          <w:tcPr>
            <w:tcW w:w="1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2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color w:val="auto"/>
              </w:rPr>
              <w:t>​​ ​</w:t>
            </w:r>
          </w:p>
        </w:tc>
        <w:tc>
          <w:tcPr>
            <w:tcW w:w="26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40" w:type="dxa"/>
            <w:vAlign w:val="bottom"/>
            <w:tcBorders>
              <w:bottom w:val="single" w:sz="8" w:color="auto"/>
              <w:right w:val="single" w:sz="8" w:color="424E6A"/>
            </w:tcBorders>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640" w:type="dxa"/>
            <w:vAlign w:val="bottom"/>
            <w:tcBorders>
              <w:left w:val="single" w:sz="8" w:color="424E6A"/>
              <w:bottom w:val="single" w:sz="8" w:color="auto"/>
            </w:tcBorders>
            <w:shd w:val="clear" w:color="auto" w:fill="D9DCE1"/>
          </w:tcPr>
          <w:p>
            <w:pPr>
              <w:ind w:left="40"/>
              <w:spacing w:after="0"/>
              <w:rPr>
                <w:sz w:val="20"/>
                <w:szCs w:val="20"/>
                <w:color w:val="auto"/>
              </w:rPr>
            </w:pPr>
            <w:r>
              <w:rPr>
                <w:rFonts w:ascii="Arial" w:cs="Arial" w:eastAsia="Arial" w:hAnsi="Arial"/>
                <w:sz w:val="11"/>
                <w:szCs w:val="11"/>
                <w:color w:val="auto"/>
              </w:rPr>
              <w:t>Private Equity</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shd w:val="clear" w:color="auto" w:fill="D9DCE1"/>
          </w:tcPr>
          <w:p>
            <w:pPr>
              <w:ind w:left="2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shd w:val="clear" w:color="auto" w:fill="D9DCE1"/>
          </w:tcPr>
          <w:p>
            <w:pPr>
              <w:ind w:left="2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4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shd w:val="clear" w:color="auto" w:fill="D9DCE1"/>
          </w:tcPr>
          <w:p>
            <w:pPr>
              <w:ind w:left="1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shd w:val="clear" w:color="auto" w:fill="D9DCE1"/>
          </w:tcPr>
          <w:p>
            <w:pPr>
              <w:ind w:left="24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D9DCE1"/>
          </w:tcPr>
          <w:p>
            <w:pPr>
              <w:ind w:left="2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shd w:val="clear" w:color="auto" w:fill="D9DCE1"/>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D9DCE1"/>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right w:val="single" w:sz="8" w:color="424E6A"/>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640" w:type="dxa"/>
            <w:vAlign w:val="bottom"/>
            <w:tcBorders>
              <w:left w:val="single" w:sz="8" w:color="424E6A"/>
              <w:bottom w:val="single" w:sz="8" w:color="auto"/>
            </w:tcBorders>
          </w:tcPr>
          <w:p>
            <w:pPr>
              <w:ind w:left="40"/>
              <w:spacing w:after="0"/>
              <w:rPr>
                <w:sz w:val="20"/>
                <w:szCs w:val="20"/>
                <w:color w:val="auto"/>
              </w:rPr>
            </w:pPr>
            <w:r>
              <w:rPr>
                <w:rFonts w:ascii="Arial" w:cs="Arial" w:eastAsia="Arial" w:hAnsi="Arial"/>
                <w:sz w:val="11"/>
                <w:szCs w:val="11"/>
                <w:color w:val="auto"/>
              </w:rPr>
              <w:t>Diversity</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color w:val="auto"/>
              </w:rPr>
              <w:t>​​ ​</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right w:val="single" w:sz="8" w:color="424E6A"/>
            </w:tcBorders>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640" w:type="dxa"/>
            <w:vAlign w:val="bottom"/>
            <w:tcBorders>
              <w:left w:val="single" w:sz="8" w:color="424E6A"/>
              <w:bottom w:val="single" w:sz="8" w:color="auto"/>
            </w:tcBorders>
            <w:shd w:val="clear" w:color="auto" w:fill="D9DCE1"/>
          </w:tcPr>
          <w:p>
            <w:pPr>
              <w:ind w:left="40"/>
              <w:spacing w:after="0"/>
              <w:rPr>
                <w:sz w:val="20"/>
                <w:szCs w:val="20"/>
                <w:color w:val="auto"/>
              </w:rPr>
            </w:pPr>
            <w:r>
              <w:rPr>
                <w:rFonts w:ascii="Arial" w:cs="Arial" w:eastAsia="Arial" w:hAnsi="Arial"/>
                <w:sz w:val="11"/>
                <w:szCs w:val="11"/>
                <w:color w:val="auto"/>
              </w:rPr>
              <w:t>International</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shd w:val="clear" w:color="auto" w:fill="D9DCE1"/>
          </w:tcPr>
          <w:p>
            <w:pPr>
              <w:ind w:left="2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60" w:type="dxa"/>
            <w:vAlign w:val="bottom"/>
            <w:tcBorders>
              <w:bottom w:val="single" w:sz="8" w:color="auto"/>
            </w:tcBorders>
            <w:shd w:val="clear" w:color="auto" w:fill="D9DCE1"/>
          </w:tcPr>
          <w:p>
            <w:pPr>
              <w:ind w:left="14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shd w:val="clear" w:color="auto" w:fill="D9DCE1"/>
          </w:tcPr>
          <w:p>
            <w:pPr>
              <w:jc w:val="right"/>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w:t>
            </w:r>
          </w:p>
        </w:tc>
        <w:tc>
          <w:tcPr>
            <w:tcW w:w="360" w:type="dxa"/>
            <w:vAlign w:val="bottom"/>
            <w:tcBorders>
              <w:bottom w:val="single" w:sz="8" w:color="auto"/>
            </w:tcBorders>
            <w:shd w:val="clear" w:color="auto" w:fill="D9DCE1"/>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shd w:val="clear" w:color="auto" w:fill="D9DCE1"/>
          </w:tcPr>
          <w:p>
            <w:pPr>
              <w:ind w:left="2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shd w:val="clear" w:color="auto" w:fill="D9DCE1"/>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shd w:val="clear" w:color="auto" w:fill="D9DCE1"/>
          </w:tcPr>
          <w:p>
            <w:pPr>
              <w:ind w:left="24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shd w:val="clear" w:color="auto" w:fill="D9DCE1"/>
          </w:tcPr>
          <w:p>
            <w:pPr>
              <w:ind w:left="1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00" w:type="dxa"/>
            <w:vAlign w:val="bottom"/>
            <w:tcBorders>
              <w:bottom w:val="single" w:sz="8" w:color="auto"/>
            </w:tcBorders>
            <w:shd w:val="clear" w:color="auto" w:fill="D9DCE1"/>
          </w:tcPr>
          <w:p>
            <w:pPr>
              <w:ind w:left="6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shd w:val="clear" w:color="auto" w:fill="D9DCE1"/>
          </w:tcPr>
          <w:p>
            <w:pPr>
              <w:ind w:left="24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shd w:val="clear" w:color="auto" w:fill="D9DCE1"/>
          </w:tcPr>
          <w:p>
            <w:pPr>
              <w:ind w:left="2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tcBorders>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shd w:val="clear" w:color="auto" w:fill="D9DCE1"/>
          </w:tcPr>
          <w:p>
            <w:pPr>
              <w:ind w:lef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D9DCE1"/>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shd w:val="clear" w:color="auto" w:fill="D9DCE1"/>
          </w:tcPr>
          <w:p>
            <w:pPr>
              <w:ind w:left="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right w:val="single" w:sz="8" w:color="424E6A"/>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640" w:type="dxa"/>
            <w:vAlign w:val="bottom"/>
            <w:tcBorders>
              <w:left w:val="single" w:sz="8" w:color="424E6A"/>
              <w:bottom w:val="single" w:sz="8" w:color="auto"/>
            </w:tcBorders>
          </w:tcPr>
          <w:p>
            <w:pPr>
              <w:ind w:left="40"/>
              <w:spacing w:after="0"/>
              <w:rPr>
                <w:sz w:val="20"/>
                <w:szCs w:val="20"/>
                <w:color w:val="auto"/>
              </w:rPr>
            </w:pPr>
            <w:r>
              <w:rPr>
                <w:rFonts w:ascii="Arial" w:cs="Arial" w:eastAsia="Arial" w:hAnsi="Arial"/>
                <w:sz w:val="11"/>
                <w:szCs w:val="11"/>
                <w:color w:val="auto"/>
              </w:rPr>
              <w:t>Cybersecurity/IT</w:t>
            </w: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ind w:left="16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auto"/>
            </w:tcBorders>
          </w:tcPr>
          <w:p>
            <w:pPr>
              <w:ind w:left="1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26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1"/>
                <w:szCs w:val="11"/>
                <w:color w:val="auto"/>
              </w:rPr>
              <w:t>​​ ​</w:t>
            </w:r>
          </w:p>
        </w:tc>
        <w:tc>
          <w:tcPr>
            <w:tcW w:w="26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11"/>
                <w:szCs w:val="11"/>
                <w:color w:val="auto"/>
              </w:rPr>
              <w:t>​</w:t>
            </w:r>
            <w:r>
              <w:rPr>
                <w:rFonts w:ascii="MS PGothic" w:cs="MS PGothic" w:eastAsia="MS PGothic" w:hAnsi="MS PGothic"/>
                <w:sz w:val="22"/>
                <w:szCs w:val="22"/>
                <w:color w:val="auto"/>
                <w:vertAlign w:val="superscript"/>
              </w:rPr>
              <w:t>✓</w:t>
            </w:r>
          </w:p>
        </w:tc>
        <w:tc>
          <w:tcPr>
            <w:tcW w:w="140" w:type="dxa"/>
            <w:vAlign w:val="bottom"/>
            <w:tcBorders>
              <w:bottom w:val="single" w:sz="8" w:color="auto"/>
              <w:right w:val="single" w:sz="8" w:color="424E6A"/>
            </w:tcBorders>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3"/>
        </w:trPr>
        <w:tc>
          <w:tcPr>
            <w:tcW w:w="1640" w:type="dxa"/>
            <w:vAlign w:val="bottom"/>
            <w:tcBorders>
              <w:left w:val="single" w:sz="8" w:color="424E6A"/>
            </w:tcBorders>
            <w:shd w:val="clear" w:color="auto" w:fill="D9DCE1"/>
          </w:tcPr>
          <w:p>
            <w:pPr>
              <w:ind w:left="40"/>
              <w:spacing w:after="0"/>
              <w:rPr>
                <w:sz w:val="20"/>
                <w:szCs w:val="20"/>
                <w:color w:val="auto"/>
              </w:rPr>
            </w:pPr>
            <w:r>
              <w:rPr>
                <w:rFonts w:ascii="Arial" w:cs="Arial" w:eastAsia="Arial" w:hAnsi="Arial"/>
                <w:sz w:val="11"/>
                <w:szCs w:val="11"/>
                <w:color w:val="auto"/>
              </w:rPr>
              <w:t>Energy Evolution</w:t>
            </w:r>
          </w:p>
        </w:tc>
        <w:tc>
          <w:tcPr>
            <w:tcW w:w="20" w:type="dxa"/>
            <w:vAlign w:val="bottom"/>
          </w:tcPr>
          <w:p>
            <w:pPr>
              <w:spacing w:after="0"/>
              <w:rPr>
                <w:sz w:val="19"/>
                <w:szCs w:val="19"/>
                <w:color w:val="auto"/>
              </w:rPr>
            </w:pPr>
          </w:p>
        </w:tc>
        <w:tc>
          <w:tcPr>
            <w:tcW w:w="500" w:type="dxa"/>
            <w:vAlign w:val="bottom"/>
            <w:shd w:val="clear" w:color="auto" w:fill="D9DCE1"/>
          </w:tcPr>
          <w:p>
            <w:pPr>
              <w:ind w:left="280"/>
              <w:spacing w:after="0"/>
              <w:rPr>
                <w:sz w:val="20"/>
                <w:szCs w:val="20"/>
                <w:color w:val="auto"/>
              </w:rPr>
            </w:pPr>
            <w:r>
              <w:rPr>
                <w:rFonts w:ascii="Arial" w:cs="Arial" w:eastAsia="Arial" w:hAnsi="Arial"/>
                <w:sz w:val="11"/>
                <w:szCs w:val="11"/>
                <w:color w:val="auto"/>
              </w:rPr>
              <w:t>​</w:t>
            </w:r>
          </w:p>
        </w:tc>
        <w:tc>
          <w:tcPr>
            <w:tcW w:w="160" w:type="dxa"/>
            <w:vAlign w:val="bottom"/>
            <w:shd w:val="clear" w:color="auto" w:fill="D9DCE1"/>
          </w:tcPr>
          <w:p>
            <w:pPr>
              <w:ind w:left="14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9"/>
                <w:szCs w:val="19"/>
                <w:color w:val="auto"/>
              </w:rPr>
            </w:pPr>
          </w:p>
        </w:tc>
        <w:tc>
          <w:tcPr>
            <w:tcW w:w="220" w:type="dxa"/>
            <w:vAlign w:val="bottom"/>
            <w:shd w:val="clear" w:color="auto" w:fill="D9DCE1"/>
          </w:tcPr>
          <w:p>
            <w:pPr>
              <w:ind w:lef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1"/>
                <w:szCs w:val="11"/>
                <w:color w:val="auto"/>
              </w:rPr>
              <w:t>​</w:t>
            </w:r>
          </w:p>
        </w:tc>
        <w:tc>
          <w:tcPr>
            <w:tcW w:w="360" w:type="dxa"/>
            <w:vAlign w:val="bottom"/>
            <w:shd w:val="clear" w:color="auto" w:fill="D9DCE1"/>
          </w:tcPr>
          <w:p>
            <w:pPr>
              <w:ind w:left="18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20" w:type="dxa"/>
            <w:vAlign w:val="bottom"/>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480" w:type="dxa"/>
            <w:vAlign w:val="bottom"/>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9"/>
                <w:szCs w:val="19"/>
                <w:color w:val="auto"/>
              </w:rPr>
            </w:pPr>
          </w:p>
        </w:tc>
        <w:tc>
          <w:tcPr>
            <w:tcW w:w="460" w:type="dxa"/>
            <w:vAlign w:val="bottom"/>
            <w:shd w:val="clear" w:color="auto" w:fill="D9DCE1"/>
          </w:tcPr>
          <w:p>
            <w:pPr>
              <w:ind w:lef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9"/>
                <w:szCs w:val="19"/>
                <w:color w:val="auto"/>
              </w:rPr>
            </w:pPr>
          </w:p>
        </w:tc>
        <w:tc>
          <w:tcPr>
            <w:tcW w:w="360" w:type="dxa"/>
            <w:vAlign w:val="bottom"/>
            <w:shd w:val="clear" w:color="auto" w:fill="D9DCE1"/>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D9DCE1"/>
          </w:tcPr>
          <w:p>
            <w:pPr>
              <w:ind w:left="80"/>
              <w:spacing w:after="0"/>
              <w:rPr>
                <w:sz w:val="20"/>
                <w:szCs w:val="20"/>
                <w:color w:val="auto"/>
              </w:rPr>
            </w:pPr>
            <w:r>
              <w:rPr>
                <w:rFonts w:ascii="Arial" w:cs="Arial" w:eastAsia="Arial" w:hAnsi="Arial"/>
                <w:sz w:val="11"/>
                <w:szCs w:val="11"/>
                <w:color w:val="auto"/>
              </w:rPr>
              <w:t>​</w:t>
            </w:r>
          </w:p>
        </w:tc>
        <w:tc>
          <w:tcPr>
            <w:tcW w:w="440" w:type="dxa"/>
            <w:vAlign w:val="bottom"/>
            <w:shd w:val="clear" w:color="auto" w:fill="D9DCE1"/>
          </w:tcPr>
          <w:p>
            <w:pPr>
              <w:ind w:lef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D9DCE1"/>
          </w:tcPr>
          <w:p>
            <w:pPr>
              <w:ind w:left="10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9"/>
                <w:szCs w:val="19"/>
                <w:color w:val="auto"/>
              </w:rPr>
            </w:pPr>
          </w:p>
        </w:tc>
        <w:tc>
          <w:tcPr>
            <w:tcW w:w="340" w:type="dxa"/>
            <w:vAlign w:val="bottom"/>
            <w:shd w:val="clear" w:color="auto" w:fill="D9DCE1"/>
          </w:tcPr>
          <w:p>
            <w:pPr>
              <w:ind w:left="16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00" w:type="dxa"/>
            <w:vAlign w:val="bottom"/>
            <w:shd w:val="clear" w:color="auto" w:fill="D9DCE1"/>
          </w:tcPr>
          <w:p>
            <w:pPr>
              <w:ind w:lef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440" w:type="dxa"/>
            <w:vAlign w:val="bottom"/>
            <w:shd w:val="clear" w:color="auto" w:fill="D9DCE1"/>
          </w:tcPr>
          <w:p>
            <w:pPr>
              <w:ind w:left="240"/>
              <w:spacing w:after="0" w:line="223" w:lineRule="exact"/>
              <w:rPr>
                <w:sz w:val="20"/>
                <w:szCs w:val="20"/>
                <w:color w:val="auto"/>
              </w:rPr>
            </w:pPr>
            <w:r>
              <w:rPr>
                <w:rFonts w:ascii="Arial" w:cs="Arial" w:eastAsia="Arial" w:hAnsi="Arial"/>
                <w:sz w:val="23"/>
                <w:szCs w:val="23"/>
                <w:color w:val="auto"/>
                <w:w w:val="78"/>
                <w:vertAlign w:val="subscript"/>
              </w:rPr>
              <w:t>​</w:t>
            </w:r>
            <w:r>
              <w:rPr>
                <w:rFonts w:ascii="MS PGothic" w:cs="MS PGothic" w:eastAsia="MS PGothic" w:hAnsi="MS PGothic"/>
                <w:sz w:val="23"/>
                <w:szCs w:val="23"/>
                <w:color w:val="auto"/>
                <w:w w:val="78"/>
              </w:rPr>
              <w:t>✓</w:t>
            </w:r>
          </w:p>
        </w:tc>
        <w:tc>
          <w:tcPr>
            <w:tcW w:w="140" w:type="dxa"/>
            <w:vAlign w:val="bottom"/>
            <w:shd w:val="clear" w:color="auto" w:fill="D9DCE1"/>
          </w:tcPr>
          <w:p>
            <w:pPr>
              <w:ind w:left="100"/>
              <w:spacing w:after="0"/>
              <w:rPr>
                <w:sz w:val="20"/>
                <w:szCs w:val="20"/>
                <w:color w:val="auto"/>
              </w:rPr>
            </w:pPr>
            <w:r>
              <w:rPr>
                <w:rFonts w:ascii="Arial" w:cs="Arial" w:eastAsia="Arial" w:hAnsi="Arial"/>
                <w:sz w:val="11"/>
                <w:szCs w:val="11"/>
                <w:color w:val="auto"/>
              </w:rPr>
              <w:t>​</w:t>
            </w:r>
          </w:p>
        </w:tc>
        <w:tc>
          <w:tcPr>
            <w:tcW w:w="500" w:type="dxa"/>
            <w:vAlign w:val="bottom"/>
            <w:shd w:val="clear" w:color="auto" w:fill="D9DCE1"/>
          </w:tcPr>
          <w:p>
            <w:pPr>
              <w:ind w:left="280"/>
              <w:spacing w:after="0"/>
              <w:rPr>
                <w:sz w:val="20"/>
                <w:szCs w:val="20"/>
                <w:color w:val="auto"/>
              </w:rPr>
            </w:pPr>
            <w:r>
              <w:rPr>
                <w:rFonts w:ascii="Arial" w:cs="Arial" w:eastAsia="Arial" w:hAnsi="Arial"/>
                <w:sz w:val="11"/>
                <w:szCs w:val="11"/>
                <w:color w:val="auto"/>
              </w:rPr>
              <w:t>​</w:t>
            </w:r>
          </w:p>
        </w:tc>
        <w:tc>
          <w:tcPr>
            <w:tcW w:w="140" w:type="dxa"/>
            <w:vAlign w:val="bottom"/>
            <w:shd w:val="clear" w:color="auto" w:fill="D9DCE1"/>
          </w:tcPr>
          <w:p>
            <w:pPr>
              <w:ind w:left="120"/>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9"/>
                <w:szCs w:val="19"/>
                <w:color w:val="auto"/>
              </w:rPr>
            </w:pPr>
          </w:p>
        </w:tc>
        <w:tc>
          <w:tcPr>
            <w:tcW w:w="360" w:type="dxa"/>
            <w:vAlign w:val="bottom"/>
            <w:shd w:val="clear" w:color="auto" w:fill="D9DCE1"/>
          </w:tcPr>
          <w:p>
            <w:pPr>
              <w:ind w:left="180"/>
              <w:spacing w:after="0"/>
              <w:rPr>
                <w:sz w:val="20"/>
                <w:szCs w:val="20"/>
                <w:color w:val="auto"/>
              </w:rPr>
            </w:pPr>
            <w:r>
              <w:rPr>
                <w:rFonts w:ascii="Arial" w:cs="Arial" w:eastAsia="Arial" w:hAnsi="Arial"/>
                <w:sz w:val="11"/>
                <w:szCs w:val="11"/>
                <w:color w:val="auto"/>
              </w:rPr>
              <w:t>​</w:t>
            </w:r>
          </w:p>
        </w:tc>
        <w:tc>
          <w:tcPr>
            <w:tcW w:w="120" w:type="dxa"/>
            <w:vAlign w:val="bottom"/>
            <w:shd w:val="clear" w:color="auto" w:fill="D9DCE1"/>
          </w:tcPr>
          <w:p>
            <w:pPr>
              <w:ind w:lef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9"/>
                <w:szCs w:val="19"/>
                <w:color w:val="auto"/>
              </w:rPr>
            </w:pPr>
          </w:p>
        </w:tc>
        <w:tc>
          <w:tcPr>
            <w:tcW w:w="120" w:type="dxa"/>
            <w:vAlign w:val="bottom"/>
            <w:shd w:val="clear" w:color="auto" w:fill="D9DCE1"/>
          </w:tcPr>
          <w:p>
            <w:pPr>
              <w:jc w:val="right"/>
              <w:ind w:right="23"/>
              <w:spacing w:after="0"/>
              <w:rPr>
                <w:sz w:val="20"/>
                <w:szCs w:val="20"/>
                <w:color w:val="auto"/>
              </w:rPr>
            </w:pPr>
            <w:r>
              <w:rPr>
                <w:rFonts w:ascii="Arial" w:cs="Arial" w:eastAsia="Arial" w:hAnsi="Arial"/>
                <w:sz w:val="11"/>
                <w:szCs w:val="11"/>
                <w:color w:val="auto"/>
              </w:rPr>
              <w:t>​</w:t>
            </w:r>
          </w:p>
        </w:tc>
        <w:tc>
          <w:tcPr>
            <w:tcW w:w="260" w:type="dxa"/>
            <w:vAlign w:val="bottom"/>
            <w:shd w:val="clear" w:color="auto" w:fill="D9DCE1"/>
          </w:tcPr>
          <w:p>
            <w:pPr>
              <w:ind w:left="80"/>
              <w:spacing w:after="0" w:line="223" w:lineRule="exact"/>
              <w:rPr>
                <w:sz w:val="20"/>
                <w:szCs w:val="20"/>
                <w:color w:val="auto"/>
              </w:rPr>
            </w:pPr>
            <w:r>
              <w:rPr>
                <w:rFonts w:ascii="Arial" w:cs="Arial" w:eastAsia="Arial" w:hAnsi="Arial"/>
                <w:sz w:val="22"/>
                <w:szCs w:val="22"/>
                <w:color w:val="auto"/>
                <w:w w:val="72"/>
                <w:vertAlign w:val="subscript"/>
              </w:rPr>
              <w:t>​</w:t>
            </w:r>
            <w:r>
              <w:rPr>
                <w:rFonts w:ascii="MS PGothic" w:cs="MS PGothic" w:eastAsia="MS PGothic" w:hAnsi="MS PGothic"/>
                <w:sz w:val="22"/>
                <w:szCs w:val="22"/>
                <w:color w:val="auto"/>
                <w:w w:val="72"/>
              </w:rPr>
              <w:t>✓</w:t>
            </w:r>
          </w:p>
        </w:tc>
        <w:tc>
          <w:tcPr>
            <w:tcW w:w="140" w:type="dxa"/>
            <w:vAlign w:val="bottom"/>
            <w:tcBorders>
              <w:right w:val="single" w:sz="8" w:color="424E6A"/>
            </w:tcBorders>
            <w:shd w:val="clear" w:color="auto" w:fill="D9DCE1"/>
          </w:tcPr>
          <w:p>
            <w:pPr>
              <w:ind w:lef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Diversity Matrix</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information is provided pursuant to Nasdaq Listing Rule 5605(f) and 5606:</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70"/>
        </w:trPr>
        <w:tc>
          <w:tcPr>
            <w:tcW w:w="2260" w:type="dxa"/>
            <w:vAlign w:val="bottom"/>
            <w:tcBorders>
              <w:top w:val="single" w:sz="8" w:color="auto"/>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3740" w:type="dxa"/>
            <w:vAlign w:val="bottom"/>
            <w:tcBorders>
              <w:top w:val="single" w:sz="8" w:color="auto"/>
              <w:bottom w:val="single" w:sz="8" w:color="auto"/>
            </w:tcBorders>
            <w:gridSpan w:val="7"/>
          </w:tcPr>
          <w:p>
            <w:pPr>
              <w:ind w:left="20"/>
              <w:spacing w:after="0"/>
              <w:rPr>
                <w:sz w:val="20"/>
                <w:szCs w:val="20"/>
                <w:color w:val="auto"/>
              </w:rPr>
            </w:pPr>
            <w:r>
              <w:rPr>
                <w:rFonts w:ascii="Arial" w:cs="Arial" w:eastAsia="Arial" w:hAnsi="Arial"/>
                <w:sz w:val="17"/>
                <w:szCs w:val="17"/>
                <w:b w:val="1"/>
                <w:bCs w:val="1"/>
                <w:color w:val="auto"/>
              </w:rPr>
              <w:t>Board Diversity Matrix (As of March 25, 2024)</w:t>
            </w:r>
          </w:p>
        </w:tc>
        <w:tc>
          <w:tcPr>
            <w:tcW w:w="14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800" w:type="dxa"/>
            <w:vAlign w:val="bottom"/>
            <w:tcBorders>
              <w:top w:val="single" w:sz="8" w:color="auto"/>
              <w:bottom w:val="single" w:sz="8" w:color="auto"/>
              <w:right w:val="single" w:sz="8" w:color="auto"/>
            </w:tcBorders>
          </w:tcPr>
          <w:p>
            <w:pPr>
              <w:spacing w:after="0"/>
              <w:rPr>
                <w:sz w:val="23"/>
                <w:szCs w:val="23"/>
                <w:color w:val="auto"/>
              </w:rPr>
            </w:pPr>
          </w:p>
        </w:tc>
      </w:tr>
      <w:tr>
        <w:trPr>
          <w:trHeight w:val="249"/>
        </w:trPr>
        <w:tc>
          <w:tcPr>
            <w:tcW w:w="2260" w:type="dxa"/>
            <w:vAlign w:val="bottom"/>
            <w:tcBorders>
              <w:left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98"/>
              </w:rPr>
              <w:t>Total Number of Directors</w:t>
            </w:r>
          </w:p>
        </w:tc>
        <w:tc>
          <w:tcPr>
            <w:tcW w:w="1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right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205"/>
        </w:trPr>
        <w:tc>
          <w:tcPr>
            <w:tcW w:w="2260" w:type="dxa"/>
            <w:vAlign w:val="bottom"/>
            <w:tcBorders>
              <w:lef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b w:val="1"/>
                <w:bCs w:val="1"/>
                <w:color w:val="auto"/>
              </w:rPr>
              <w:t>Did Not</w:t>
            </w:r>
          </w:p>
        </w:tc>
      </w:tr>
      <w:tr>
        <w:trPr>
          <w:trHeight w:val="262"/>
        </w:trPr>
        <w:tc>
          <w:tcPr>
            <w:tcW w:w="22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​​Female ​</w:t>
            </w:r>
          </w:p>
        </w:tc>
        <w:tc>
          <w:tcPr>
            <w:tcW w:w="6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​​Male ​</w:t>
            </w:r>
          </w:p>
        </w:tc>
        <w:tc>
          <w:tcPr>
            <w:tcW w:w="11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​Non-Binary ​</w:t>
            </w:r>
          </w:p>
        </w:tc>
        <w:tc>
          <w:tcPr>
            <w:tcW w:w="92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​Disclose</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Part I: Gender Identity</w:t>
            </w:r>
          </w:p>
        </w:tc>
        <w:tc>
          <w:tcPr>
            <w:tcW w:w="14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 ​​</w:t>
            </w: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r>
      <w:tr>
        <w:trPr>
          <w:trHeight w:val="250"/>
        </w:trPr>
        <w:tc>
          <w:tcPr>
            <w:tcW w:w="2260" w:type="dxa"/>
            <w:vAlign w:val="bottom"/>
            <w:tcBorders>
              <w:left w:val="single" w:sz="8" w:color="auto"/>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Directors</w:t>
            </w:r>
          </w:p>
        </w:tc>
        <w:tc>
          <w:tcPr>
            <w:tcW w:w="148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3740" w:type="dxa"/>
            <w:vAlign w:val="bottom"/>
            <w:tcBorders>
              <w:left w:val="single" w:sz="8" w:color="auto"/>
              <w:bottom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Part II: Demographic Background</w:t>
            </w:r>
          </w:p>
        </w:tc>
        <w:tc>
          <w:tcPr>
            <w:tcW w:w="1160" w:type="dxa"/>
            <w:vAlign w:val="bottom"/>
            <w:tcBorders>
              <w:bottom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 ​​</w:t>
            </w: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 ​​</w:t>
            </w:r>
          </w:p>
        </w:tc>
        <w:tc>
          <w:tcPr>
            <w:tcW w:w="3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r>
      <w:tr>
        <w:trPr>
          <w:trHeight w:val="250"/>
        </w:trPr>
        <w:tc>
          <w:tcPr>
            <w:tcW w:w="2260" w:type="dxa"/>
            <w:vAlign w:val="bottom"/>
            <w:tcBorders>
              <w:left w:val="single" w:sz="8" w:color="auto"/>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African American or Black</w:t>
            </w:r>
          </w:p>
        </w:tc>
        <w:tc>
          <w:tcPr>
            <w:tcW w:w="148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3740" w:type="dxa"/>
            <w:vAlign w:val="bottom"/>
            <w:tcBorders>
              <w:left w:val="single" w:sz="8" w:color="auto"/>
              <w:bottom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Alaskan Native or Native American</w:t>
            </w:r>
          </w:p>
        </w:tc>
        <w:tc>
          <w:tcPr>
            <w:tcW w:w="920" w:type="dxa"/>
            <w:vAlign w:val="bottom"/>
            <w:tcBorders>
              <w:bottom w:val="single" w:sz="8" w:color="auto"/>
              <w:right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Asian</w:t>
            </w:r>
          </w:p>
        </w:tc>
        <w:tc>
          <w:tcPr>
            <w:tcW w:w="1480" w:type="dxa"/>
            <w:vAlign w:val="bottom"/>
            <w:tcBorders>
              <w:bottom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Hispanic or Latinx</w:t>
            </w:r>
          </w:p>
        </w:tc>
        <w:tc>
          <w:tcPr>
            <w:tcW w:w="1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3740" w:type="dxa"/>
            <w:vAlign w:val="bottom"/>
            <w:tcBorders>
              <w:left w:val="single" w:sz="8" w:color="auto"/>
              <w:bottom w:val="single" w:sz="8" w:color="auto"/>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Native Hawaiian or Pacific Islander</w:t>
            </w:r>
          </w:p>
        </w:tc>
        <w:tc>
          <w:tcPr>
            <w:tcW w:w="9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White</w:t>
            </w:r>
          </w:p>
        </w:tc>
        <w:tc>
          <w:tcPr>
            <w:tcW w:w="1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3740" w:type="dxa"/>
            <w:vAlign w:val="bottom"/>
            <w:tcBorders>
              <w:left w:val="single" w:sz="8" w:color="auto"/>
              <w:bottom w:val="single" w:sz="8" w:color="auto"/>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Two or More Races or Ethnicities</w:t>
            </w:r>
          </w:p>
        </w:tc>
        <w:tc>
          <w:tcPr>
            <w:tcW w:w="9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250"/>
        </w:trPr>
        <w:tc>
          <w:tcPr>
            <w:tcW w:w="2260" w:type="dxa"/>
            <w:vAlign w:val="bottom"/>
            <w:tcBorders>
              <w:left w:val="single" w:sz="8" w:color="auto"/>
              <w:bottom w:val="single" w:sz="8" w:color="auto"/>
            </w:tcBorders>
            <w:shd w:val="clear" w:color="auto" w:fill="CCEEFF"/>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LGBTQ+</w:t>
            </w:r>
          </w:p>
        </w:tc>
        <w:tc>
          <w:tcPr>
            <w:tcW w:w="1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auto"/>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04"/>
        </w:trPr>
        <w:tc>
          <w:tcPr>
            <w:tcW w:w="3740" w:type="dxa"/>
            <w:vAlign w:val="bottom"/>
            <w:tcBorders>
              <w:left w:val="single" w:sz="8" w:color="auto"/>
            </w:tcBorders>
            <w:gridSpan w:val="2"/>
          </w:tcPr>
          <w:p>
            <w:pPr>
              <w:ind w:left="60"/>
              <w:spacing w:after="0" w:line="204" w:lineRule="exact"/>
              <w:rPr>
                <w:sz w:val="20"/>
                <w:szCs w:val="20"/>
                <w:color w:val="auto"/>
              </w:rPr>
            </w:pPr>
            <w:r>
              <w:rPr>
                <w:rFonts w:ascii="Arial" w:cs="Arial" w:eastAsia="Arial" w:hAnsi="Arial"/>
                <w:sz w:val="18"/>
                <w:szCs w:val="18"/>
                <w:color w:val="auto"/>
              </w:rPr>
              <w:t>Did Not Disclose Demographic</w:t>
            </w:r>
          </w:p>
        </w:tc>
        <w:tc>
          <w:tcPr>
            <w:tcW w:w="9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5"/>
        </w:trPr>
        <w:tc>
          <w:tcPr>
            <w:tcW w:w="2260" w:type="dxa"/>
            <w:vAlign w:val="bottom"/>
            <w:tcBorders>
              <w:left w:val="single" w:sz="8" w:color="auto"/>
              <w:bottom w:val="single" w:sz="8" w:color="auto"/>
            </w:tcBorders>
          </w:tcPr>
          <w:p>
            <w:pPr>
              <w:ind w:left="40"/>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Background</w:t>
            </w:r>
          </w:p>
        </w:tc>
        <w:tc>
          <w:tcPr>
            <w:tcW w:w="1480" w:type="dxa"/>
            <w:vAlign w:val="bottom"/>
            <w:tcBorders>
              <w:bottom w:val="single" w:sz="8" w:color="auto"/>
            </w:tcBorders>
          </w:tcPr>
          <w:p>
            <w:pPr>
              <w:spacing w:after="0"/>
              <w:rPr>
                <w:sz w:val="23"/>
                <w:szCs w:val="23"/>
                <w:color w:val="auto"/>
              </w:rPr>
            </w:pPr>
          </w:p>
        </w:tc>
        <w:tc>
          <w:tcPr>
            <w:tcW w:w="92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 ​​</w:t>
            </w:r>
          </w:p>
        </w:tc>
        <w:tc>
          <w:tcPr>
            <w:tcW w:w="3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Class III Directors Standing for Election at the 2024 PAA and PAGP Annual Meetings</w:t>
      </w:r>
    </w:p>
    <w:p>
      <w:pPr>
        <w:spacing w:after="0" w:line="15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Board has nominated Messrs. Armstrong, Raymond and Shackouls, current Class III directors, for election at the 2024 PAA and PAGP Annual Meetings. Mr. Temple, a current Class III director, is not standing for re-election at the 2024 PAA and PAGP Annual Meetings. Each nominee has consented to serve if elected and, if elected, will serve until the 2027 annual meeting, subject to their earlier resignation, death or removal. If any of the nominees becomes unavailable to serve as a director prior to the 2024 PAA and PAGP Annual Meetings, the Board may designate a substitute nominee, or the Board may decide to reduce the size of the Board. In the case of a substitute nominee, the persons named as proxies will vote for the substitute nominee designated by the Board.</w:t>
      </w:r>
    </w:p>
    <w:p>
      <w:pPr>
        <w:spacing w:after="0" w:line="143" w:lineRule="exact"/>
        <w:rPr>
          <w:sz w:val="20"/>
          <w:szCs w:val="20"/>
          <w:color w:val="auto"/>
        </w:rPr>
      </w:pPr>
    </w:p>
    <w:tbl>
      <w:tblPr>
        <w:tblLayout w:type="fixed"/>
        <w:tblInd w:w="1270" w:type="dxa"/>
        <w:tblCellMar>
          <w:top w:w="0" w:type="dxa"/>
          <w:left w:w="0" w:type="dxa"/>
          <w:bottom w:w="0" w:type="dxa"/>
          <w:right w:w="0" w:type="dxa"/>
        </w:tblCellMar>
      </w:tblPr>
      <w:tr>
        <w:trPr>
          <w:trHeight w:val="283"/>
        </w:trPr>
        <w:tc>
          <w:tcPr>
            <w:tcW w:w="2040" w:type="dxa"/>
            <w:vAlign w:val="bottom"/>
            <w:tcBorders>
              <w:top w:val="single" w:sz="8" w:color="auto"/>
              <w:left w:val="single" w:sz="8" w:color="auto"/>
              <w:right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GREG L. ARMSTRONG</w:t>
            </w: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Greg L. Armstrong, age 65</w:t>
            </w:r>
            <w:r>
              <w:rPr>
                <w:rFonts w:ascii="Arial" w:cs="Arial" w:eastAsia="Arial" w:hAnsi="Arial"/>
                <w:sz w:val="16"/>
                <w:szCs w:val="16"/>
                <w:color w:val="auto"/>
              </w:rPr>
              <w:t>, has served as a director</w:t>
            </w:r>
          </w:p>
        </w:tc>
        <w:tc>
          <w:tcPr>
            <w:tcW w:w="10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of PAGP GP since 2013. He has also served as</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4"/>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Senior Advisor to the CEO since January 1, 2020.</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4"/>
            <w:vMerge w:val="restart"/>
          </w:tcPr>
          <w:p>
            <w:pPr>
              <w:jc w:val="center"/>
              <w:ind w:right="40"/>
              <w:spacing w:after="0"/>
              <w:rPr>
                <w:sz w:val="20"/>
                <w:szCs w:val="20"/>
                <w:color w:val="auto"/>
              </w:rPr>
            </w:pPr>
            <w:r>
              <w:rPr>
                <w:rFonts w:ascii="Arial" w:cs="Arial" w:eastAsia="Arial" w:hAnsi="Arial"/>
                <w:sz w:val="16"/>
                <w:szCs w:val="16"/>
                <w:b w:val="1"/>
                <w:bCs w:val="1"/>
                <w:i w:val="1"/>
                <w:iCs w:val="1"/>
                <w:color w:val="auto"/>
                <w:w w:val="99"/>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Armstrong served as Chairman of the Board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4"/>
            <w:vMerge w:val="continue"/>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rPr>
              <w:t>since 1998</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PAGP GP from July 2013 through December 31,</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i w:val="1"/>
                <w:iCs w:val="1"/>
                <w:color w:val="auto"/>
              </w:rPr>
              <w:t>Former Chairman and</w:t>
            </w: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2019 and as Chief Executive Officer of PAGP GP</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2040" w:type="dxa"/>
            <w:vAlign w:val="bottom"/>
            <w:tcBorders>
              <w:left w:val="single" w:sz="8" w:color="auto"/>
              <w:right w:val="single" w:sz="8" w:color="auto"/>
            </w:tcBorders>
            <w:gridSpan w:val="4"/>
            <w:vMerge w:val="continue"/>
          </w:tcPr>
          <w:p>
            <w:pPr>
              <w:spacing w:after="0"/>
              <w:rPr>
                <w:sz w:val="14"/>
                <w:szCs w:val="14"/>
                <w:color w:val="auto"/>
              </w:rPr>
            </w:pPr>
          </w:p>
        </w:tc>
        <w:tc>
          <w:tcPr>
            <w:tcW w:w="402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from July 2013 until his retirement from such position</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9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97"/>
              </w:rPr>
              <w:t>CEO</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 October 2018. He also served as Chief Executive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8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Officer of GP LLC from PAA’s formation in 1998 until</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580" w:type="dxa"/>
            <w:vAlign w:val="bottom"/>
            <w:tcBorders>
              <w:right w:val="single" w:sz="8" w:color="auto"/>
            </w:tcBorders>
            <w:gridSpan w:val="2"/>
            <w:vMerge w:val="continue"/>
          </w:tcPr>
          <w:p>
            <w:pPr>
              <w:spacing w:after="0"/>
              <w:rPr>
                <w:sz w:val="7"/>
                <w:szCs w:val="7"/>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his retirement from that position in October 2018. He</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1500" w:type="dxa"/>
            <w:vAlign w:val="bottom"/>
            <w:tcBorders>
              <w:right w:val="single" w:sz="8" w:color="auto"/>
            </w:tcBorders>
            <w:gridSpan w:val="3"/>
            <w:vMerge w:val="restart"/>
          </w:tcPr>
          <w:p>
            <w:pPr>
              <w:jc w:val="center"/>
              <w:ind w:right="520"/>
              <w:spacing w:after="0"/>
              <w:rPr>
                <w:sz w:val="20"/>
                <w:szCs w:val="20"/>
                <w:color w:val="auto"/>
              </w:rPr>
            </w:pPr>
            <w:r>
              <w:rPr>
                <w:rFonts w:ascii="Arial" w:cs="Arial" w:eastAsia="Arial" w:hAnsi="Arial"/>
                <w:sz w:val="16"/>
                <w:szCs w:val="16"/>
                <w:color w:val="auto"/>
                <w:w w:val="99"/>
              </w:rPr>
              <w:t>None</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a director of PAA’s general partner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1500" w:type="dxa"/>
            <w:vAlign w:val="bottom"/>
            <w:tcBorders>
              <w:right w:val="single" w:sz="8" w:color="auto"/>
            </w:tcBorders>
            <w:gridSpan w:val="3"/>
            <w:vMerge w:val="continue"/>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former general partner from PAA’s formation until</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November 2016 when the Board of PAGP GP</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assumed responsibility for PAA in addition to PAGP</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Plains AAP. In addition, he was President, Chief</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Executive Officer and director of Plains Resources</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 from 1992 to May 2001 and served in various</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roles of increasing responsibility from 1981 to 1992.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Armstrong served as a director of the Federal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Reserve Bank of Dallas from 2015 to 2021, retiring 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Chair at the end of 2021. Mr. Armstrong also serves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 a director of the Memorial Hermann Health</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System and NOV, Inc. Mr. Armstrong is also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the advisory board of the Maguire Energy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Institute at the Cox School of Business at Southern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Methodist University, the Baker Institute and Veriten,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is a past Chairman of the National Petroleum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Council. Mr. Armstrong’s experience with PAA since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its formation, including as former Chairman and CEO,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his long-time involvement in the energy industry,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provide the Board with invaluable insight and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perspective.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gridSpan w:val="4"/>
          </w:tcPr>
          <w:p>
            <w:pPr>
              <w:jc w:val="center"/>
              <w:spacing w:after="0" w:line="169" w:lineRule="exact"/>
              <w:rPr>
                <w:sz w:val="20"/>
                <w:szCs w:val="20"/>
                <w:color w:val="auto"/>
              </w:rPr>
            </w:pPr>
            <w:r>
              <w:rPr>
                <w:rFonts w:ascii="Arial" w:cs="Arial" w:eastAsia="Arial" w:hAnsi="Arial"/>
                <w:sz w:val="16"/>
                <w:szCs w:val="16"/>
                <w:b w:val="1"/>
                <w:bCs w:val="1"/>
                <w:color w:val="auto"/>
                <w:w w:val="97"/>
              </w:rPr>
              <w:t>JOHN T. RAYMOND</w:t>
            </w:r>
          </w:p>
        </w:tc>
        <w:tc>
          <w:tcPr>
            <w:tcW w:w="40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John T. Raymond, age 53</w:t>
            </w:r>
            <w:r>
              <w:rPr>
                <w:rFonts w:ascii="Arial" w:cs="Arial" w:eastAsia="Arial" w:hAnsi="Arial"/>
                <w:sz w:val="16"/>
                <w:szCs w:val="16"/>
                <w:color w:val="auto"/>
              </w:rPr>
              <w:t>, has served as a director</w:t>
            </w:r>
          </w:p>
        </w:tc>
        <w:tc>
          <w:tcPr>
            <w:tcW w:w="100" w:type="dxa"/>
            <w:vAlign w:val="bottom"/>
          </w:tcPr>
          <w:p>
            <w:pPr>
              <w:spacing w:after="0"/>
              <w:rPr>
                <w:sz w:val="14"/>
                <w:szCs w:val="14"/>
                <w:color w:val="auto"/>
              </w:rPr>
            </w:pPr>
          </w:p>
        </w:tc>
        <w:tc>
          <w:tcPr>
            <w:tcW w:w="20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40" w:type="dxa"/>
            <w:vAlign w:val="bottom"/>
            <w:tcBorders>
              <w:left w:val="single" w:sz="8" w:color="auto"/>
            </w:tcBorders>
          </w:tcPr>
          <w:p>
            <w:pPr>
              <w:spacing w:after="0"/>
              <w:rPr>
                <w:sz w:val="14"/>
                <w:szCs w:val="14"/>
                <w:color w:val="auto"/>
              </w:rPr>
            </w:pPr>
          </w:p>
        </w:tc>
        <w:tc>
          <w:tcPr>
            <w:tcW w:w="1500" w:type="dxa"/>
            <w:vAlign w:val="bottom"/>
            <w:tcBorders>
              <w:right w:val="single" w:sz="8" w:color="auto"/>
            </w:tcBorders>
            <w:gridSpan w:val="3"/>
            <w:vMerge w:val="restart"/>
          </w:tcPr>
          <w:p>
            <w:pPr>
              <w:jc w:val="center"/>
              <w:ind w:right="540"/>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of PAGP GP since October 2013. He served as a</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3"/>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director of PAA’s general partner from</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December 2010 until November 2016. Mr. Raymond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4"/>
            <w:vMerge w:val="continue"/>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rPr>
              <w:t>since 2010</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 the founder and majority owner of EMG, which is</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540" w:type="dxa"/>
            <w:vAlign w:val="bottom"/>
            <w:tcBorders>
              <w:left w:val="single" w:sz="8" w:color="auto"/>
            </w:tcBorders>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20" w:type="dxa"/>
            <w:vAlign w:val="bottom"/>
            <w:tcBorders>
              <w:right w:val="single" w:sz="8" w:color="auto"/>
            </w:tcBorders>
          </w:tcPr>
          <w:p>
            <w:pPr>
              <w:spacing w:after="0"/>
              <w:rPr>
                <w:sz w:val="11"/>
                <w:szCs w:val="11"/>
                <w:color w:val="auto"/>
              </w:rPr>
            </w:pP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the management company for a series of specialized</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6"/>
                <w:szCs w:val="16"/>
                <w:color w:val="auto"/>
              </w:rPr>
              <w:t>private equity funds. EMG was founded in 2006 and</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6"/>
                <w:szCs w:val="16"/>
                <w:color w:val="auto"/>
              </w:rPr>
              <w:t>Compensation (chair)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focuses on investing across various facets of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2040" w:type="dxa"/>
            <w:vAlign w:val="bottom"/>
            <w:tcBorders>
              <w:left w:val="single" w:sz="8" w:color="auto"/>
              <w:right w:val="single" w:sz="8" w:color="auto"/>
            </w:tcBorders>
            <w:gridSpan w:val="4"/>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global natural resource industry including the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line="177" w:lineRule="exact"/>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line="177" w:lineRule="exact"/>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upstream and midstream segments of the energy</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complex. As of September 30, 2023, EMG had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Borders>
              <w:right w:val="single" w:sz="8" w:color="auto"/>
            </w:tcBorders>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approximately $14 billion of assets under</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management and approximately $12 billion in</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commitments have been allocated across the energy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sector since inception. From 1998 until founding</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EMG, Mr. Raymond held various executive</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leadership positions with several energy companies,</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 Plains Resources Inc. (the publicly traded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predecessor company to Vulcan Energy), Plains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Exploration and Production Company, Kinder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Morgan,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310"/>
        </w:trPr>
        <w:tc>
          <w:tcPr>
            <w:tcW w:w="500" w:type="dxa"/>
            <w:vAlign w:val="bottom"/>
            <w:tcBorders>
              <w:top w:val="single" w:sz="8" w:color="auto"/>
              <w:left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tcPr>
          <w:p>
            <w:pPr>
              <w:spacing w:after="0"/>
              <w:rPr>
                <w:sz w:val="24"/>
                <w:szCs w:val="24"/>
                <w:color w:val="auto"/>
              </w:rPr>
            </w:pP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Inc. and Ocean Energy, Inc. From 1992 to 1998, he</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was a Vice President with Howard Weil Labouisse</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Friedrichs, Inc. Mr. Raymond has been a direct or</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indirect owner of PAA’s general partner since 2001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and served on the board of PAA’s general partner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from 2001 to 2005. He serves on numerous 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private company boards and currently serves on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NGL Energy Holdings LLC, the general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partner of NGL Energy Partners, L.P., and ESM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Acquisition Corp. Mr. Raymond is also co-founder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portfolio manager of EMG Advisors.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 received a BSM degree from the A.B.</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Freeman School of Business at Tulane University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dual concentrations in finance and accounting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currently sits on the board of the Business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School Council. He also serves as a director on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board of the American Heart Association, as 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member of the MD Anderson Cancer Center Board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Visitors and is a member of YPO. The Board has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determined that Mr. Raymond is “independent” under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applicable Nasdaq and SEC rules. We believe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Raymond’s experience with investment in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management of a variety of upstream and midstream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assets and operations provides a valuable resource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to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50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500" w:type="dxa"/>
            <w:vAlign w:val="bottom"/>
            <w:tcBorders>
              <w:lef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tcBorders>
              <w:right w:val="single" w:sz="8" w:color="auto"/>
            </w:tcBorders>
            <w:gridSpan w:val="3"/>
          </w:tcPr>
          <w:p>
            <w:pPr>
              <w:jc w:val="center"/>
              <w:ind w:right="520"/>
              <w:spacing w:after="0" w:line="169" w:lineRule="exact"/>
              <w:rPr>
                <w:sz w:val="20"/>
                <w:szCs w:val="20"/>
                <w:color w:val="auto"/>
              </w:rPr>
            </w:pPr>
            <w:r>
              <w:rPr>
                <w:rFonts w:ascii="Arial" w:cs="Arial" w:eastAsia="Arial" w:hAnsi="Arial"/>
                <w:sz w:val="16"/>
                <w:szCs w:val="16"/>
                <w:b w:val="1"/>
                <w:bCs w:val="1"/>
                <w:color w:val="auto"/>
              </w:rPr>
              <w:t>BOBBY S.</w:t>
            </w:r>
          </w:p>
        </w:tc>
        <w:tc>
          <w:tcPr>
            <w:tcW w:w="40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Bobby S. Shackouls, age 73</w:t>
            </w:r>
            <w:r>
              <w:rPr>
                <w:rFonts w:ascii="Arial" w:cs="Arial" w:eastAsia="Arial" w:hAnsi="Arial"/>
                <w:sz w:val="16"/>
                <w:szCs w:val="16"/>
                <w:color w:val="auto"/>
              </w:rPr>
              <w:t>, has served as a</w:t>
            </w:r>
          </w:p>
        </w:tc>
        <w:tc>
          <w:tcPr>
            <w:tcW w:w="100" w:type="dxa"/>
            <w:vAlign w:val="bottom"/>
          </w:tcPr>
          <w:p>
            <w:pPr>
              <w:spacing w:after="0"/>
              <w:rPr>
                <w:sz w:val="14"/>
                <w:szCs w:val="14"/>
                <w:color w:val="auto"/>
              </w:rPr>
            </w:pPr>
          </w:p>
        </w:tc>
        <w:tc>
          <w:tcPr>
            <w:tcW w:w="20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00" w:type="dxa"/>
            <w:vAlign w:val="bottom"/>
            <w:tcBorders>
              <w:left w:val="single" w:sz="8" w:color="auto"/>
            </w:tcBorders>
          </w:tcPr>
          <w:p>
            <w:pPr>
              <w:spacing w:after="0"/>
              <w:rPr>
                <w:sz w:val="14"/>
                <w:szCs w:val="14"/>
                <w:color w:val="auto"/>
              </w:rPr>
            </w:pPr>
          </w:p>
        </w:tc>
        <w:tc>
          <w:tcPr>
            <w:tcW w:w="1540" w:type="dxa"/>
            <w:vAlign w:val="bottom"/>
            <w:tcBorders>
              <w:right w:val="single" w:sz="8" w:color="auto"/>
            </w:tcBorders>
            <w:gridSpan w:val="4"/>
          </w:tcPr>
          <w:p>
            <w:pPr>
              <w:jc w:val="center"/>
              <w:ind w:right="480"/>
              <w:spacing w:after="0" w:line="168" w:lineRule="exact"/>
              <w:rPr>
                <w:sz w:val="20"/>
                <w:szCs w:val="20"/>
                <w:color w:val="auto"/>
              </w:rPr>
            </w:pPr>
            <w:r>
              <w:rPr>
                <w:rFonts w:ascii="Arial" w:cs="Arial" w:eastAsia="Arial" w:hAnsi="Arial"/>
                <w:sz w:val="16"/>
                <w:szCs w:val="16"/>
                <w:b w:val="1"/>
                <w:bCs w:val="1"/>
                <w:color w:val="auto"/>
              </w:rPr>
              <w:t>SHACKOULS</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director of PAGP GP since January 2014 and as</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Lead Director since January 2020. Mr. Shackouls</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1040" w:type="dxa"/>
            <w:vAlign w:val="bottom"/>
            <w:gridSpan w:val="3"/>
            <w:vMerge w:val="restart"/>
          </w:tcPr>
          <w:p>
            <w:pPr>
              <w:jc w:val="center"/>
              <w:spacing w:after="0" w:line="156" w:lineRule="exact"/>
              <w:rPr>
                <w:sz w:val="20"/>
                <w:szCs w:val="20"/>
                <w:color w:val="auto"/>
              </w:rPr>
            </w:pPr>
            <w:r>
              <w:rPr>
                <w:rFonts w:ascii="Arial" w:cs="Arial" w:eastAsia="Arial" w:hAnsi="Arial"/>
                <w:sz w:val="16"/>
                <w:szCs w:val="16"/>
                <w:b w:val="1"/>
                <w:bCs w:val="1"/>
                <w:i w:val="1"/>
                <w:iCs w:val="1"/>
                <w:color w:val="auto"/>
              </w:rPr>
              <w:t>Lead Director</w:t>
            </w:r>
          </w:p>
        </w:tc>
        <w:tc>
          <w:tcPr>
            <w:tcW w:w="50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14"/>
        </w:trPr>
        <w:tc>
          <w:tcPr>
            <w:tcW w:w="500" w:type="dxa"/>
            <w:vAlign w:val="bottom"/>
            <w:tcBorders>
              <w:left w:val="single" w:sz="8" w:color="auto"/>
            </w:tcBorders>
          </w:tcPr>
          <w:p>
            <w:pPr>
              <w:spacing w:after="0"/>
              <w:rPr>
                <w:sz w:val="9"/>
                <w:szCs w:val="9"/>
                <w:color w:val="auto"/>
              </w:rPr>
            </w:pPr>
          </w:p>
        </w:tc>
        <w:tc>
          <w:tcPr>
            <w:tcW w:w="1040" w:type="dxa"/>
            <w:vAlign w:val="bottom"/>
            <w:tcBorders>
              <w:bottom w:val="single" w:sz="8" w:color="auto"/>
            </w:tcBorders>
            <w:gridSpan w:val="3"/>
            <w:vMerge w:val="continue"/>
          </w:tcPr>
          <w:p>
            <w:pPr>
              <w:spacing w:after="0"/>
              <w:rPr>
                <w:sz w:val="9"/>
                <w:szCs w:val="9"/>
                <w:color w:val="auto"/>
              </w:rPr>
            </w:pPr>
          </w:p>
        </w:tc>
        <w:tc>
          <w:tcPr>
            <w:tcW w:w="500" w:type="dxa"/>
            <w:vAlign w:val="bottom"/>
            <w:tcBorders>
              <w:right w:val="single" w:sz="8" w:color="auto"/>
            </w:tcBorders>
            <w:vMerge w:val="restart"/>
          </w:tcPr>
          <w:p>
            <w:pPr>
              <w:spacing w:after="0"/>
              <w:rPr>
                <w:sz w:val="9"/>
                <w:szCs w:val="9"/>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Chairman of Burlington Resources Inc.</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Borders>
              <w:right w:val="single" w:sz="8" w:color="auto"/>
            </w:tcBorders>
            <w:gridSpan w:val="3"/>
          </w:tcPr>
          <w:p>
            <w:pPr>
              <w:jc w:val="center"/>
              <w:ind w:right="540"/>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1997 until its acquisition by ConocoPhillips in</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2006, and continued to serve on the ConocoPhillips</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2040" w:type="dxa"/>
            <w:vAlign w:val="bottom"/>
            <w:tcBorders>
              <w:left w:val="single" w:sz="8" w:color="auto"/>
              <w:right w:val="single" w:sz="8" w:color="auto"/>
            </w:tcBorders>
            <w:gridSpan w:val="5"/>
            <w:vMerge w:val="continue"/>
          </w:tcPr>
          <w:p>
            <w:pPr>
              <w:spacing w:after="0"/>
              <w:rPr>
                <w:sz w:val="14"/>
                <w:szCs w:val="14"/>
                <w:color w:val="auto"/>
              </w:rPr>
            </w:pPr>
          </w:p>
        </w:tc>
        <w:tc>
          <w:tcPr>
            <w:tcW w:w="402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Board of Directors until his retirement in May 2011.</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9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0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6"/>
                <w:szCs w:val="16"/>
                <w:b w:val="1"/>
                <w:bCs w:val="1"/>
                <w:i w:val="1"/>
                <w:iCs w:val="1"/>
                <w:color w:val="auto"/>
              </w:rPr>
              <w:t>since 2010</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Prior thereto, Mr. Shackouls served as President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Chief Executive Officer of Meridian Oil, Inc., a wholly</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93"/>
        </w:trPr>
        <w:tc>
          <w:tcPr>
            <w:tcW w:w="5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520" w:type="dxa"/>
            <w:vAlign w:val="bottom"/>
            <w:tcBorders>
              <w:right w:val="single" w:sz="8" w:color="auto"/>
            </w:tcBorders>
            <w:gridSpan w:val="2"/>
          </w:tcPr>
          <w:p>
            <w:pPr>
              <w:spacing w:after="0"/>
              <w:rPr>
                <w:sz w:val="7"/>
                <w:szCs w:val="7"/>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owned subsidiary of Burlington Resources, from 1994</w:t>
            </w: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0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5"/>
            <w:vMerge w:val="restart"/>
          </w:tcPr>
          <w:p>
            <w:pPr>
              <w:jc w:val="center"/>
              <w:spacing w:after="0"/>
              <w:rPr>
                <w:sz w:val="20"/>
                <w:szCs w:val="20"/>
                <w:color w:val="auto"/>
              </w:rPr>
            </w:pPr>
            <w:r>
              <w:rPr>
                <w:rFonts w:ascii="Arial" w:cs="Arial" w:eastAsia="Arial" w:hAnsi="Arial"/>
                <w:sz w:val="16"/>
                <w:szCs w:val="16"/>
                <w:color w:val="auto"/>
              </w:rPr>
              <w:t>Governance (chair)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to 1995, and as President and Chief Executive Officer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40" w:type="dxa"/>
            <w:vAlign w:val="bottom"/>
            <w:tcBorders>
              <w:left w:val="single" w:sz="8" w:color="auto"/>
              <w:right w:val="single" w:sz="8" w:color="auto"/>
            </w:tcBorders>
            <w:gridSpan w:val="5"/>
            <w:vMerge w:val="continue"/>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4"/>
            <w:vMerge w:val="restart"/>
          </w:tcPr>
          <w:p>
            <w:pPr>
              <w:jc w:val="center"/>
              <w:ind w:right="500"/>
              <w:spacing w:after="0"/>
              <w:rPr>
                <w:sz w:val="20"/>
                <w:szCs w:val="20"/>
                <w:color w:val="auto"/>
              </w:rPr>
            </w:pPr>
            <w:r>
              <w:rPr>
                <w:rFonts w:ascii="Arial" w:cs="Arial" w:eastAsia="Arial" w:hAnsi="Arial"/>
                <w:sz w:val="16"/>
                <w:szCs w:val="16"/>
                <w:color w:val="auto"/>
              </w:rPr>
              <w:t>Compensation</w:t>
            </w: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Burlington Resources from 1995 until 2006.</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tcBorders>
          </w:tcPr>
          <w:p>
            <w:pPr>
              <w:spacing w:after="0"/>
              <w:rPr>
                <w:sz w:val="4"/>
                <w:szCs w:val="4"/>
                <w:color w:val="auto"/>
              </w:rPr>
            </w:pPr>
          </w:p>
        </w:tc>
        <w:tc>
          <w:tcPr>
            <w:tcW w:w="1540" w:type="dxa"/>
            <w:vAlign w:val="bottom"/>
            <w:tcBorders>
              <w:right w:val="single" w:sz="8" w:color="auto"/>
            </w:tcBorders>
            <w:gridSpan w:val="4"/>
            <w:vMerge w:val="continue"/>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Mr. Shackouls served as a director of The Kroger Co.</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500" w:type="dxa"/>
            <w:vAlign w:val="bottom"/>
            <w:tcBorders>
              <w:left w:val="single" w:sz="8" w:color="auto"/>
            </w:tcBorders>
          </w:tcPr>
          <w:p>
            <w:pPr>
              <w:spacing w:after="0"/>
              <w:rPr>
                <w:sz w:val="8"/>
                <w:szCs w:val="8"/>
                <w:color w:val="auto"/>
              </w:rPr>
            </w:pPr>
          </w:p>
        </w:tc>
        <w:tc>
          <w:tcPr>
            <w:tcW w:w="1540" w:type="dxa"/>
            <w:vAlign w:val="bottom"/>
            <w:tcBorders>
              <w:right w:val="single" w:sz="8" w:color="auto"/>
            </w:tcBorders>
            <w:gridSpan w:val="4"/>
            <w:vMerge w:val="continue"/>
          </w:tcPr>
          <w:p>
            <w:pPr>
              <w:spacing w:after="0"/>
              <w:rPr>
                <w:sz w:val="8"/>
                <w:szCs w:val="8"/>
                <w:color w:val="auto"/>
              </w:rPr>
            </w:pPr>
          </w:p>
        </w:tc>
        <w:tc>
          <w:tcPr>
            <w:tcW w:w="402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28"/>
        </w:trPr>
        <w:tc>
          <w:tcPr>
            <w:tcW w:w="50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4020" w:type="dxa"/>
            <w:vAlign w:val="bottom"/>
            <w:tcBorders>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500" w:type="dxa"/>
            <w:vAlign w:val="bottom"/>
            <w:tcBorders>
              <w:lef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1999 until January 2021, as a director of Oasis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0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Petroleum from 2012 until November 2020, and as a</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director of Quintana Energy Services from</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January 2019 until July 2020. He served as a director</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member of the audit committee of PNGS GP</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LLC, the general partner of PAA Natural Gas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Storage, L.P., from April 2010 through</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December 2013. The Board has determined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Shackouls is “independent” under applicable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Nasdaq and SEC rules. We believe that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Mr. Shackouls’ extensive experience within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industry offers valuable perspective and, 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tandem with his long history of leadership as the CEO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of a public company, make him highly qualified to</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00" w:type="dxa"/>
            <w:vAlign w:val="bottom"/>
            <w:tcBorders>
              <w:lef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 as a member of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500" w:type="dxa"/>
            <w:vAlign w:val="bottom"/>
            <w:tcBorders>
              <w:left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Directors (Directors with terms expiring after the 2024 PAA and PAGP Annual Meetings)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 Directors (terms expire in 2026):</w:t>
      </w:r>
    </w:p>
    <w:p>
      <w:pPr>
        <w:spacing w:after="0" w:line="183"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20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WILLIE CHIANG</w:t>
            </w: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Willie Chiang, age 63</w:t>
            </w:r>
            <w:r>
              <w:rPr>
                <w:rFonts w:ascii="Arial" w:cs="Arial" w:eastAsia="Arial" w:hAnsi="Arial"/>
                <w:sz w:val="16"/>
                <w:szCs w:val="16"/>
                <w:color w:val="auto"/>
              </w:rPr>
              <w:t>, has served as a director of</w:t>
            </w:r>
          </w:p>
        </w:tc>
        <w:tc>
          <w:tcPr>
            <w:tcW w:w="10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PAGP GP since February 2017, as Chief Executive</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Officer of PAGP GP and GP LLC since October 2018</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as Chairman of the Board since January 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2017</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 served as Executive Vice President and Chief</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Chairman and CEO</w:t>
            </w: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Operating Officer of PAGP GP and GP LLC from</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3"/>
        </w:trPr>
        <w:tc>
          <w:tcPr>
            <w:tcW w:w="2040" w:type="dxa"/>
            <w:vAlign w:val="bottom"/>
            <w:tcBorders>
              <w:left w:val="single" w:sz="8" w:color="auto"/>
              <w:right w:val="single" w:sz="8" w:color="auto"/>
            </w:tcBorders>
            <w:gridSpan w:val="3"/>
            <w:vMerge w:val="continue"/>
          </w:tcPr>
          <w:p>
            <w:pPr>
              <w:spacing w:after="0"/>
              <w:rPr>
                <w:sz w:val="14"/>
                <w:szCs w:val="14"/>
                <w:color w:val="auto"/>
              </w:rPr>
            </w:pPr>
          </w:p>
        </w:tc>
        <w:tc>
          <w:tcPr>
            <w:tcW w:w="402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6"/>
                <w:szCs w:val="16"/>
                <w:color w:val="auto"/>
              </w:rPr>
              <w:t>January 2018 until October 2018. He also served as</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96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b w:val="1"/>
                <w:bCs w:val="1"/>
                <w:color w:val="auto"/>
              </w:rPr>
              <w:t>Committees:</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Executive Vice President and Chief Operating Officer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(U.S.) of PAGP GP and GP LLC from August 2015</w:t>
            </w:r>
          </w:p>
        </w:tc>
        <w:tc>
          <w:tcPr>
            <w:tcW w:w="100" w:type="dxa"/>
            <w:vAlign w:val="bottom"/>
          </w:tcPr>
          <w:p>
            <w:pPr>
              <w:spacing w:after="0"/>
              <w:rPr>
                <w:sz w:val="5"/>
                <w:szCs w:val="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87"/>
        </w:trPr>
        <w:tc>
          <w:tcPr>
            <w:tcW w:w="540" w:type="dxa"/>
            <w:vAlign w:val="bottom"/>
            <w:tcBorders>
              <w:left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96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ind w:right="439"/>
              <w:spacing w:after="0" w:line="175" w:lineRule="exact"/>
              <w:rPr>
                <w:sz w:val="20"/>
                <w:szCs w:val="20"/>
                <w:color w:val="auto"/>
              </w:rPr>
            </w:pPr>
            <w:r>
              <w:rPr>
                <w:rFonts w:ascii="Arial" w:cs="Arial" w:eastAsia="Arial" w:hAnsi="Arial"/>
                <w:sz w:val="16"/>
                <w:szCs w:val="16"/>
                <w:color w:val="auto"/>
                <w:w w:val="99"/>
              </w:rPr>
              <w:t>None</w:t>
            </w: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through December 2017. Prior to joining Plains,</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Mr. Chiang served as Executive Vice President —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Operations for Occidental Petroleum Corporation</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from 2012 until 2015. From 1996 until 2012, he</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in various positions at ConocoPhillips,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including most recently as Senior Vice President — </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Refining, Marketing, Transportation and Commercial.</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He previously served on the boards of DCP</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Midstream and Chevron Phillips Chemical. He serves</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1"/>
        </w:trPr>
        <w:tc>
          <w:tcPr>
            <w:tcW w:w="54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2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as chair of the United Way of Greater Houston and is</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on the board of Performing Arts Houston. Mr. Chiang</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is a member of the Energy Advisory Council of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Federal Reserve Bank of Dallas and is also involved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a number of industry organizations including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American Petroleum Institute (API), American Fuel &amp;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Petrochemical Manufacturers (AFPM) and National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Petroleum Council. He received a BS in Mechanical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Engineering from South Dakota School of Mines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Technology and completed the Advanced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Management Program at the University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Pennsylvania. Mr. Chiang’s role as CEO and his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broad experience in the energy industry, together with</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his leadership capabilities and strategic focus, make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him highly qualified to serve on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8"/>
              </w:rPr>
              <w:t>ELLEN R. DESANCTIS</w:t>
            </w:r>
          </w:p>
        </w:tc>
        <w:tc>
          <w:tcPr>
            <w:tcW w:w="40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Ellen R. DeSanctis, age 67</w:t>
            </w:r>
            <w:r>
              <w:rPr>
                <w:rFonts w:ascii="Arial" w:cs="Arial" w:eastAsia="Arial" w:hAnsi="Arial"/>
                <w:sz w:val="16"/>
                <w:szCs w:val="16"/>
                <w:color w:val="auto"/>
              </w:rPr>
              <w:t>, has served as a director</w:t>
            </w:r>
          </w:p>
        </w:tc>
        <w:tc>
          <w:tcPr>
            <w:tcW w:w="100" w:type="dxa"/>
            <w:vAlign w:val="bottom"/>
          </w:tcPr>
          <w:p>
            <w:pPr>
              <w:spacing w:after="0"/>
              <w:rPr>
                <w:sz w:val="14"/>
                <w:szCs w:val="14"/>
                <w:color w:val="auto"/>
              </w:rPr>
            </w:pPr>
          </w:p>
        </w:tc>
        <w:tc>
          <w:tcPr>
            <w:tcW w:w="20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40" w:type="dxa"/>
            <w:vAlign w:val="bottom"/>
            <w:tcBorders>
              <w:left w:val="single" w:sz="8" w:color="auto"/>
            </w:tcBorders>
          </w:tcPr>
          <w:p>
            <w:pPr>
              <w:spacing w:after="0"/>
              <w:rPr>
                <w:sz w:val="14"/>
                <w:szCs w:val="14"/>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of PAGP GP since August 2022. She recently served</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as Senior Vice President of Corporate Relations for</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ConocoPhillips, where she worked from 2012 until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2022</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her retirement in 2022. In that capacity, she was</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540" w:type="dxa"/>
            <w:vAlign w:val="bottom"/>
            <w:tcBorders>
              <w:left w:val="single" w:sz="8" w:color="auto"/>
            </w:tcBorders>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34" w:lineRule="exact"/>
              <w:rPr>
                <w:sz w:val="20"/>
                <w:szCs w:val="20"/>
                <w:color w:val="auto"/>
              </w:rPr>
            </w:pPr>
            <w:r>
              <w:rPr>
                <w:rFonts w:ascii="Arial" w:cs="Arial" w:eastAsia="Arial" w:hAnsi="Arial"/>
                <w:sz w:val="15"/>
                <w:szCs w:val="15"/>
                <w:color w:val="auto"/>
              </w:rPr>
              <w:t>responsible for investor relations, corporate</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48"/>
        </w:trPr>
        <w:tc>
          <w:tcPr>
            <w:tcW w:w="540" w:type="dxa"/>
            <w:vAlign w:val="bottom"/>
            <w:tcBorders>
              <w:lef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020" w:type="dxa"/>
            <w:vAlign w:val="bottom"/>
            <w:tcBorders>
              <w:right w:val="single" w:sz="8" w:color="auto"/>
            </w:tcBorders>
          </w:tcPr>
          <w:p>
            <w:pPr>
              <w:ind w:left="80"/>
              <w:spacing w:after="0" w:line="143" w:lineRule="exact"/>
              <w:rPr>
                <w:sz w:val="20"/>
                <w:szCs w:val="20"/>
                <w:color w:val="auto"/>
              </w:rPr>
            </w:pPr>
            <w:r>
              <w:rPr>
                <w:rFonts w:ascii="Arial" w:cs="Arial" w:eastAsia="Arial" w:hAnsi="Arial"/>
                <w:sz w:val="16"/>
                <w:szCs w:val="16"/>
                <w:color w:val="auto"/>
              </w:rPr>
              <w:t>communications and charitable programs. Prior to</w:t>
            </w: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rPr>
              <w:t>Audit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ConocoPhillips, Ms. DeSanctis had responsibility for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07"/>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similar functions, as well as strategic planning roles,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restart"/>
          </w:tcPr>
          <w:p>
            <w:pPr>
              <w:spacing w:after="0" w:line="177" w:lineRule="exact"/>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line="177" w:lineRule="exact"/>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ind w:right="459"/>
              <w:spacing w:after="0" w:line="175" w:lineRule="exact"/>
              <w:rPr>
                <w:sz w:val="20"/>
                <w:szCs w:val="20"/>
                <w:color w:val="auto"/>
              </w:rPr>
            </w:pPr>
            <w:r>
              <w:rPr>
                <w:rFonts w:ascii="Arial" w:cs="Arial" w:eastAsia="Arial" w:hAnsi="Arial"/>
                <w:sz w:val="16"/>
                <w:szCs w:val="16"/>
                <w:color w:val="auto"/>
              </w:rPr>
              <w:t>HSES</w:t>
            </w: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for a number of upstream energy companies,</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including Petrohawk Energy Corporation, Rosetta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Resources, Burlington Resources, Vastar Resources</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and ARCO. Ms. DeSanctis spent her early career as</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an engineer for Shell Oil Company. Ms. DeSanctis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serves on the board of SilverBow Resources, Inc.</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She also serves as a member of the board of</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directors of St. Agnes Academy in Houston and</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served as past chair of the Girl Scouts of San Jacinto</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61"/>
        </w:trPr>
        <w:tc>
          <w:tcPr>
            <w:tcW w:w="54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2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Council. Ms. DeSanctis holds a BA in Geological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Geophysical Sciences from Princeton University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 MBA from UCLA. The Board has determined that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Ms. DeSanctis is “independent” under applicable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Nasdaq and SEC rules. Ms. DeSanctis’s diverse,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strategic and stakeholder-focused background brings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 valuable perspective to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2040" w:type="dxa"/>
            <w:vAlign w:val="bottom"/>
            <w:tcBorders>
              <w:top w:val="single" w:sz="8" w:color="auto"/>
              <w:left w:val="single" w:sz="8" w:color="auto"/>
              <w:right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ALEXANDRA D.</w:t>
            </w:r>
          </w:p>
        </w:tc>
        <w:tc>
          <w:tcPr>
            <w:tcW w:w="40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i w:val="1"/>
                <w:iCs w:val="1"/>
                <w:color w:val="auto"/>
              </w:rPr>
              <w:t>Alexandra D. Pruner, age 62</w:t>
            </w:r>
            <w:r>
              <w:rPr>
                <w:rFonts w:ascii="Arial" w:cs="Arial" w:eastAsia="Arial" w:hAnsi="Arial"/>
                <w:sz w:val="16"/>
                <w:szCs w:val="16"/>
                <w:color w:val="auto"/>
              </w:rPr>
              <w:t>, has served as a</w:t>
            </w:r>
          </w:p>
        </w:tc>
        <w:tc>
          <w:tcPr>
            <w:tcW w:w="10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40" w:type="dxa"/>
            <w:vAlign w:val="bottom"/>
            <w:tcBorders>
              <w:left w:val="single" w:sz="8" w:color="auto"/>
            </w:tcBorders>
          </w:tcPr>
          <w:p>
            <w:pPr>
              <w:spacing w:after="0"/>
              <w:rPr>
                <w:sz w:val="14"/>
                <w:szCs w:val="14"/>
                <w:color w:val="auto"/>
              </w:rPr>
            </w:pPr>
          </w:p>
        </w:tc>
        <w:tc>
          <w:tcPr>
            <w:tcW w:w="1500" w:type="dxa"/>
            <w:vAlign w:val="bottom"/>
            <w:tcBorders>
              <w:right w:val="single" w:sz="8" w:color="auto"/>
            </w:tcBorders>
            <w:gridSpan w:val="2"/>
          </w:tcPr>
          <w:p>
            <w:pPr>
              <w:jc w:val="center"/>
              <w:ind w:right="439"/>
              <w:spacing w:after="0" w:line="168" w:lineRule="exact"/>
              <w:rPr>
                <w:sz w:val="20"/>
                <w:szCs w:val="20"/>
                <w:color w:val="auto"/>
              </w:rPr>
            </w:pPr>
            <w:r>
              <w:rPr>
                <w:rFonts w:ascii="Arial" w:cs="Arial" w:eastAsia="Arial" w:hAnsi="Arial"/>
                <w:sz w:val="16"/>
                <w:szCs w:val="16"/>
                <w:b w:val="1"/>
                <w:bCs w:val="1"/>
                <w:color w:val="auto"/>
                <w:w w:val="97"/>
              </w:rPr>
              <w:t>PRUNER</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director of PAGP GP since December 2018.</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Ms. Pruner has served as a Senior Advisor of Perella</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continue"/>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Weinberg Partners (“PWP”), a global independent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40" w:type="dxa"/>
            <w:vAlign w:val="bottom"/>
            <w:tcBorders>
              <w:left w:val="single" w:sz="8" w:color="auto"/>
              <w:right w:val="single" w:sz="8" w:color="auto"/>
            </w:tcBorders>
            <w:gridSpan w:val="3"/>
          </w:tcPr>
          <w:p>
            <w:pPr>
              <w:jc w:val="right"/>
              <w:ind w:right="219"/>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advisory firm providing strategic and financial advice</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7"/>
        </w:trPr>
        <w:tc>
          <w:tcPr>
            <w:tcW w:w="540" w:type="dxa"/>
            <w:vAlign w:val="bottom"/>
            <w:tcBorders>
              <w:left w:val="single" w:sz="8" w:color="auto"/>
            </w:tcBorders>
          </w:tcPr>
          <w:p>
            <w:pPr>
              <w:spacing w:after="0"/>
              <w:rPr>
                <w:sz w:val="11"/>
                <w:szCs w:val="11"/>
                <w:color w:val="auto"/>
              </w:rPr>
            </w:pPr>
          </w:p>
        </w:tc>
        <w:tc>
          <w:tcPr>
            <w:tcW w:w="1500" w:type="dxa"/>
            <w:vAlign w:val="bottom"/>
            <w:tcBorders>
              <w:right w:val="single" w:sz="8" w:color="auto"/>
            </w:tcBorders>
            <w:gridSpan w:val="2"/>
          </w:tcPr>
          <w:p>
            <w:pPr>
              <w:jc w:val="center"/>
              <w:ind w:right="439"/>
              <w:spacing w:after="0" w:line="137" w:lineRule="exact"/>
              <w:rPr>
                <w:sz w:val="20"/>
                <w:szCs w:val="20"/>
                <w:color w:val="auto"/>
              </w:rPr>
            </w:pPr>
            <w:r>
              <w:rPr>
                <w:rFonts w:ascii="Arial" w:cs="Arial" w:eastAsia="Arial" w:hAnsi="Arial"/>
                <w:sz w:val="15"/>
                <w:szCs w:val="15"/>
                <w:b w:val="1"/>
                <w:bCs w:val="1"/>
                <w:i w:val="1"/>
                <w:iCs w:val="1"/>
                <w:color w:val="auto"/>
              </w:rPr>
              <w:t>since 2018</w:t>
            </w:r>
          </w:p>
        </w:tc>
        <w:tc>
          <w:tcPr>
            <w:tcW w:w="40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and asset-management services, and its energy</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0"/>
        </w:trPr>
        <w:tc>
          <w:tcPr>
            <w:tcW w:w="540" w:type="dxa"/>
            <w:vAlign w:val="bottom"/>
            <w:tcBorders>
              <w:left w:val="single" w:sz="8" w:color="auto"/>
            </w:tcBorders>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division, Tudor, Pickering, Holt &amp; Co., since</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9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0" w:type="dxa"/>
            <w:vAlign w:val="bottom"/>
            <w:tcBorders>
              <w:left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40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December 2018. She previously served as Partner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right w:val="single" w:sz="8" w:color="auto"/>
            </w:tcBorders>
            <w:gridSpan w:val="2"/>
          </w:tcPr>
          <w:p>
            <w:pPr>
              <w:ind w:left="60"/>
              <w:spacing w:after="0" w:line="15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rPr>
              <w:t>Audit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and Chief Financial Officer of PWP from</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December 2016 through November 2018. She</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color w:val="auto"/>
              </w:rPr>
              <w:t>Governance</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served as CFO and a member of the Management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1500" w:type="dxa"/>
            <w:vAlign w:val="bottom"/>
            <w:tcBorders>
              <w:right w:val="single" w:sz="8" w:color="auto"/>
            </w:tcBorders>
            <w:gridSpan w:val="2"/>
            <w:vMerge w:val="continue"/>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Committee at Tudor, Pickering, Holt &amp; Co. from the</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firm’s founding in 2007 until its combination with PWP</w:t>
            </w: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Diversity</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2016. Ms. Pruner served as a director and member</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of the audit committee of Anadarko Petroleum</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20"/>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Corporation from December 2018 until August 2019.</w:t>
            </w: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19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She has also served as a director of NRG Energy,</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Inc. since October 2019, as chair of the board of</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Malta Inc. since April 2022, and as a director of</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Encino Acquisition Partners, LLC since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November 2019 and as chair of the board since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December 2021. She is the founder and a board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member of Women’s Global Leadership Conference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 Energy &amp; Technology, is an Emeritus Director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Amegy Bank Development Board, and is Chair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Brown University’s President’s Advisory Council 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Economics Department. She also serves on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of the Houston Zoo and the Texas Medical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Center, among other volunteer efforts. Ms. Pruner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holds a BA in Economics from Brown University.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Board has determined that Ms. Pruner is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“independent” under applicable Nasdaq and SEC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rules and qualifies as an “Audit Committee Financial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Expert.” Ms. Pruner’s extensive experience in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energy industry from a variety of perspectives, along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with her strong finance and investment banking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background, make her uniquely qualified to serve 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9"/>
              </w:rPr>
              <w:t>LAWRENCE M.</w:t>
            </w:r>
          </w:p>
        </w:tc>
        <w:tc>
          <w:tcPr>
            <w:tcW w:w="40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6"/>
                <w:szCs w:val="16"/>
                <w:i w:val="1"/>
                <w:iCs w:val="1"/>
                <w:color w:val="auto"/>
              </w:rPr>
              <w:t>Lawrence M. Ziemba, age 68</w:t>
            </w:r>
            <w:r>
              <w:rPr>
                <w:rFonts w:ascii="Arial" w:cs="Arial" w:eastAsia="Arial" w:hAnsi="Arial"/>
                <w:sz w:val="16"/>
                <w:szCs w:val="16"/>
                <w:color w:val="auto"/>
              </w:rPr>
              <w:t>, has served as a</w:t>
            </w:r>
          </w:p>
        </w:tc>
        <w:tc>
          <w:tcPr>
            <w:tcW w:w="100" w:type="dxa"/>
            <w:vAlign w:val="bottom"/>
          </w:tcPr>
          <w:p>
            <w:pPr>
              <w:spacing w:after="0"/>
              <w:rPr>
                <w:sz w:val="14"/>
                <w:szCs w:val="14"/>
                <w:color w:val="auto"/>
              </w:rPr>
            </w:pPr>
          </w:p>
        </w:tc>
        <w:tc>
          <w:tcPr>
            <w:tcW w:w="2060" w:type="dxa"/>
            <w:vAlign w:val="bottom"/>
            <w:tcBorders>
              <w:right w:val="single" w:sz="8" w:color="auto"/>
            </w:tcBorders>
            <w:gridSpan w:val="3"/>
          </w:tcPr>
          <w:p>
            <w:pPr>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168"/>
        </w:trPr>
        <w:tc>
          <w:tcPr>
            <w:tcW w:w="540" w:type="dxa"/>
            <w:vAlign w:val="bottom"/>
            <w:tcBorders>
              <w:left w:val="single" w:sz="8" w:color="auto"/>
            </w:tcBorders>
          </w:tcPr>
          <w:p>
            <w:pPr>
              <w:spacing w:after="0"/>
              <w:rPr>
                <w:sz w:val="14"/>
                <w:szCs w:val="14"/>
                <w:color w:val="auto"/>
              </w:rPr>
            </w:pPr>
          </w:p>
        </w:tc>
        <w:tc>
          <w:tcPr>
            <w:tcW w:w="1500" w:type="dxa"/>
            <w:vAlign w:val="bottom"/>
            <w:tcBorders>
              <w:right w:val="single" w:sz="8" w:color="auto"/>
            </w:tcBorders>
            <w:gridSpan w:val="2"/>
          </w:tcPr>
          <w:p>
            <w:pPr>
              <w:jc w:val="center"/>
              <w:ind w:right="439"/>
              <w:spacing w:after="0" w:line="168" w:lineRule="exact"/>
              <w:rPr>
                <w:sz w:val="20"/>
                <w:szCs w:val="20"/>
                <w:color w:val="auto"/>
              </w:rPr>
            </w:pPr>
            <w:r>
              <w:rPr>
                <w:rFonts w:ascii="Arial" w:cs="Arial" w:eastAsia="Arial" w:hAnsi="Arial"/>
                <w:sz w:val="16"/>
                <w:szCs w:val="16"/>
                <w:b w:val="1"/>
                <w:bCs w:val="1"/>
                <w:color w:val="auto"/>
              </w:rPr>
              <w:t>ZIEMBA</w:t>
            </w:r>
          </w:p>
        </w:tc>
        <w:tc>
          <w:tcPr>
            <w:tcW w:w="40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director of PAGP GP since January 2020. Mr. Ziemba</w:t>
            </w:r>
          </w:p>
        </w:tc>
        <w:tc>
          <w:tcPr>
            <w:tcW w:w="100" w:type="dxa"/>
            <w:vAlign w:val="bottom"/>
          </w:tcPr>
          <w:p>
            <w:pPr>
              <w:spacing w:after="0"/>
              <w:rPr>
                <w:sz w:val="14"/>
                <w:szCs w:val="14"/>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rPr>
              <w:t>Public Company</w:t>
            </w:r>
          </w:p>
        </w:tc>
        <w:tc>
          <w:tcPr>
            <w:tcW w:w="580" w:type="dxa"/>
            <w:vAlign w:val="bottom"/>
            <w:tcBorders>
              <w:right w:val="single" w:sz="8" w:color="auto"/>
            </w:tcBorders>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served as Executive Vice President, Refining, and on</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restart"/>
          </w:tcPr>
          <w:p>
            <w:pPr>
              <w:jc w:val="center"/>
              <w:ind w:right="459"/>
              <w:spacing w:after="0"/>
              <w:rPr>
                <w:sz w:val="20"/>
                <w:szCs w:val="20"/>
                <w:color w:val="auto"/>
              </w:rPr>
            </w:pPr>
            <w:r>
              <w:rPr>
                <w:rFonts w:ascii="Arial" w:cs="Arial" w:eastAsia="Arial" w:hAnsi="Arial"/>
                <w:sz w:val="16"/>
                <w:szCs w:val="16"/>
                <w:b w:val="1"/>
                <w:bCs w:val="1"/>
                <w:color w:val="auto"/>
              </w:rPr>
              <w:t>Independent</w:t>
            </w: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continue"/>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executive committee of Phillips 66 from May 2012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until his retirement in December 2017. From 2001 to</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7"/>
        </w:trPr>
        <w:tc>
          <w:tcPr>
            <w:tcW w:w="540" w:type="dxa"/>
            <w:vAlign w:val="bottom"/>
            <w:tcBorders>
              <w:left w:val="single" w:sz="8" w:color="auto"/>
            </w:tcBorders>
          </w:tcPr>
          <w:p>
            <w:pPr>
              <w:spacing w:after="0"/>
              <w:rPr>
                <w:sz w:val="11"/>
                <w:szCs w:val="11"/>
                <w:color w:val="auto"/>
              </w:rPr>
            </w:pPr>
          </w:p>
        </w:tc>
        <w:tc>
          <w:tcPr>
            <w:tcW w:w="1500" w:type="dxa"/>
            <w:vAlign w:val="bottom"/>
            <w:tcBorders>
              <w:right w:val="single" w:sz="8" w:color="auto"/>
            </w:tcBorders>
            <w:gridSpan w:val="2"/>
          </w:tcPr>
          <w:p>
            <w:pPr>
              <w:jc w:val="center"/>
              <w:ind w:right="439"/>
              <w:spacing w:after="0" w:line="137" w:lineRule="exact"/>
              <w:rPr>
                <w:sz w:val="20"/>
                <w:szCs w:val="20"/>
                <w:color w:val="auto"/>
              </w:rPr>
            </w:pPr>
            <w:r>
              <w:rPr>
                <w:rFonts w:ascii="Arial" w:cs="Arial" w:eastAsia="Arial" w:hAnsi="Arial"/>
                <w:sz w:val="15"/>
                <w:szCs w:val="15"/>
                <w:b w:val="1"/>
                <w:bCs w:val="1"/>
                <w:i w:val="1"/>
                <w:iCs w:val="1"/>
                <w:color w:val="auto"/>
              </w:rPr>
              <w:t>since 2020</w:t>
            </w:r>
          </w:p>
        </w:tc>
        <w:tc>
          <w:tcPr>
            <w:tcW w:w="4020" w:type="dxa"/>
            <w:vAlign w:val="bottom"/>
            <w:tcBorders>
              <w:right w:val="single" w:sz="8" w:color="auto"/>
            </w:tcBorders>
          </w:tcPr>
          <w:p>
            <w:pPr>
              <w:ind w:left="80"/>
              <w:spacing w:after="0" w:line="137" w:lineRule="exact"/>
              <w:rPr>
                <w:sz w:val="20"/>
                <w:szCs w:val="20"/>
                <w:color w:val="auto"/>
              </w:rPr>
            </w:pPr>
            <w:r>
              <w:rPr>
                <w:rFonts w:ascii="Arial" w:cs="Arial" w:eastAsia="Arial" w:hAnsi="Arial"/>
                <w:sz w:val="15"/>
                <w:szCs w:val="15"/>
                <w:color w:val="auto"/>
              </w:rPr>
              <w:t>May 2012, he served in various downstream</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60"/>
        </w:trPr>
        <w:tc>
          <w:tcPr>
            <w:tcW w:w="540" w:type="dxa"/>
            <w:vAlign w:val="bottom"/>
            <w:tcBorders>
              <w:left w:val="single" w:sz="8" w:color="auto"/>
            </w:tcBorders>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20" w:type="dxa"/>
            <w:vAlign w:val="bottom"/>
            <w:tcBorders>
              <w:right w:val="single" w:sz="8" w:color="auto"/>
            </w:tcBorders>
          </w:tcPr>
          <w:p>
            <w:pPr>
              <w:ind w:left="80"/>
              <w:spacing w:after="0" w:line="160" w:lineRule="exact"/>
              <w:rPr>
                <w:sz w:val="20"/>
                <w:szCs w:val="20"/>
                <w:color w:val="auto"/>
              </w:rPr>
            </w:pPr>
            <w:r>
              <w:rPr>
                <w:rFonts w:ascii="Arial" w:cs="Arial" w:eastAsia="Arial" w:hAnsi="Arial"/>
                <w:sz w:val="16"/>
                <w:szCs w:val="16"/>
                <w:color w:val="auto"/>
              </w:rPr>
              <w:t>positions with ConocoPhillips, including President,</w:t>
            </w: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96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40" w:type="dxa"/>
            <w:vAlign w:val="bottom"/>
            <w:tcBorders>
              <w:left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402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6"/>
                <w:szCs w:val="16"/>
                <w:color w:val="auto"/>
              </w:rPr>
              <w:t>Global Refining, and chairman of WRB LLC, 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Borders>
              <w:right w:val="single" w:sz="8" w:color="auto"/>
            </w:tcBorders>
            <w:gridSpan w:val="2"/>
          </w:tcPr>
          <w:p>
            <w:pPr>
              <w:ind w:left="60"/>
              <w:spacing w:after="0" w:line="155"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rPr>
              <w:t>Audit</w:t>
            </w: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downstream joint venture with Cenovus, a Canadian</w:t>
            </w:r>
          </w:p>
        </w:tc>
        <w:tc>
          <w:tcPr>
            <w:tcW w:w="100" w:type="dxa"/>
            <w:vAlign w:val="bottom"/>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oil producer. He also held various positions of</w:t>
            </w: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19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2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47"/>
        </w:trPr>
        <w:tc>
          <w:tcPr>
            <w:tcW w:w="540" w:type="dxa"/>
            <w:vAlign w:val="bottom"/>
            <w:tcBorders>
              <w:left w:val="single" w:sz="8" w:color="auto"/>
            </w:tcBorders>
          </w:tcPr>
          <w:p>
            <w:pPr>
              <w:spacing w:after="0"/>
              <w:rPr>
                <w:sz w:val="12"/>
                <w:szCs w:val="12"/>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rPr>
              <w:t>HSES (chair)</w:t>
            </w:r>
          </w:p>
        </w:tc>
        <w:tc>
          <w:tcPr>
            <w:tcW w:w="402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increasing responsibility with Tosco/Unocal from 1977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540" w:type="dxa"/>
            <w:vAlign w:val="bottom"/>
            <w:tcBorders>
              <w:left w:val="single" w:sz="8" w:color="auto"/>
            </w:tcBorders>
          </w:tcPr>
          <w:p>
            <w:pPr>
              <w:spacing w:after="0"/>
              <w:rPr>
                <w:sz w:val="3"/>
                <w:szCs w:val="3"/>
                <w:color w:val="auto"/>
              </w:rPr>
            </w:pPr>
          </w:p>
        </w:tc>
        <w:tc>
          <w:tcPr>
            <w:tcW w:w="1500" w:type="dxa"/>
            <w:vAlign w:val="bottom"/>
            <w:tcBorders>
              <w:right w:val="single" w:sz="8" w:color="auto"/>
            </w:tcBorders>
            <w:gridSpan w:val="2"/>
            <w:vMerge w:val="continue"/>
          </w:tcPr>
          <w:p>
            <w:pPr>
              <w:spacing w:after="0"/>
              <w:rPr>
                <w:sz w:val="3"/>
                <w:szCs w:val="3"/>
                <w:color w:val="auto"/>
              </w:rPr>
            </w:pPr>
          </w:p>
        </w:tc>
        <w:tc>
          <w:tcPr>
            <w:tcW w:w="40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to 2001. He has held a number of industry leadership</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w:t>
            </w: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positions, including with API and AFPM. Mr. Ziemba</w:t>
            </w: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9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540" w:type="dxa"/>
            <w:vAlign w:val="bottom"/>
            <w:tcBorders>
              <w:lef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402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Construction/​Technical</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20" w:type="dxa"/>
            <w:vAlign w:val="bottom"/>
            <w:tcBorders>
              <w:right w:val="single" w:sz="8" w:color="auto"/>
            </w:tcBorders>
            <w:vMerge w:val="restart"/>
          </w:tcPr>
          <w:p>
            <w:pPr>
              <w:ind w:left="80"/>
              <w:spacing w:after="0" w:line="175" w:lineRule="exact"/>
              <w:rPr>
                <w:sz w:val="20"/>
                <w:szCs w:val="20"/>
                <w:color w:val="auto"/>
              </w:rPr>
            </w:pPr>
            <w:r>
              <w:rPr>
                <w:rFonts w:ascii="Arial" w:cs="Arial" w:eastAsia="Arial" w:hAnsi="Arial"/>
                <w:sz w:val="16"/>
                <w:szCs w:val="16"/>
                <w:color w:val="auto"/>
              </w:rPr>
              <w:t>has served on the board of directors of PBF Energy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2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since 2023. From 2020 through 2022 he served as a</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director of PBF Logistics GP LLC. He also served on</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the board of trustees of Duchesne Academy in</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Houston. Mr. Ziemba received a BS in mechanical</w:t>
            </w:r>
          </w:p>
        </w:tc>
        <w:tc>
          <w:tcPr>
            <w:tcW w:w="10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Cybersecurity/IT</w:t>
            </w:r>
          </w:p>
        </w:tc>
        <w:tc>
          <w:tcPr>
            <w:tcW w:w="0" w:type="dxa"/>
            <w:vAlign w:val="bottom"/>
          </w:tcPr>
          <w:p>
            <w:pPr>
              <w:spacing w:after="0"/>
              <w:rPr>
                <w:sz w:val="1"/>
                <w:szCs w:val="1"/>
                <w:color w:val="auto"/>
              </w:rPr>
            </w:pPr>
          </w:p>
        </w:tc>
      </w:tr>
      <w:tr>
        <w:trPr>
          <w:trHeight w:val="161"/>
        </w:trPr>
        <w:tc>
          <w:tcPr>
            <w:tcW w:w="540" w:type="dxa"/>
            <w:vAlign w:val="bottom"/>
            <w:tcBorders>
              <w:lef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4020" w:type="dxa"/>
            <w:vAlign w:val="bottom"/>
            <w:tcBorders>
              <w:right w:val="single" w:sz="8" w:color="auto"/>
            </w:tcBorders>
          </w:tcPr>
          <w:p>
            <w:pPr>
              <w:ind w:left="80"/>
              <w:spacing w:after="0" w:line="161" w:lineRule="exact"/>
              <w:rPr>
                <w:sz w:val="20"/>
                <w:szCs w:val="20"/>
                <w:color w:val="auto"/>
              </w:rPr>
            </w:pPr>
            <w:r>
              <w:rPr>
                <w:rFonts w:ascii="Arial" w:cs="Arial" w:eastAsia="Arial" w:hAnsi="Arial"/>
                <w:sz w:val="16"/>
                <w:szCs w:val="16"/>
                <w:color w:val="auto"/>
              </w:rPr>
              <w:t>engineering from the University of Illinois — </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color w:val="auto"/>
              </w:rPr>
              <w:t>•</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Energy Evolution</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Champaign and an MBA from the University of</w:t>
            </w: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96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Chicago. The Board has determined that Mr. Ziemba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is “independent” under applicable Nasdaq and SEC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rules. We believe that his operations, technical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project management expertise, coupled with his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business sense and understanding of strategic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20" w:type="dxa"/>
            <w:vAlign w:val="bottom"/>
            <w:tcBorders>
              <w:right w:val="single" w:sz="8" w:color="auto"/>
            </w:tcBorders>
          </w:tcPr>
          <w:p>
            <w:pPr>
              <w:ind w:left="80"/>
              <w:spacing w:after="0" w:line="175" w:lineRule="exact"/>
              <w:rPr>
                <w:sz w:val="20"/>
                <w:szCs w:val="20"/>
                <w:color w:val="auto"/>
              </w:rPr>
            </w:pPr>
            <w:r>
              <w:rPr>
                <w:rFonts w:ascii="Arial" w:cs="Arial" w:eastAsia="Arial" w:hAnsi="Arial"/>
                <w:sz w:val="16"/>
                <w:szCs w:val="16"/>
                <w:color w:val="auto"/>
              </w:rPr>
              <w:t>positioning in the energy space, adds a diverse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operating and downstream perspective to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0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Class II Directors (terms expire in 2025):</w:t>
      </w:r>
    </w:p>
    <w:p>
      <w:pPr>
        <w:spacing w:after="0" w:line="197"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20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VICTOR BURK</w:t>
            </w:r>
          </w:p>
        </w:tc>
        <w:tc>
          <w:tcPr>
            <w:tcW w:w="40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i w:val="1"/>
                <w:iCs w:val="1"/>
                <w:color w:val="auto"/>
              </w:rPr>
              <w:t>Victor Burk, age 74</w:t>
            </w:r>
            <w:r>
              <w:rPr>
                <w:rFonts w:ascii="Arial" w:cs="Arial" w:eastAsia="Arial" w:hAnsi="Arial"/>
                <w:sz w:val="16"/>
                <w:szCs w:val="16"/>
                <w:color w:val="auto"/>
              </w:rPr>
              <w:t>, has served as a director of PAGP</w:t>
            </w:r>
          </w:p>
        </w:tc>
        <w:tc>
          <w:tcPr>
            <w:tcW w:w="2120" w:type="dxa"/>
            <w:vAlign w:val="bottom"/>
            <w:tcBorders>
              <w:top w:val="single" w:sz="8" w:color="auto"/>
              <w:right w:val="single" w:sz="8" w:color="auto"/>
            </w:tcBorders>
            <w:gridSpan w:val="4"/>
          </w:tcPr>
          <w:p>
            <w:pPr>
              <w:ind w:left="100"/>
              <w:spacing w:after="0"/>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GP since January 2014. He is a Senior Advisor for</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 w:type="dxa"/>
            <w:vAlign w:val="bottom"/>
            <w:tcBorders>
              <w:left w:val="single" w:sz="8" w:color="auto"/>
            </w:tcBorders>
          </w:tcPr>
          <w:p>
            <w:pPr>
              <w:spacing w:after="0"/>
              <w:rPr>
                <w:sz w:val="13"/>
                <w:szCs w:val="13"/>
                <w:color w:val="auto"/>
              </w:rPr>
            </w:pPr>
          </w:p>
        </w:tc>
        <w:tc>
          <w:tcPr>
            <w:tcW w:w="1500" w:type="dxa"/>
            <w:vAlign w:val="bottom"/>
            <w:tcBorders>
              <w:right w:val="single" w:sz="8" w:color="auto"/>
            </w:tcBorders>
            <w:gridSpan w:val="2"/>
            <w:vMerge w:val="restart"/>
          </w:tcPr>
          <w:p>
            <w:pPr>
              <w:jc w:val="center"/>
              <w:ind w:right="419"/>
              <w:spacing w:after="0"/>
              <w:rPr>
                <w:sz w:val="20"/>
                <w:szCs w:val="20"/>
                <w:color w:val="auto"/>
              </w:rPr>
            </w:pPr>
            <w:r>
              <w:rPr>
                <w:rFonts w:ascii="Arial" w:cs="Arial" w:eastAsia="Arial" w:hAnsi="Arial"/>
                <w:sz w:val="16"/>
                <w:szCs w:val="16"/>
                <w:b w:val="1"/>
                <w:bCs w:val="1"/>
                <w:color w:val="auto"/>
              </w:rPr>
              <w:t>Independent</w:t>
            </w:r>
          </w:p>
        </w:tc>
        <w:tc>
          <w:tcPr>
            <w:tcW w:w="4060" w:type="dxa"/>
            <w:vAlign w:val="bottom"/>
            <w:tcBorders>
              <w:right w:val="single" w:sz="8" w:color="auto"/>
            </w:tcBorders>
            <w:vMerge w:val="continue"/>
          </w:tcPr>
          <w:p>
            <w:pPr>
              <w:spacing w:after="0"/>
              <w:rPr>
                <w:sz w:val="13"/>
                <w:szCs w:val="13"/>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Alvarez and Marsal, a privately owned professional</w:t>
            </w:r>
          </w:p>
        </w:tc>
        <w:tc>
          <w:tcPr>
            <w:tcW w:w="200" w:type="dxa"/>
            <w:vAlign w:val="bottom"/>
            <w:gridSpan w:val="2"/>
            <w:vMerge w:val="continue"/>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services firm, where he served as Managing Director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2010</w:t>
            </w:r>
          </w:p>
        </w:tc>
        <w:tc>
          <w:tcPr>
            <w:tcW w:w="4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from April 2009 through December 2022. From 2005</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540" w:type="dxa"/>
            <w:vAlign w:val="bottom"/>
            <w:tcBorders>
              <w:left w:val="single" w:sz="8" w:color="auto"/>
            </w:tcBorders>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6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5"/>
                <w:szCs w:val="15"/>
                <w:color w:val="auto"/>
              </w:rPr>
              <w:t>to 2009, Mr. Burk was the global energy practice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4"/>
        </w:trPr>
        <w:tc>
          <w:tcPr>
            <w:tcW w:w="540" w:type="dxa"/>
            <w:vAlign w:val="bottom"/>
            <w:tcBorders>
              <w:lef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06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6"/>
                <w:szCs w:val="16"/>
                <w:color w:val="auto"/>
              </w:rPr>
              <w:t>leader for Spencer Stuart, a privately owned</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2"/>
            <w:vMerge w:val="restart"/>
          </w:tcPr>
          <w:p>
            <w:pPr>
              <w:jc w:val="center"/>
              <w:ind w:right="439"/>
              <w:spacing w:after="0"/>
              <w:rPr>
                <w:sz w:val="20"/>
                <w:szCs w:val="20"/>
                <w:color w:val="auto"/>
              </w:rPr>
            </w:pPr>
            <w:r>
              <w:rPr>
                <w:rFonts w:ascii="Arial" w:cs="Arial" w:eastAsia="Arial" w:hAnsi="Arial"/>
                <w:sz w:val="16"/>
                <w:szCs w:val="16"/>
                <w:color w:val="auto"/>
                <w:w w:val="99"/>
              </w:rPr>
              <w:t>Audit (chair)</w:t>
            </w:r>
          </w:p>
        </w:tc>
        <w:tc>
          <w:tcPr>
            <w:tcW w:w="40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6"/>
                <w:szCs w:val="16"/>
                <w:color w:val="auto"/>
              </w:rPr>
              <w:t>executive recruiting firm. Prior to joining Spencer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right w:val="single" w:sz="8" w:color="auto"/>
            </w:tcBorders>
            <w:gridSpan w:val="2"/>
          </w:tcPr>
          <w:p>
            <w:pPr>
              <w:ind w:left="60"/>
              <w:spacing w:after="0" w:line="182"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20"/>
        </w:trPr>
        <w:tc>
          <w:tcPr>
            <w:tcW w:w="54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Stuart, Mr. Burk served as managing partner of</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55"/>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9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Deloitte &amp; Touche’s global oil and natural gas group</w:t>
            </w:r>
          </w:p>
        </w:tc>
        <w:tc>
          <w:tcPr>
            <w:tcW w:w="200" w:type="dxa"/>
            <w:vAlign w:val="bottom"/>
            <w:gridSpan w:val="2"/>
            <w:vMerge w:val="continue"/>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from 2002 to 2005. He began his professional career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in 1972 with Arthur Andersen and served as</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managing partner of Arthur Andersen’s global oil and</w:t>
            </w:r>
          </w:p>
        </w:tc>
        <w:tc>
          <w:tcPr>
            <w:tcW w:w="200" w:type="dxa"/>
            <w:vAlign w:val="bottom"/>
            <w:gridSpan w:val="2"/>
            <w:vMerge w:val="continue"/>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60" w:type="dxa"/>
            <w:vAlign w:val="bottom"/>
            <w:tcBorders>
              <w:right w:val="single" w:sz="8" w:color="auto"/>
            </w:tcBorders>
            <w:vMerge w:val="continue"/>
          </w:tcPr>
          <w:p>
            <w:pPr>
              <w:spacing w:after="0"/>
              <w:rPr>
                <w:sz w:val="7"/>
                <w:szCs w:val="7"/>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natural gas group from 1989 until 2002. Mr. Burk</w:t>
            </w:r>
          </w:p>
        </w:tc>
        <w:tc>
          <w:tcPr>
            <w:tcW w:w="200" w:type="dxa"/>
            <w:vAlign w:val="bottom"/>
            <w:gridSpan w:val="2"/>
            <w:vMerge w:val="continue"/>
          </w:tcPr>
          <w:p>
            <w:pPr>
              <w:spacing w:after="0"/>
              <w:rPr>
                <w:sz w:val="15"/>
                <w:szCs w:val="15"/>
                <w:color w:val="auto"/>
              </w:rPr>
            </w:pPr>
          </w:p>
        </w:tc>
        <w:tc>
          <w:tcPr>
            <w:tcW w:w="19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served on the board of directors and audit committee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of EV Energy Partners, L.P. from September 2006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until June 2018. Mr. Burk served as a director and 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chair of the audit committee of PNGS GP LLC,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general partner of PAA Natural Gas Storage, L.P.,</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from April 2010 through December 2013. Mr. Burk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also serves as a board member of the Sam Houston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Area Council of the Boy Scouts of America. 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received a BBA in Accounting from Stephen F. Austin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State University, graduating with highest honors.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Board has determined that Mr. Burk is “independent”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under applicable Nasdaq and SEC rules and qualifies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as an “Audit Committee Financial Expert.” We believe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that Mr. Burk’s background, spanning over 30 years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extensive public accounting and consulting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experience in the energy industry, coupled with his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demonstrated leadership abilities, bring valuable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experience and insight to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auto"/>
              <w:right w:val="single" w:sz="8" w:color="auto"/>
            </w:tcBorders>
            <w:gridSpan w:val="3"/>
          </w:tcPr>
          <w:p>
            <w:pPr>
              <w:jc w:val="center"/>
              <w:spacing w:after="0" w:line="169" w:lineRule="exact"/>
              <w:rPr>
                <w:sz w:val="20"/>
                <w:szCs w:val="20"/>
                <w:color w:val="auto"/>
              </w:rPr>
            </w:pPr>
            <w:r>
              <w:rPr>
                <w:rFonts w:ascii="Arial" w:cs="Arial" w:eastAsia="Arial" w:hAnsi="Arial"/>
                <w:sz w:val="16"/>
                <w:szCs w:val="16"/>
                <w:b w:val="1"/>
                <w:bCs w:val="1"/>
                <w:color w:val="auto"/>
                <w:w w:val="99"/>
              </w:rPr>
              <w:t>KEVIN S. MCCARTHY</w:t>
            </w:r>
          </w:p>
        </w:tc>
        <w:tc>
          <w:tcPr>
            <w:tcW w:w="40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6"/>
                <w:szCs w:val="16"/>
                <w:i w:val="1"/>
                <w:iCs w:val="1"/>
                <w:color w:val="auto"/>
              </w:rPr>
              <w:t>Kevin S. McCarthy, age 64</w:t>
            </w:r>
            <w:r>
              <w:rPr>
                <w:rFonts w:ascii="Arial" w:cs="Arial" w:eastAsia="Arial" w:hAnsi="Arial"/>
                <w:sz w:val="16"/>
                <w:szCs w:val="16"/>
                <w:color w:val="auto"/>
              </w:rPr>
              <w:t>, has served as a director</w:t>
            </w:r>
          </w:p>
        </w:tc>
        <w:tc>
          <w:tcPr>
            <w:tcW w:w="2120" w:type="dxa"/>
            <w:vAlign w:val="bottom"/>
            <w:tcBorders>
              <w:right w:val="single" w:sz="8" w:color="auto"/>
            </w:tcBorders>
            <w:gridSpan w:val="4"/>
          </w:tcPr>
          <w:p>
            <w:pPr>
              <w:ind w:left="100"/>
              <w:spacing w:after="0" w:line="169" w:lineRule="exact"/>
              <w:rPr>
                <w:sz w:val="20"/>
                <w:szCs w:val="20"/>
                <w:color w:val="auto"/>
              </w:rPr>
            </w:pPr>
            <w:r>
              <w:rPr>
                <w:rFonts w:ascii="Arial" w:cs="Arial" w:eastAsia="Arial" w:hAnsi="Arial"/>
                <w:sz w:val="16"/>
                <w:szCs w:val="16"/>
                <w:color w:val="auto"/>
              </w:rPr>
              <w:t>Board Qualifications:</w:t>
            </w:r>
          </w:p>
        </w:tc>
        <w:tc>
          <w:tcPr>
            <w:tcW w:w="0" w:type="dxa"/>
            <w:vAlign w:val="bottom"/>
          </w:tcPr>
          <w:p>
            <w:pPr>
              <w:spacing w:after="0"/>
              <w:rPr>
                <w:sz w:val="1"/>
                <w:szCs w:val="1"/>
                <w:color w:val="auto"/>
              </w:rPr>
            </w:pPr>
          </w:p>
        </w:tc>
      </w:tr>
      <w:tr>
        <w:trPr>
          <w:trHeight w:val="20"/>
        </w:trPr>
        <w:tc>
          <w:tcPr>
            <w:tcW w:w="5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of PAGP GP since October 2020. He served as Vice</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0" w:type="dxa"/>
            <w:vAlign w:val="bottom"/>
            <w:tcBorders>
              <w:left w:val="single" w:sz="8" w:color="auto"/>
            </w:tcBorders>
          </w:tcPr>
          <w:p>
            <w:pPr>
              <w:spacing w:after="0"/>
              <w:rPr>
                <w:sz w:val="13"/>
                <w:szCs w:val="13"/>
                <w:color w:val="auto"/>
              </w:rPr>
            </w:pPr>
          </w:p>
        </w:tc>
        <w:tc>
          <w:tcPr>
            <w:tcW w:w="1500" w:type="dxa"/>
            <w:vAlign w:val="bottom"/>
            <w:tcBorders>
              <w:right w:val="single" w:sz="8" w:color="auto"/>
            </w:tcBorders>
            <w:gridSpan w:val="2"/>
            <w:vMerge w:val="restart"/>
          </w:tcPr>
          <w:p>
            <w:pPr>
              <w:jc w:val="center"/>
              <w:ind w:right="419"/>
              <w:spacing w:after="0"/>
              <w:rPr>
                <w:sz w:val="20"/>
                <w:szCs w:val="20"/>
                <w:color w:val="auto"/>
              </w:rPr>
            </w:pPr>
            <w:r>
              <w:rPr>
                <w:rFonts w:ascii="Arial" w:cs="Arial" w:eastAsia="Arial" w:hAnsi="Arial"/>
                <w:sz w:val="16"/>
                <w:szCs w:val="16"/>
                <w:b w:val="1"/>
                <w:bCs w:val="1"/>
                <w:color w:val="auto"/>
              </w:rPr>
              <w:t>Independent</w:t>
            </w:r>
          </w:p>
        </w:tc>
        <w:tc>
          <w:tcPr>
            <w:tcW w:w="4060" w:type="dxa"/>
            <w:vAlign w:val="bottom"/>
            <w:tcBorders>
              <w:right w:val="single" w:sz="8" w:color="auto"/>
            </w:tcBorders>
            <w:vMerge w:val="continue"/>
          </w:tcPr>
          <w:p>
            <w:pPr>
              <w:spacing w:after="0"/>
              <w:rPr>
                <w:sz w:val="13"/>
                <w:szCs w:val="13"/>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w:t>
            </w: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continue"/>
          </w:tcPr>
          <w:p>
            <w:pPr>
              <w:spacing w:after="0"/>
              <w:rPr>
                <w:sz w:val="9"/>
                <w:szCs w:val="9"/>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Chairman at Kayne Anderson from 2019 to 2023.</w:t>
            </w:r>
          </w:p>
        </w:tc>
        <w:tc>
          <w:tcPr>
            <w:tcW w:w="200" w:type="dxa"/>
            <w:vAlign w:val="bottom"/>
            <w:gridSpan w:val="2"/>
            <w:vMerge w:val="continue"/>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Experience</w:t>
            </w:r>
          </w:p>
        </w:tc>
        <w:tc>
          <w:tcPr>
            <w:tcW w:w="0" w:type="dxa"/>
            <w:vAlign w:val="bottom"/>
          </w:tcPr>
          <w:p>
            <w:pPr>
              <w:spacing w:after="0"/>
              <w:rPr>
                <w:sz w:val="1"/>
                <w:szCs w:val="1"/>
                <w:color w:val="auto"/>
              </w:rPr>
            </w:pPr>
          </w:p>
        </w:tc>
      </w:tr>
      <w:tr>
        <w:trPr>
          <w:trHeight w:val="147"/>
        </w:trPr>
        <w:tc>
          <w:tcPr>
            <w:tcW w:w="20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i w:val="1"/>
                <w:iCs w:val="1"/>
                <w:color w:val="auto"/>
              </w:rPr>
              <w:t>PAGP/PAA Director</w:t>
            </w:r>
          </w:p>
        </w:tc>
        <w:tc>
          <w:tcPr>
            <w:tcW w:w="4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During his 19-year tenure at Kayne Anderson, he co-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040" w:type="dxa"/>
            <w:vAlign w:val="bottom"/>
            <w:tcBorders>
              <w:left w:val="single" w:sz="8" w:color="auto"/>
              <w:right w:val="single" w:sz="8" w:color="auto"/>
            </w:tcBorders>
            <w:gridSpan w:val="3"/>
            <w:vMerge w:val="continue"/>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1500" w:type="dxa"/>
            <w:vAlign w:val="bottom"/>
            <w:tcBorders>
              <w:right w:val="single" w:sz="8" w:color="auto"/>
            </w:tcBorders>
            <w:gridSpan w:val="2"/>
          </w:tcPr>
          <w:p>
            <w:pPr>
              <w:jc w:val="center"/>
              <w:ind w:right="439"/>
              <w:spacing w:after="0"/>
              <w:rPr>
                <w:sz w:val="20"/>
                <w:szCs w:val="20"/>
                <w:color w:val="auto"/>
              </w:rPr>
            </w:pPr>
            <w:r>
              <w:rPr>
                <w:rFonts w:ascii="Arial" w:cs="Arial" w:eastAsia="Arial" w:hAnsi="Arial"/>
                <w:sz w:val="16"/>
                <w:szCs w:val="16"/>
                <w:b w:val="1"/>
                <w:bCs w:val="1"/>
                <w:i w:val="1"/>
                <w:iCs w:val="1"/>
                <w:color w:val="auto"/>
              </w:rPr>
              <w:t>since 2020</w:t>
            </w:r>
          </w:p>
        </w:tc>
        <w:tc>
          <w:tcPr>
            <w:tcW w:w="4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founded the firm’s energy infrastructure securities</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34"/>
        </w:trPr>
        <w:tc>
          <w:tcPr>
            <w:tcW w:w="540" w:type="dxa"/>
            <w:vAlign w:val="bottom"/>
            <w:tcBorders>
              <w:left w:val="single" w:sz="8" w:color="auto"/>
            </w:tcBorders>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580" w:type="dxa"/>
            <w:vAlign w:val="bottom"/>
            <w:tcBorders>
              <w:right w:val="single" w:sz="8" w:color="auto"/>
            </w:tcBorders>
            <w:vMerge w:val="restart"/>
          </w:tcPr>
          <w:p>
            <w:pPr>
              <w:jc w:val="right"/>
              <w:ind w:right="439"/>
              <w:spacing w:after="0"/>
              <w:rPr>
                <w:sz w:val="20"/>
                <w:szCs w:val="20"/>
                <w:color w:val="auto"/>
              </w:rPr>
            </w:pPr>
            <w:r>
              <w:rPr>
                <w:rFonts w:ascii="Arial" w:cs="Arial" w:eastAsia="Arial" w:hAnsi="Arial"/>
                <w:sz w:val="16"/>
                <w:szCs w:val="16"/>
                <w:b w:val="1"/>
                <w:bCs w:val="1"/>
                <w:color w:val="auto"/>
                <w:w w:val="74"/>
              </w:rPr>
              <w:t>:</w:t>
            </w:r>
          </w:p>
        </w:tc>
        <w:tc>
          <w:tcPr>
            <w:tcW w:w="4060" w:type="dxa"/>
            <w:vAlign w:val="bottom"/>
            <w:tcBorders>
              <w:right w:val="single" w:sz="8" w:color="auto"/>
            </w:tcBorders>
          </w:tcPr>
          <w:p>
            <w:pPr>
              <w:ind w:left="100"/>
              <w:spacing w:after="0" w:line="134" w:lineRule="exact"/>
              <w:rPr>
                <w:sz w:val="20"/>
                <w:szCs w:val="20"/>
                <w:color w:val="auto"/>
              </w:rPr>
            </w:pPr>
            <w:r>
              <w:rPr>
                <w:rFonts w:ascii="Arial" w:cs="Arial" w:eastAsia="Arial" w:hAnsi="Arial"/>
                <w:sz w:val="15"/>
                <w:szCs w:val="15"/>
                <w:color w:val="auto"/>
              </w:rPr>
              <w:t>activities, and served as CEO and Chairman of the</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Business Development/</w:t>
            </w:r>
          </w:p>
        </w:tc>
        <w:tc>
          <w:tcPr>
            <w:tcW w:w="0" w:type="dxa"/>
            <w:vAlign w:val="bottom"/>
          </w:tcPr>
          <w:p>
            <w:pPr>
              <w:spacing w:after="0"/>
              <w:rPr>
                <w:sz w:val="1"/>
                <w:szCs w:val="1"/>
                <w:color w:val="auto"/>
              </w:rPr>
            </w:pPr>
          </w:p>
        </w:tc>
      </w:tr>
      <w:tr>
        <w:trPr>
          <w:trHeight w:val="154"/>
        </w:trPr>
        <w:tc>
          <w:tcPr>
            <w:tcW w:w="540" w:type="dxa"/>
            <w:vAlign w:val="bottom"/>
            <w:tcBorders>
              <w:left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060" w:type="dxa"/>
            <w:vAlign w:val="bottom"/>
            <w:tcBorders>
              <w:right w:val="single" w:sz="8" w:color="auto"/>
            </w:tcBorders>
          </w:tcPr>
          <w:p>
            <w:pPr>
              <w:ind w:left="100"/>
              <w:spacing w:after="0" w:line="143" w:lineRule="exact"/>
              <w:rPr>
                <w:sz w:val="20"/>
                <w:szCs w:val="20"/>
                <w:color w:val="auto"/>
              </w:rPr>
            </w:pPr>
            <w:r>
              <w:rPr>
                <w:rFonts w:ascii="Arial" w:cs="Arial" w:eastAsia="Arial" w:hAnsi="Arial"/>
                <w:sz w:val="16"/>
                <w:szCs w:val="16"/>
                <w:color w:val="auto"/>
              </w:rPr>
              <w:t>Board of Directors for Kayne Anderson’s closed-end</w:t>
            </w:r>
          </w:p>
        </w:tc>
        <w:tc>
          <w:tcPr>
            <w:tcW w:w="200" w:type="dxa"/>
            <w:vAlign w:val="bottom"/>
            <w:gridSpan w:val="2"/>
            <w:vMerge w:val="continue"/>
          </w:tcPr>
          <w:p>
            <w:pPr>
              <w:spacing w:after="0"/>
              <w:rPr>
                <w:sz w:val="12"/>
                <w:szCs w:val="12"/>
                <w:color w:val="auto"/>
              </w:rPr>
            </w:pPr>
          </w:p>
        </w:tc>
        <w:tc>
          <w:tcPr>
            <w:tcW w:w="19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0" w:type="dxa"/>
            <w:vAlign w:val="bottom"/>
            <w:tcBorders>
              <w:left w:val="single" w:sz="8" w:color="auto"/>
            </w:tcBorders>
          </w:tcPr>
          <w:p>
            <w:pPr>
              <w:spacing w:after="0"/>
              <w:rPr>
                <w:sz w:val="15"/>
                <w:szCs w:val="15"/>
                <w:color w:val="auto"/>
              </w:rPr>
            </w:pPr>
          </w:p>
        </w:tc>
        <w:tc>
          <w:tcPr>
            <w:tcW w:w="1500" w:type="dxa"/>
            <w:vAlign w:val="bottom"/>
            <w:tcBorders>
              <w:right w:val="single" w:sz="8" w:color="auto"/>
            </w:tcBorders>
            <w:gridSpan w:val="2"/>
            <w:vMerge w:val="restart"/>
          </w:tcPr>
          <w:p>
            <w:pPr>
              <w:jc w:val="center"/>
              <w:ind w:right="419"/>
              <w:spacing w:after="0"/>
              <w:rPr>
                <w:sz w:val="20"/>
                <w:szCs w:val="20"/>
                <w:color w:val="auto"/>
              </w:rPr>
            </w:pPr>
            <w:r>
              <w:rPr>
                <w:rFonts w:ascii="Arial" w:cs="Arial" w:eastAsia="Arial" w:hAnsi="Arial"/>
                <w:sz w:val="16"/>
                <w:szCs w:val="16"/>
                <w:color w:val="auto"/>
              </w:rPr>
              <w:t>Governance</w:t>
            </w:r>
          </w:p>
        </w:tc>
        <w:tc>
          <w:tcPr>
            <w:tcW w:w="406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6"/>
                <w:szCs w:val="16"/>
                <w:color w:val="auto"/>
              </w:rPr>
              <w:t>funds. Prior to joining Kayne Anderson in 2004,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right w:val="single" w:sz="8" w:color="auto"/>
            </w:tcBorders>
            <w:gridSpan w:val="2"/>
          </w:tcPr>
          <w:p>
            <w:pPr>
              <w:ind w:left="60"/>
              <w:spacing w:after="0" w:line="182" w:lineRule="exact"/>
              <w:rPr>
                <w:sz w:val="20"/>
                <w:szCs w:val="20"/>
                <w:color w:val="auto"/>
              </w:rPr>
            </w:pPr>
            <w:r>
              <w:rPr>
                <w:rFonts w:ascii="Arial" w:cs="Arial" w:eastAsia="Arial" w:hAnsi="Arial"/>
                <w:sz w:val="16"/>
                <w:szCs w:val="16"/>
                <w:color w:val="auto"/>
              </w:rPr>
              <w:t>Strategy/Commercial</w:t>
            </w:r>
          </w:p>
        </w:tc>
        <w:tc>
          <w:tcPr>
            <w:tcW w:w="0" w:type="dxa"/>
            <w:vAlign w:val="bottom"/>
          </w:tcPr>
          <w:p>
            <w:pPr>
              <w:spacing w:after="0"/>
              <w:rPr>
                <w:sz w:val="1"/>
                <w:szCs w:val="1"/>
                <w:color w:val="auto"/>
              </w:rPr>
            </w:pPr>
          </w:p>
        </w:tc>
      </w:tr>
      <w:tr>
        <w:trPr>
          <w:trHeight w:val="120"/>
        </w:trPr>
        <w:tc>
          <w:tcPr>
            <w:tcW w:w="540" w:type="dxa"/>
            <w:vAlign w:val="bottom"/>
            <w:tcBorders>
              <w:lef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Mr. McCarthy was global head of energy investment</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w:t>
            </w:r>
          </w:p>
        </w:tc>
        <w:tc>
          <w:tcPr>
            <w:tcW w:w="0" w:type="dxa"/>
            <w:vAlign w:val="bottom"/>
          </w:tcPr>
          <w:p>
            <w:pPr>
              <w:spacing w:after="0"/>
              <w:rPr>
                <w:sz w:val="1"/>
                <w:szCs w:val="1"/>
                <w:color w:val="auto"/>
              </w:rPr>
            </w:pPr>
          </w:p>
        </w:tc>
      </w:tr>
      <w:tr>
        <w:trPr>
          <w:trHeight w:val="55"/>
        </w:trPr>
        <w:tc>
          <w:tcPr>
            <w:tcW w:w="540" w:type="dxa"/>
            <w:vAlign w:val="bottom"/>
            <w:tcBorders>
              <w:lef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060" w:type="dxa"/>
            <w:vAlign w:val="bottom"/>
            <w:tcBorders>
              <w:right w:val="single" w:sz="8" w:color="auto"/>
            </w:tcBorders>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92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540" w:type="dxa"/>
            <w:vAlign w:val="bottom"/>
            <w:tcBorders>
              <w:left w:val="single" w:sz="8" w:color="auto"/>
            </w:tcBorders>
          </w:tcPr>
          <w:p>
            <w:pPr>
              <w:spacing w:after="0"/>
              <w:rPr>
                <w:sz w:val="9"/>
                <w:szCs w:val="9"/>
                <w:color w:val="auto"/>
              </w:rPr>
            </w:pPr>
          </w:p>
        </w:tc>
        <w:tc>
          <w:tcPr>
            <w:tcW w:w="1500" w:type="dxa"/>
            <w:vAlign w:val="bottom"/>
            <w:tcBorders>
              <w:right w:val="single" w:sz="8" w:color="auto"/>
            </w:tcBorders>
            <w:gridSpan w:val="2"/>
            <w:vMerge w:val="restart"/>
          </w:tcPr>
          <w:p>
            <w:pPr>
              <w:jc w:val="center"/>
              <w:ind w:right="419"/>
              <w:spacing w:after="0" w:line="175" w:lineRule="exact"/>
              <w:rPr>
                <w:sz w:val="20"/>
                <w:szCs w:val="20"/>
                <w:color w:val="auto"/>
              </w:rPr>
            </w:pPr>
            <w:r>
              <w:rPr>
                <w:rFonts w:ascii="Arial" w:cs="Arial" w:eastAsia="Arial" w:hAnsi="Arial"/>
                <w:sz w:val="16"/>
                <w:szCs w:val="16"/>
                <w:color w:val="auto"/>
              </w:rPr>
              <w:t>HSES</w:t>
            </w: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banking at UBS Securities LLC and held similar</w:t>
            </w:r>
          </w:p>
        </w:tc>
        <w:tc>
          <w:tcPr>
            <w:tcW w:w="200" w:type="dxa"/>
            <w:vAlign w:val="bottom"/>
            <w:gridSpan w:val="2"/>
            <w:vMerge w:val="continue"/>
          </w:tcPr>
          <w:p>
            <w:pPr>
              <w:spacing w:after="0"/>
              <w:rPr>
                <w:sz w:val="9"/>
                <w:szCs w:val="9"/>
                <w:color w:val="auto"/>
              </w:rPr>
            </w:pPr>
          </w:p>
        </w:tc>
        <w:tc>
          <w:tcPr>
            <w:tcW w:w="19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uto"/>
            </w:tcBorders>
          </w:tcPr>
          <w:p>
            <w:pPr>
              <w:spacing w:after="0"/>
              <w:rPr>
                <w:sz w:val="5"/>
                <w:szCs w:val="5"/>
                <w:color w:val="auto"/>
              </w:rPr>
            </w:pPr>
          </w:p>
        </w:tc>
        <w:tc>
          <w:tcPr>
            <w:tcW w:w="1500" w:type="dxa"/>
            <w:vAlign w:val="bottom"/>
            <w:tcBorders>
              <w:right w:val="single" w:sz="8" w:color="auto"/>
            </w:tcBorders>
            <w:gridSpan w:val="2"/>
            <w:vMerge w:val="continue"/>
          </w:tcPr>
          <w:p>
            <w:pPr>
              <w:spacing w:after="0"/>
              <w:rPr>
                <w:sz w:val="5"/>
                <w:szCs w:val="5"/>
                <w:color w:val="auto"/>
              </w:rPr>
            </w:pPr>
          </w:p>
        </w:tc>
        <w:tc>
          <w:tcPr>
            <w:tcW w:w="4060" w:type="dxa"/>
            <w:vAlign w:val="bottom"/>
            <w:tcBorders>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Government Relations</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positions at PaineWebber Incorporated and Dean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Witter Reynolds. Mr. McCarthy serves as a director of</w:t>
            </w: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93"/>
        </w:trPr>
        <w:tc>
          <w:tcPr>
            <w:tcW w:w="540" w:type="dxa"/>
            <w:vAlign w:val="bottom"/>
            <w:tcBorders>
              <w:left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restart"/>
          </w:tcPr>
          <w:p>
            <w:pPr>
              <w:ind w:left="100"/>
              <w:spacing w:after="0" w:line="175" w:lineRule="exact"/>
              <w:rPr>
                <w:sz w:val="20"/>
                <w:szCs w:val="20"/>
                <w:color w:val="auto"/>
              </w:rPr>
            </w:pPr>
            <w:r>
              <w:rPr>
                <w:rFonts w:ascii="Arial" w:cs="Arial" w:eastAsia="Arial" w:hAnsi="Arial"/>
                <w:sz w:val="16"/>
                <w:szCs w:val="16"/>
                <w:color w:val="auto"/>
              </w:rPr>
              <w:t>Kinetik Holdings Inc. and Chord Energy Corporation,</w:t>
            </w:r>
          </w:p>
        </w:tc>
        <w:tc>
          <w:tcPr>
            <w:tcW w:w="200" w:type="dxa"/>
            <w:vAlign w:val="bottom"/>
            <w:gridSpan w:val="2"/>
            <w:vMerge w:val="continue"/>
          </w:tcPr>
          <w:p>
            <w:pPr>
              <w:spacing w:after="0"/>
              <w:rPr>
                <w:sz w:val="8"/>
                <w:szCs w:val="8"/>
                <w:color w:val="auto"/>
              </w:rPr>
            </w:pPr>
          </w:p>
        </w:tc>
        <w:tc>
          <w:tcPr>
            <w:tcW w:w="19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540" w:type="dxa"/>
            <w:vAlign w:val="bottom"/>
            <w:tcBorders>
              <w:left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Borders>
              <w:right w:val="single" w:sz="8" w:color="auto"/>
            </w:tcBorders>
          </w:tcPr>
          <w:p>
            <w:pPr>
              <w:spacing w:after="0"/>
              <w:rPr>
                <w:sz w:val="7"/>
                <w:szCs w:val="7"/>
                <w:color w:val="auto"/>
              </w:rPr>
            </w:pPr>
          </w:p>
        </w:tc>
        <w:tc>
          <w:tcPr>
            <w:tcW w:w="4060" w:type="dxa"/>
            <w:vAlign w:val="bottom"/>
            <w:tcBorders>
              <w:right w:val="single" w:sz="8" w:color="auto"/>
            </w:tcBorders>
            <w:vMerge w:val="continue"/>
          </w:tcPr>
          <w:p>
            <w:pPr>
              <w:spacing w:after="0"/>
              <w:rPr>
                <w:sz w:val="7"/>
                <w:szCs w:val="7"/>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9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and previously served as a director of Whiting</w:t>
            </w:r>
          </w:p>
        </w:tc>
        <w:tc>
          <w:tcPr>
            <w:tcW w:w="200" w:type="dxa"/>
            <w:vAlign w:val="bottom"/>
            <w:gridSpan w:val="2"/>
            <w:vMerge w:val="continue"/>
          </w:tcPr>
          <w:p>
            <w:pPr>
              <w:spacing w:after="0"/>
              <w:rPr>
                <w:sz w:val="15"/>
                <w:szCs w:val="15"/>
                <w:color w:val="auto"/>
              </w:rPr>
            </w:pPr>
          </w:p>
        </w:tc>
        <w:tc>
          <w:tcPr>
            <w:tcW w:w="19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Petroleum Corporation (Chairman), Altus Midstream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Company, Range Resources Corporation, ONEOK,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Inc., Emerge Energy Services LP and K-Sea</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Transportation Partners L.P. He also sits on the board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of directors of the Gladney Fund, a Fort Worth based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adoption agency. Mr. McCarthy earned a BA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economics and geology from Amherst College and an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MBA in Finance from the Wharton School at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University of Pennsylvania. The Board has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determined that Mr. McCarthy is “independent” under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applicable Nasdaq and SEC rules. Mr. McCarthy’s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extensive investment management background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involvement in the energy sector, along with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breadth and depth of his market and industry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06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6"/>
                <w:szCs w:val="16"/>
                <w:color w:val="auto"/>
              </w:rPr>
              <w:t>knowledge, brings substantial experience, insight and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skill to the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5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0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262255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line="62" w:lineRule="exact"/>
        <w:rPr>
          <w:sz w:val="20"/>
          <w:szCs w:val="20"/>
          <w:color w:val="auto"/>
        </w:rPr>
      </w:pP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164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7"/>
              </w:rPr>
              <w:t>HARRY N. PEFANIS</w:t>
            </w:r>
          </w:p>
        </w:tc>
        <w:tc>
          <w:tcPr>
            <w:tcW w:w="28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Harry N. Pefanis, age 66</w:t>
            </w:r>
            <w:r>
              <w:rPr>
                <w:rFonts w:ascii="Arial" w:cs="Arial" w:eastAsia="Arial" w:hAnsi="Arial"/>
                <w:sz w:val="16"/>
                <w:szCs w:val="16"/>
                <w:color w:val="auto"/>
              </w:rPr>
              <w:t>, has served</w:t>
            </w:r>
          </w:p>
        </w:tc>
        <w:tc>
          <w:tcPr>
            <w:tcW w:w="60" w:type="dxa"/>
            <w:vAlign w:val="bottom"/>
            <w:tcBorders>
              <w:top w:val="single" w:sz="8" w:color="auto"/>
            </w:tcBorders>
          </w:tcPr>
          <w:p>
            <w:pPr>
              <w:spacing w:after="0"/>
              <w:rPr>
                <w:sz w:val="24"/>
                <w:szCs w:val="24"/>
                <w:color w:val="auto"/>
              </w:rPr>
            </w:pPr>
          </w:p>
        </w:tc>
        <w:tc>
          <w:tcPr>
            <w:tcW w:w="15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w w:val="98"/>
              </w:rPr>
              <w:t>Board Qualifications:</w:t>
            </w:r>
          </w:p>
        </w:tc>
        <w:tc>
          <w:tcPr>
            <w:tcW w:w="21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Not Independent</w:t>
            </w:r>
          </w:p>
        </w:tc>
        <w:tc>
          <w:tcPr>
            <w:tcW w:w="28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as a director of PAGP GP since</w:t>
            </w:r>
          </w:p>
        </w:tc>
        <w:tc>
          <w:tcPr>
            <w:tcW w:w="6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75"/>
        </w:trPr>
        <w:tc>
          <w:tcPr>
            <w:tcW w:w="1640" w:type="dxa"/>
            <w:vAlign w:val="bottom"/>
            <w:tcBorders>
              <w:left w:val="single" w:sz="8" w:color="auto"/>
              <w:right w:val="single" w:sz="8" w:color="auto"/>
            </w:tcBorders>
            <w:gridSpan w:val="3"/>
            <w:vMerge w:val="continue"/>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February 2017 and as President of</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5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jc w:val="center"/>
              <w:ind w:right="239"/>
              <w:spacing w:after="0"/>
              <w:rPr>
                <w:sz w:val="20"/>
                <w:szCs w:val="20"/>
                <w:color w:val="auto"/>
              </w:rPr>
            </w:pPr>
            <w:r>
              <w:rPr>
                <w:rFonts w:ascii="Arial" w:cs="Arial" w:eastAsia="Arial" w:hAnsi="Arial"/>
                <w:sz w:val="16"/>
                <w:szCs w:val="16"/>
                <w:b w:val="1"/>
                <w:bCs w:val="1"/>
                <w:i w:val="1"/>
                <w:iCs w:val="1"/>
                <w:color w:val="auto"/>
                <w:w w:val="98"/>
              </w:rPr>
              <w:t>PAGP/PAA</w:t>
            </w:r>
          </w:p>
        </w:tc>
        <w:tc>
          <w:tcPr>
            <w:tcW w:w="28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PAGP GP and GP LLC since</w:t>
            </w:r>
          </w:p>
        </w:tc>
        <w:tc>
          <w:tcPr>
            <w:tcW w:w="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162"/>
        </w:trPr>
        <w:tc>
          <w:tcPr>
            <w:tcW w:w="1640" w:type="dxa"/>
            <w:vAlign w:val="bottom"/>
            <w:tcBorders>
              <w:left w:val="single" w:sz="8" w:color="auto"/>
              <w:right w:val="single" w:sz="8" w:color="auto"/>
            </w:tcBorders>
            <w:gridSpan w:val="3"/>
          </w:tcPr>
          <w:p>
            <w:pPr>
              <w:jc w:val="center"/>
              <w:spacing w:after="0" w:line="162" w:lineRule="exact"/>
              <w:rPr>
                <w:sz w:val="20"/>
                <w:szCs w:val="20"/>
                <w:color w:val="auto"/>
              </w:rPr>
            </w:pPr>
            <w:r>
              <w:rPr>
                <w:rFonts w:ascii="Arial" w:cs="Arial" w:eastAsia="Arial" w:hAnsi="Arial"/>
                <w:sz w:val="16"/>
                <w:szCs w:val="16"/>
                <w:b w:val="1"/>
                <w:bCs w:val="1"/>
                <w:i w:val="1"/>
                <w:iCs w:val="1"/>
                <w:color w:val="auto"/>
              </w:rPr>
              <w:t>Director since</w:t>
            </w:r>
          </w:p>
        </w:tc>
        <w:tc>
          <w:tcPr>
            <w:tcW w:w="2880" w:type="dxa"/>
            <w:vAlign w:val="bottom"/>
            <w:tcBorders>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March 2021. He previously served 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auto"/>
            </w:tcBorders>
            <w:gridSpan w:val="2"/>
          </w:tcPr>
          <w:p>
            <w:pPr>
              <w:jc w:val="center"/>
              <w:ind w:left="299"/>
              <w:spacing w:after="0" w:line="175" w:lineRule="exact"/>
              <w:rPr>
                <w:sz w:val="20"/>
                <w:szCs w:val="20"/>
                <w:color w:val="auto"/>
              </w:rPr>
            </w:pPr>
            <w:r>
              <w:rPr>
                <w:rFonts w:ascii="Arial" w:cs="Arial" w:eastAsia="Arial" w:hAnsi="Arial"/>
                <w:sz w:val="16"/>
                <w:szCs w:val="16"/>
                <w:b w:val="1"/>
                <w:bCs w:val="1"/>
                <w:i w:val="1"/>
                <w:iCs w:val="1"/>
                <w:color w:val="auto"/>
              </w:rPr>
              <w:t>2017</w:t>
            </w: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President and Chief Commercial</w:t>
            </w:r>
          </w:p>
        </w:tc>
        <w:tc>
          <w:tcPr>
            <w:tcW w:w="60" w:type="dxa"/>
            <w:vAlign w:val="bottom"/>
          </w:tcPr>
          <w:p>
            <w:pPr>
              <w:spacing w:after="0"/>
              <w:rPr>
                <w:sz w:val="15"/>
                <w:szCs w:val="15"/>
                <w:color w:val="auto"/>
              </w:rPr>
            </w:pPr>
          </w:p>
        </w:tc>
        <w:tc>
          <w:tcPr>
            <w:tcW w:w="120" w:type="dxa"/>
            <w:vAlign w:val="bottom"/>
          </w:tcPr>
          <w:p>
            <w:pPr>
              <w:ind w:left="20"/>
              <w:spacing w:after="0" w:line="175" w:lineRule="exact"/>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Business Development/ Strategy/Commercial</w:t>
            </w:r>
          </w:p>
        </w:tc>
        <w:tc>
          <w:tcPr>
            <w:tcW w:w="0" w:type="dxa"/>
            <w:vAlign w:val="bottom"/>
          </w:tcPr>
          <w:p>
            <w:pPr>
              <w:spacing w:after="0"/>
              <w:rPr>
                <w:sz w:val="1"/>
                <w:szCs w:val="1"/>
                <w:color w:val="auto"/>
              </w:rPr>
            </w:pPr>
          </w:p>
        </w:tc>
      </w:tr>
      <w:tr>
        <w:trPr>
          <w:trHeight w:val="161"/>
        </w:trPr>
        <w:tc>
          <w:tcPr>
            <w:tcW w:w="340" w:type="dxa"/>
            <w:vAlign w:val="bottom"/>
            <w:tcBorders>
              <w:left w:val="single" w:sz="8" w:color="auto"/>
            </w:tcBorders>
          </w:tcPr>
          <w:p>
            <w:pPr>
              <w:spacing w:after="0"/>
              <w:rPr>
                <w:sz w:val="14"/>
                <w:szCs w:val="14"/>
                <w:color w:val="auto"/>
              </w:rPr>
            </w:pPr>
          </w:p>
        </w:tc>
        <w:tc>
          <w:tcPr>
            <w:tcW w:w="1300" w:type="dxa"/>
            <w:vAlign w:val="bottom"/>
            <w:tcBorders>
              <w:right w:val="single" w:sz="8" w:color="auto"/>
            </w:tcBorders>
            <w:gridSpan w:val="2"/>
            <w:vMerge w:val="restart"/>
          </w:tcPr>
          <w:p>
            <w:pPr>
              <w:jc w:val="center"/>
              <w:ind w:right="239"/>
              <w:spacing w:after="0"/>
              <w:rPr>
                <w:sz w:val="20"/>
                <w:szCs w:val="20"/>
                <w:color w:val="auto"/>
              </w:rPr>
            </w:pPr>
            <w:r>
              <w:rPr>
                <w:rFonts w:ascii="Arial" w:cs="Arial" w:eastAsia="Arial" w:hAnsi="Arial"/>
                <w:sz w:val="16"/>
                <w:szCs w:val="16"/>
                <w:b w:val="1"/>
                <w:bCs w:val="1"/>
                <w:i w:val="1"/>
                <w:iCs w:val="1"/>
                <w:color w:val="auto"/>
              </w:rPr>
              <w:t>President</w:t>
            </w:r>
          </w:p>
        </w:tc>
        <w:tc>
          <w:tcPr>
            <w:tcW w:w="288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6"/>
                <w:szCs w:val="16"/>
                <w:color w:val="auto"/>
              </w:rPr>
              <w:t>Officer of PAGP GP and GP LLC from</w:t>
            </w:r>
          </w:p>
        </w:tc>
        <w:tc>
          <w:tcPr>
            <w:tcW w:w="6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 Government Relations</w:t>
            </w: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2"/>
            <w:vMerge w:val="continue"/>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January 2018 until March 2021. He</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5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Committees:</w:t>
            </w: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served as President and Chief</w:t>
            </w:r>
          </w:p>
        </w:tc>
        <w:tc>
          <w:tcPr>
            <w:tcW w:w="6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Operations/​Engineering/​Construction/​Technical</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continue"/>
          </w:tcPr>
          <w:p>
            <w:pPr>
              <w:spacing w:after="0"/>
              <w:rPr>
                <w:sz w:val="5"/>
                <w:szCs w:val="5"/>
                <w:color w:val="auto"/>
              </w:rPr>
            </w:pPr>
          </w:p>
        </w:tc>
        <w:tc>
          <w:tcPr>
            <w:tcW w:w="2880" w:type="dxa"/>
            <w:vAlign w:val="bottom"/>
            <w:tcBorders>
              <w:right w:val="single" w:sz="8" w:color="auto"/>
            </w:tcBorders>
            <w:vMerge w:val="restart"/>
          </w:tcPr>
          <w:p>
            <w:pPr>
              <w:ind w:left="40"/>
              <w:spacing w:after="0" w:line="175" w:lineRule="exact"/>
              <w:rPr>
                <w:sz w:val="20"/>
                <w:szCs w:val="20"/>
                <w:color w:val="auto"/>
              </w:rPr>
            </w:pPr>
            <w:r>
              <w:rPr>
                <w:rFonts w:ascii="Arial" w:cs="Arial" w:eastAsia="Arial" w:hAnsi="Arial"/>
                <w:sz w:val="16"/>
                <w:szCs w:val="16"/>
                <w:color w:val="auto"/>
              </w:rPr>
              <w:t>Operating Officer of GP LLC from</w:t>
            </w: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5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40" w:type="dxa"/>
            <w:vAlign w:val="bottom"/>
            <w:tcBorders>
              <w:left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288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2"/>
          </w:tcPr>
          <w:p>
            <w:pPr>
              <w:jc w:val="center"/>
              <w:ind w:right="239"/>
              <w:spacing w:after="0" w:line="175" w:lineRule="exact"/>
              <w:rPr>
                <w:sz w:val="20"/>
                <w:szCs w:val="20"/>
                <w:color w:val="auto"/>
              </w:rPr>
            </w:pPr>
            <w:r>
              <w:rPr>
                <w:rFonts w:ascii="Arial" w:cs="Arial" w:eastAsia="Arial" w:hAnsi="Arial"/>
                <w:sz w:val="16"/>
                <w:szCs w:val="16"/>
                <w:color w:val="auto"/>
                <w:w w:val="99"/>
              </w:rPr>
              <w:t>None</w:t>
            </w: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PAA’s formation in 1998 through</w:t>
            </w:r>
          </w:p>
        </w:tc>
        <w:tc>
          <w:tcPr>
            <w:tcW w:w="60" w:type="dxa"/>
            <w:vAlign w:val="bottom"/>
          </w:tcPr>
          <w:p>
            <w:pPr>
              <w:spacing w:after="0"/>
              <w:rPr>
                <w:sz w:val="15"/>
                <w:szCs w:val="15"/>
                <w:color w:val="auto"/>
              </w:rPr>
            </w:pPr>
          </w:p>
        </w:tc>
        <w:tc>
          <w:tcPr>
            <w:tcW w:w="120" w:type="dxa"/>
            <w:vAlign w:val="bottom"/>
          </w:tcPr>
          <w:p>
            <w:pPr>
              <w:ind w:left="20"/>
              <w:spacing w:after="0" w:line="175" w:lineRule="exact"/>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December 2017, and as President</w:t>
            </w:r>
          </w:p>
        </w:tc>
        <w:tc>
          <w:tcPr>
            <w:tcW w:w="6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and Chief Operating Officer of PAGP</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352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GP from July 2013 through</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December 2017. He was also 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director of PAA’s former general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partner. In addition, he was Executive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Vice President — Midstream of Plains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Resources from May 1998 to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May 2001. He previously served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Plains Resources as: Senior Vice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President from February 1996 until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May 1998; Vice President — Products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Marketing from 1988 to February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1996; Manager of Products Marketing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from 1987 to 1988; and Special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Assistant for Corporate Planning from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1983 to 1987. Mr. Pefanis was also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President of several former midstream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subsidiaries of Plains Resources prior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to PAA’s formation. Mr. Pefanis served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as a director of Oasis Midstream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Partners, L.P. from July 2018 until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February 2022. He is also a director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the Memorial Hermann Foundation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and a trustee of the University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Oklahoma Foundation. Mr. Pefanis’s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involvement with PAA since its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formation and his considerable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operational, commercial, accounting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and financial experience brings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important and valuable skills to the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Board.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40" w:type="dxa"/>
            <w:vAlign w:val="bottom"/>
            <w:tcBorders>
              <w:left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spacing w:after="0"/>
              <w:rPr>
                <w:sz w:val="14"/>
                <w:szCs w:val="14"/>
                <w:color w:val="auto"/>
              </w:rPr>
            </w:pPr>
          </w:p>
        </w:tc>
        <w:tc>
          <w:tcPr>
            <w:tcW w:w="1300" w:type="dxa"/>
            <w:vAlign w:val="bottom"/>
            <w:tcBorders>
              <w:right w:val="single" w:sz="8" w:color="auto"/>
            </w:tcBorders>
            <w:gridSpan w:val="2"/>
          </w:tcPr>
          <w:p>
            <w:pPr>
              <w:jc w:val="center"/>
              <w:ind w:right="239"/>
              <w:spacing w:after="0" w:line="169" w:lineRule="exact"/>
              <w:rPr>
                <w:sz w:val="20"/>
                <w:szCs w:val="20"/>
                <w:color w:val="auto"/>
              </w:rPr>
            </w:pPr>
            <w:r>
              <w:rPr>
                <w:rFonts w:ascii="Arial" w:cs="Arial" w:eastAsia="Arial" w:hAnsi="Arial"/>
                <w:sz w:val="16"/>
                <w:szCs w:val="16"/>
                <w:b w:val="1"/>
                <w:bCs w:val="1"/>
                <w:color w:val="auto"/>
                <w:w w:val="98"/>
              </w:rPr>
              <w:t>GARY R.</w:t>
            </w:r>
          </w:p>
        </w:tc>
        <w:tc>
          <w:tcPr>
            <w:tcW w:w="288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6"/>
                <w:szCs w:val="16"/>
                <w:i w:val="1"/>
                <w:iCs w:val="1"/>
                <w:color w:val="auto"/>
              </w:rPr>
              <w:t>Gary R. Petersen, age 77</w:t>
            </w:r>
            <w:r>
              <w:rPr>
                <w:rFonts w:ascii="Arial" w:cs="Arial" w:eastAsia="Arial" w:hAnsi="Arial"/>
                <w:sz w:val="16"/>
                <w:szCs w:val="16"/>
                <w:color w:val="auto"/>
              </w:rPr>
              <w:t>, has served</w:t>
            </w:r>
          </w:p>
        </w:tc>
        <w:tc>
          <w:tcPr>
            <w:tcW w:w="60" w:type="dxa"/>
            <w:vAlign w:val="bottom"/>
          </w:tcPr>
          <w:p>
            <w:pPr>
              <w:spacing w:after="0"/>
              <w:rPr>
                <w:sz w:val="14"/>
                <w:szCs w:val="14"/>
                <w:color w:val="auto"/>
              </w:rPr>
            </w:pPr>
          </w:p>
        </w:tc>
        <w:tc>
          <w:tcPr>
            <w:tcW w:w="1500" w:type="dxa"/>
            <w:vAlign w:val="bottom"/>
            <w:tcBorders>
              <w:bottom w:val="single" w:sz="8" w:color="auto"/>
            </w:tcBorders>
            <w:gridSpan w:val="2"/>
          </w:tcPr>
          <w:p>
            <w:pPr>
              <w:ind w:left="20"/>
              <w:spacing w:after="0" w:line="169" w:lineRule="exact"/>
              <w:rPr>
                <w:sz w:val="20"/>
                <w:szCs w:val="20"/>
                <w:color w:val="auto"/>
              </w:rPr>
            </w:pPr>
            <w:r>
              <w:rPr>
                <w:rFonts w:ascii="Arial" w:cs="Arial" w:eastAsia="Arial" w:hAnsi="Arial"/>
                <w:sz w:val="16"/>
                <w:szCs w:val="16"/>
                <w:color w:val="auto"/>
                <w:w w:val="98"/>
              </w:rPr>
              <w:t>Board Qualifications:</w:t>
            </w:r>
          </w:p>
        </w:tc>
        <w:tc>
          <w:tcPr>
            <w:tcW w:w="21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gridSpan w:val="2"/>
          </w:tcPr>
          <w:p>
            <w:pPr>
              <w:jc w:val="center"/>
              <w:ind w:right="239"/>
              <w:spacing w:after="0" w:line="155" w:lineRule="exact"/>
              <w:rPr>
                <w:sz w:val="20"/>
                <w:szCs w:val="20"/>
                <w:color w:val="auto"/>
              </w:rPr>
            </w:pPr>
            <w:r>
              <w:rPr>
                <w:rFonts w:ascii="Arial" w:cs="Arial" w:eastAsia="Arial" w:hAnsi="Arial"/>
                <w:sz w:val="16"/>
                <w:szCs w:val="16"/>
                <w:b w:val="1"/>
                <w:bCs w:val="1"/>
                <w:color w:val="auto"/>
                <w:w w:val="99"/>
              </w:rPr>
              <w:t>PETERSEN</w:t>
            </w:r>
          </w:p>
        </w:tc>
        <w:tc>
          <w:tcPr>
            <w:tcW w:w="2880" w:type="dxa"/>
            <w:vAlign w:val="bottom"/>
            <w:tcBorders>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as a director of PAGP GP since</w:t>
            </w:r>
          </w:p>
        </w:tc>
        <w:tc>
          <w:tcPr>
            <w:tcW w:w="6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Public Company Experience</w:t>
            </w: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vMerge w:val="restart"/>
          </w:tcPr>
          <w:p>
            <w:pPr>
              <w:jc w:val="center"/>
              <w:ind w:right="259"/>
              <w:spacing w:after="0"/>
              <w:rPr>
                <w:sz w:val="20"/>
                <w:szCs w:val="20"/>
                <w:color w:val="auto"/>
              </w:rPr>
            </w:pPr>
            <w:r>
              <w:rPr>
                <w:rFonts w:ascii="Arial" w:cs="Arial" w:eastAsia="Arial" w:hAnsi="Arial"/>
                <w:sz w:val="16"/>
                <w:szCs w:val="16"/>
                <w:b w:val="1"/>
                <w:bCs w:val="1"/>
                <w:color w:val="auto"/>
              </w:rPr>
              <w:t>Independent</w:t>
            </w:r>
          </w:p>
        </w:tc>
        <w:tc>
          <w:tcPr>
            <w:tcW w:w="2880" w:type="dxa"/>
            <w:vAlign w:val="bottom"/>
            <w:tcBorders>
              <w:right w:val="single" w:sz="8" w:color="auto"/>
            </w:tcBorders>
            <w:vMerge w:val="restart"/>
          </w:tcPr>
          <w:p>
            <w:pPr>
              <w:ind w:left="40"/>
              <w:spacing w:after="0" w:line="175" w:lineRule="exact"/>
              <w:rPr>
                <w:sz w:val="20"/>
                <w:szCs w:val="20"/>
                <w:color w:val="auto"/>
              </w:rPr>
            </w:pPr>
            <w:r>
              <w:rPr>
                <w:rFonts w:ascii="Arial" w:cs="Arial" w:eastAsia="Arial" w:hAnsi="Arial"/>
                <w:sz w:val="16"/>
                <w:szCs w:val="16"/>
                <w:color w:val="auto"/>
              </w:rPr>
              <w:t>November 2016. He served as a</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3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40" w:type="dxa"/>
            <w:vAlign w:val="bottom"/>
            <w:tcBorders>
              <w:left w:val="single" w:sz="8" w:color="auto"/>
            </w:tcBorders>
          </w:tcPr>
          <w:p>
            <w:pPr>
              <w:spacing w:after="0"/>
              <w:rPr>
                <w:sz w:val="2"/>
                <w:szCs w:val="2"/>
                <w:color w:val="auto"/>
              </w:rPr>
            </w:pPr>
          </w:p>
        </w:tc>
        <w:tc>
          <w:tcPr>
            <w:tcW w:w="1300" w:type="dxa"/>
            <w:vAlign w:val="bottom"/>
            <w:tcBorders>
              <w:right w:val="single" w:sz="8" w:color="auto"/>
            </w:tcBorders>
            <w:gridSpan w:val="2"/>
            <w:vMerge w:val="continue"/>
          </w:tcPr>
          <w:p>
            <w:pPr>
              <w:spacing w:after="0"/>
              <w:rPr>
                <w:sz w:val="2"/>
                <w:szCs w:val="2"/>
                <w:color w:val="auto"/>
              </w:rPr>
            </w:pPr>
          </w:p>
        </w:tc>
        <w:tc>
          <w:tcPr>
            <w:tcW w:w="288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40" w:type="dxa"/>
            <w:vAlign w:val="bottom"/>
            <w:tcBorders>
              <w:left w:val="single" w:sz="8" w:color="auto"/>
            </w:tcBorders>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880" w:type="dxa"/>
            <w:vAlign w:val="bottom"/>
            <w:tcBorders>
              <w:right w:val="single" w:sz="8" w:color="auto"/>
            </w:tcBorders>
            <w:vMerge w:val="restart"/>
          </w:tcPr>
          <w:p>
            <w:pPr>
              <w:ind w:left="40"/>
              <w:spacing w:after="0" w:line="175" w:lineRule="exact"/>
              <w:rPr>
                <w:sz w:val="20"/>
                <w:szCs w:val="20"/>
                <w:color w:val="auto"/>
              </w:rPr>
            </w:pPr>
            <w:r>
              <w:rPr>
                <w:rFonts w:ascii="Arial" w:cs="Arial" w:eastAsia="Arial" w:hAnsi="Arial"/>
                <w:sz w:val="16"/>
                <w:szCs w:val="16"/>
                <w:color w:val="auto"/>
              </w:rPr>
              <w:t>director of PAA’s general partner from</w:t>
            </w:r>
          </w:p>
        </w:tc>
        <w:tc>
          <w:tcPr>
            <w:tcW w:w="6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Finance/Accounting</w:t>
            </w:r>
          </w:p>
        </w:tc>
        <w:tc>
          <w:tcPr>
            <w:tcW w:w="0" w:type="dxa"/>
            <w:vAlign w:val="bottom"/>
          </w:tcPr>
          <w:p>
            <w:pPr>
              <w:spacing w:after="0"/>
              <w:rPr>
                <w:sz w:val="1"/>
                <w:szCs w:val="1"/>
                <w:color w:val="auto"/>
              </w:rPr>
            </w:pP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80" w:type="dxa"/>
            <w:vAlign w:val="bottom"/>
            <w:tcBorders>
              <w:right w:val="single" w:sz="8" w:color="auto"/>
            </w:tcBorders>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5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40" w:type="dxa"/>
            <w:vAlign w:val="bottom"/>
            <w:tcBorders>
              <w:left w:val="single" w:sz="8" w:color="auto"/>
            </w:tcBorders>
          </w:tcPr>
          <w:p>
            <w:pPr>
              <w:spacing w:after="0"/>
              <w:rPr>
                <w:sz w:val="8"/>
                <w:szCs w:val="8"/>
                <w:color w:val="auto"/>
              </w:rPr>
            </w:pPr>
          </w:p>
        </w:tc>
        <w:tc>
          <w:tcPr>
            <w:tcW w:w="1300" w:type="dxa"/>
            <w:vAlign w:val="bottom"/>
            <w:tcBorders>
              <w:right w:val="single" w:sz="8" w:color="auto"/>
            </w:tcBorders>
            <w:gridSpan w:val="2"/>
            <w:vMerge w:val="restart"/>
          </w:tcPr>
          <w:p>
            <w:pPr>
              <w:jc w:val="center"/>
              <w:ind w:right="239"/>
              <w:spacing w:after="0"/>
              <w:rPr>
                <w:sz w:val="20"/>
                <w:szCs w:val="20"/>
                <w:color w:val="auto"/>
              </w:rPr>
            </w:pPr>
            <w:r>
              <w:rPr>
                <w:rFonts w:ascii="Arial" w:cs="Arial" w:eastAsia="Arial" w:hAnsi="Arial"/>
                <w:sz w:val="16"/>
                <w:szCs w:val="16"/>
                <w:b w:val="1"/>
                <w:bCs w:val="1"/>
                <w:i w:val="1"/>
                <w:iCs w:val="1"/>
                <w:color w:val="auto"/>
                <w:w w:val="98"/>
              </w:rPr>
              <w:t>PAGP/PAA</w:t>
            </w:r>
          </w:p>
        </w:tc>
        <w:tc>
          <w:tcPr>
            <w:tcW w:w="28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June 2001 until November 2016.</w:t>
            </w: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352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40" w:type="dxa"/>
            <w:vAlign w:val="bottom"/>
            <w:tcBorders>
              <w:left w:val="single" w:sz="8" w:color="auto"/>
            </w:tcBorders>
          </w:tcPr>
          <w:p>
            <w:pPr>
              <w:spacing w:after="0"/>
              <w:rPr>
                <w:sz w:val="9"/>
                <w:szCs w:val="9"/>
                <w:color w:val="auto"/>
              </w:rPr>
            </w:pPr>
          </w:p>
        </w:tc>
        <w:tc>
          <w:tcPr>
            <w:tcW w:w="1300" w:type="dxa"/>
            <w:vAlign w:val="bottom"/>
            <w:tcBorders>
              <w:right w:val="single" w:sz="8" w:color="auto"/>
            </w:tcBorders>
            <w:gridSpan w:val="2"/>
            <w:vMerge w:val="continue"/>
          </w:tcPr>
          <w:p>
            <w:pPr>
              <w:spacing w:after="0"/>
              <w:rPr>
                <w:sz w:val="9"/>
                <w:szCs w:val="9"/>
                <w:color w:val="auto"/>
              </w:rPr>
            </w:pPr>
          </w:p>
        </w:tc>
        <w:tc>
          <w:tcPr>
            <w:tcW w:w="28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2"/>
          </w:tcPr>
          <w:p>
            <w:pPr>
              <w:jc w:val="center"/>
              <w:ind w:right="239"/>
              <w:spacing w:after="0" w:line="175" w:lineRule="exact"/>
              <w:rPr>
                <w:sz w:val="20"/>
                <w:szCs w:val="20"/>
                <w:color w:val="auto"/>
              </w:rPr>
            </w:pPr>
            <w:r>
              <w:rPr>
                <w:rFonts w:ascii="Arial" w:cs="Arial" w:eastAsia="Arial" w:hAnsi="Arial"/>
                <w:sz w:val="16"/>
                <w:szCs w:val="16"/>
                <w:b w:val="1"/>
                <w:bCs w:val="1"/>
                <w:i w:val="1"/>
                <w:iCs w:val="1"/>
                <w:color w:val="auto"/>
              </w:rPr>
              <w:t>Director</w:t>
            </w: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Mr. Petersen is a Managing Partner of</w:t>
            </w:r>
          </w:p>
        </w:tc>
        <w:tc>
          <w:tcPr>
            <w:tcW w:w="60" w:type="dxa"/>
            <w:vAlign w:val="bottom"/>
          </w:tcPr>
          <w:p>
            <w:pPr>
              <w:spacing w:after="0"/>
              <w:rPr>
                <w:sz w:val="15"/>
                <w:szCs w:val="15"/>
                <w:color w:val="auto"/>
              </w:rPr>
            </w:pPr>
          </w:p>
        </w:tc>
        <w:tc>
          <w:tcPr>
            <w:tcW w:w="120" w:type="dxa"/>
            <w:vAlign w:val="bottom"/>
          </w:tcPr>
          <w:p>
            <w:pPr>
              <w:ind w:left="20"/>
              <w:spacing w:after="0" w:line="175" w:lineRule="exact"/>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tcPr>
          <w:p>
            <w:pPr>
              <w:ind w:left="60"/>
              <w:spacing w:after="0" w:line="175" w:lineRule="exact"/>
              <w:rPr>
                <w:sz w:val="20"/>
                <w:szCs w:val="20"/>
                <w:color w:val="auto"/>
              </w:rPr>
            </w:pPr>
            <w:r>
              <w:rPr>
                <w:rFonts w:ascii="Arial" w:cs="Arial" w:eastAsia="Arial" w:hAnsi="Arial"/>
                <w:sz w:val="16"/>
                <w:szCs w:val="16"/>
                <w:color w:val="auto"/>
              </w:rPr>
              <w:t>Business Development/ Strategy/Commercial</w:t>
            </w:r>
          </w:p>
        </w:tc>
        <w:tc>
          <w:tcPr>
            <w:tcW w:w="0" w:type="dxa"/>
            <w:vAlign w:val="bottom"/>
          </w:tcPr>
          <w:p>
            <w:pPr>
              <w:spacing w:after="0"/>
              <w:rPr>
                <w:sz w:val="1"/>
                <w:szCs w:val="1"/>
                <w:color w:val="auto"/>
              </w:rPr>
            </w:pPr>
          </w:p>
        </w:tc>
      </w:tr>
      <w:tr>
        <w:trPr>
          <w:trHeight w:val="161"/>
        </w:trPr>
        <w:tc>
          <w:tcPr>
            <w:tcW w:w="340" w:type="dxa"/>
            <w:vAlign w:val="bottom"/>
            <w:tcBorders>
              <w:left w:val="single" w:sz="8" w:color="auto"/>
            </w:tcBorders>
          </w:tcPr>
          <w:p>
            <w:pPr>
              <w:spacing w:after="0"/>
              <w:rPr>
                <w:sz w:val="14"/>
                <w:szCs w:val="14"/>
                <w:color w:val="auto"/>
              </w:rPr>
            </w:pPr>
          </w:p>
        </w:tc>
        <w:tc>
          <w:tcPr>
            <w:tcW w:w="1300" w:type="dxa"/>
            <w:vAlign w:val="bottom"/>
            <w:tcBorders>
              <w:right w:val="single" w:sz="8" w:color="auto"/>
            </w:tcBorders>
            <w:gridSpan w:val="2"/>
          </w:tcPr>
          <w:p>
            <w:pPr>
              <w:jc w:val="center"/>
              <w:ind w:right="239"/>
              <w:spacing w:after="0" w:line="161" w:lineRule="exact"/>
              <w:rPr>
                <w:sz w:val="20"/>
                <w:szCs w:val="20"/>
                <w:color w:val="auto"/>
              </w:rPr>
            </w:pPr>
            <w:r>
              <w:rPr>
                <w:rFonts w:ascii="Arial" w:cs="Arial" w:eastAsia="Arial" w:hAnsi="Arial"/>
                <w:sz w:val="16"/>
                <w:szCs w:val="16"/>
                <w:b w:val="1"/>
                <w:bCs w:val="1"/>
                <w:i w:val="1"/>
                <w:iCs w:val="1"/>
                <w:color w:val="auto"/>
              </w:rPr>
              <w:t>since 2001</w:t>
            </w:r>
          </w:p>
        </w:tc>
        <w:tc>
          <w:tcPr>
            <w:tcW w:w="2880" w:type="dxa"/>
            <w:vAlign w:val="bottom"/>
            <w:tcBorders>
              <w:right w:val="single" w:sz="8" w:color="auto"/>
            </w:tcBorders>
          </w:tcPr>
          <w:p>
            <w:pPr>
              <w:ind w:left="40"/>
              <w:spacing w:after="0" w:line="161" w:lineRule="exact"/>
              <w:rPr>
                <w:sz w:val="20"/>
                <w:szCs w:val="20"/>
                <w:color w:val="auto"/>
              </w:rPr>
            </w:pPr>
            <w:r>
              <w:rPr>
                <w:rFonts w:ascii="Arial" w:cs="Arial" w:eastAsia="Arial" w:hAnsi="Arial"/>
                <w:sz w:val="16"/>
                <w:szCs w:val="16"/>
                <w:color w:val="auto"/>
              </w:rPr>
              <w:t>EnCap, an investment management</w:t>
            </w:r>
          </w:p>
        </w:tc>
        <w:tc>
          <w:tcPr>
            <w:tcW w:w="6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Legal/Governance/ Government Relations</w:t>
            </w:r>
          </w:p>
        </w:tc>
        <w:tc>
          <w:tcPr>
            <w:tcW w:w="0" w:type="dxa"/>
            <w:vAlign w:val="bottom"/>
          </w:tcPr>
          <w:p>
            <w:pPr>
              <w:spacing w:after="0"/>
              <w:rPr>
                <w:sz w:val="1"/>
                <w:szCs w:val="1"/>
                <w:color w:val="auto"/>
              </w:rPr>
            </w:pPr>
          </w:p>
        </w:tc>
      </w:tr>
      <w:tr>
        <w:trPr>
          <w:trHeight w:val="147"/>
        </w:trPr>
        <w:tc>
          <w:tcPr>
            <w:tcW w:w="340" w:type="dxa"/>
            <w:vAlign w:val="bottom"/>
            <w:tcBorders>
              <w:left w:val="single" w:sz="8" w:color="auto"/>
            </w:tcBorders>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w w:val="98"/>
              </w:rPr>
              <w:t>Committees</w:t>
            </w:r>
          </w:p>
        </w:tc>
        <w:tc>
          <w:tcPr>
            <w:tcW w:w="380" w:type="dxa"/>
            <w:vAlign w:val="bottom"/>
            <w:tcBorders>
              <w:right w:val="single" w:sz="8" w:color="auto"/>
            </w:tcBorders>
            <w:vMerge w:val="restart"/>
          </w:tcPr>
          <w:p>
            <w:pPr>
              <w:jc w:val="right"/>
              <w:ind w:right="239"/>
              <w:spacing w:after="0"/>
              <w:rPr>
                <w:sz w:val="20"/>
                <w:szCs w:val="20"/>
                <w:color w:val="auto"/>
              </w:rPr>
            </w:pPr>
            <w:r>
              <w:rPr>
                <w:rFonts w:ascii="Arial" w:cs="Arial" w:eastAsia="Arial" w:hAnsi="Arial"/>
                <w:sz w:val="16"/>
                <w:szCs w:val="16"/>
                <w:b w:val="1"/>
                <w:bCs w:val="1"/>
                <w:color w:val="auto"/>
                <w:w w:val="74"/>
              </w:rPr>
              <w:t>:</w:t>
            </w:r>
          </w:p>
        </w:tc>
        <w:tc>
          <w:tcPr>
            <w:tcW w:w="2880" w:type="dxa"/>
            <w:vAlign w:val="bottom"/>
            <w:tcBorders>
              <w:right w:val="single" w:sz="8" w:color="auto"/>
            </w:tcBorders>
            <w:vMerge w:val="restart"/>
          </w:tcPr>
          <w:p>
            <w:pPr>
              <w:ind w:left="40"/>
              <w:spacing w:after="0" w:line="175" w:lineRule="exact"/>
              <w:rPr>
                <w:sz w:val="20"/>
                <w:szCs w:val="20"/>
                <w:color w:val="auto"/>
              </w:rPr>
            </w:pPr>
            <w:r>
              <w:rPr>
                <w:rFonts w:ascii="Arial" w:cs="Arial" w:eastAsia="Arial" w:hAnsi="Arial"/>
                <w:sz w:val="16"/>
                <w:szCs w:val="16"/>
                <w:color w:val="auto"/>
              </w:rPr>
              <w:t>firm which he co-founded in 1988. He</w:t>
            </w:r>
          </w:p>
        </w:tc>
        <w:tc>
          <w:tcPr>
            <w:tcW w:w="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35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340" w:type="dxa"/>
            <w:vAlign w:val="bottom"/>
            <w:tcBorders>
              <w:left w:val="single" w:sz="8" w:color="auto"/>
            </w:tcBorders>
          </w:tcPr>
          <w:p>
            <w:pPr>
              <w:spacing w:after="0"/>
              <w:rPr>
                <w:sz w:val="2"/>
                <w:szCs w:val="2"/>
                <w:color w:val="auto"/>
              </w:rPr>
            </w:pPr>
          </w:p>
        </w:tc>
        <w:tc>
          <w:tcPr>
            <w:tcW w:w="920" w:type="dxa"/>
            <w:vAlign w:val="bottom"/>
            <w:vMerge w:val="continue"/>
          </w:tcPr>
          <w:p>
            <w:pPr>
              <w:spacing w:after="0"/>
              <w:rPr>
                <w:sz w:val="2"/>
                <w:szCs w:val="2"/>
                <w:color w:val="auto"/>
              </w:rPr>
            </w:pPr>
          </w:p>
        </w:tc>
        <w:tc>
          <w:tcPr>
            <w:tcW w:w="380" w:type="dxa"/>
            <w:vAlign w:val="bottom"/>
            <w:tcBorders>
              <w:right w:val="single" w:sz="8" w:color="auto"/>
            </w:tcBorders>
            <w:vMerge w:val="continue"/>
          </w:tcPr>
          <w:p>
            <w:pPr>
              <w:spacing w:after="0"/>
              <w:rPr>
                <w:sz w:val="2"/>
                <w:szCs w:val="2"/>
                <w:color w:val="auto"/>
              </w:rPr>
            </w:pPr>
          </w:p>
        </w:tc>
        <w:tc>
          <w:tcPr>
            <w:tcW w:w="288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340" w:type="dxa"/>
            <w:vAlign w:val="bottom"/>
            <w:tcBorders>
              <w:left w:val="single" w:sz="8" w:color="auto"/>
            </w:tcBorders>
            <w:vMerge w:val="restart"/>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880" w:type="dxa"/>
            <w:vAlign w:val="bottom"/>
            <w:tcBorders>
              <w:right w:val="single" w:sz="8" w:color="auto"/>
            </w:tcBorders>
            <w:vMerge w:val="restart"/>
          </w:tcPr>
          <w:p>
            <w:pPr>
              <w:ind w:left="40"/>
              <w:spacing w:after="0"/>
              <w:rPr>
                <w:sz w:val="20"/>
                <w:szCs w:val="20"/>
                <w:color w:val="auto"/>
              </w:rPr>
            </w:pPr>
            <w:r>
              <w:rPr>
                <w:rFonts w:ascii="Arial" w:cs="Arial" w:eastAsia="Arial" w:hAnsi="Arial"/>
                <w:sz w:val="16"/>
                <w:szCs w:val="16"/>
                <w:color w:val="auto"/>
              </w:rPr>
              <w:t>also served as a director of EV Energy</w:t>
            </w:r>
          </w:p>
        </w:tc>
        <w:tc>
          <w:tcPr>
            <w:tcW w:w="6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Industry Experience</w:t>
            </w:r>
          </w:p>
        </w:tc>
        <w:tc>
          <w:tcPr>
            <w:tcW w:w="0" w:type="dxa"/>
            <w:vAlign w:val="bottom"/>
          </w:tcPr>
          <w:p>
            <w:pPr>
              <w:spacing w:after="0"/>
              <w:rPr>
                <w:sz w:val="1"/>
                <w:szCs w:val="1"/>
                <w:color w:val="auto"/>
              </w:rPr>
            </w:pPr>
          </w:p>
        </w:tc>
      </w:tr>
      <w:tr>
        <w:trPr>
          <w:trHeight w:val="61"/>
        </w:trPr>
        <w:tc>
          <w:tcPr>
            <w:tcW w:w="340" w:type="dxa"/>
            <w:vAlign w:val="bottom"/>
            <w:tcBorders>
              <w:lef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Borders>
              <w:right w:val="single" w:sz="8" w:color="auto"/>
            </w:tcBorders>
            <w:vMerge w:val="continue"/>
          </w:tcPr>
          <w:p>
            <w:pPr>
              <w:spacing w:after="0"/>
              <w:rPr>
                <w:sz w:val="5"/>
                <w:szCs w:val="5"/>
                <w:color w:val="auto"/>
              </w:rPr>
            </w:pPr>
          </w:p>
        </w:tc>
        <w:tc>
          <w:tcPr>
            <w:tcW w:w="288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5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color w:val="auto"/>
              </w:rPr>
              <w:t>Compensation</w:t>
            </w:r>
          </w:p>
        </w:tc>
        <w:tc>
          <w:tcPr>
            <w:tcW w:w="2880" w:type="dxa"/>
            <w:vAlign w:val="bottom"/>
            <w:tcBorders>
              <w:right w:val="single" w:sz="8" w:color="auto"/>
            </w:tcBorders>
          </w:tcPr>
          <w:p>
            <w:pPr>
              <w:ind w:left="40"/>
              <w:spacing w:after="0" w:line="134" w:lineRule="exact"/>
              <w:rPr>
                <w:sz w:val="20"/>
                <w:szCs w:val="20"/>
                <w:color w:val="auto"/>
              </w:rPr>
            </w:pPr>
            <w:r>
              <w:rPr>
                <w:rFonts w:ascii="Arial" w:cs="Arial" w:eastAsia="Arial" w:hAnsi="Arial"/>
                <w:sz w:val="15"/>
                <w:szCs w:val="15"/>
                <w:color w:val="auto"/>
              </w:rPr>
              <w:t>Partners, L.P. from September 2006</w:t>
            </w:r>
          </w:p>
        </w:tc>
        <w:tc>
          <w:tcPr>
            <w:tcW w:w="60" w:type="dxa"/>
            <w:vAlign w:val="bottom"/>
          </w:tcPr>
          <w:p>
            <w:pPr>
              <w:spacing w:after="0"/>
              <w:rPr>
                <w:sz w:val="11"/>
                <w:szCs w:val="11"/>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Private Equity</w:t>
            </w:r>
          </w:p>
        </w:tc>
        <w:tc>
          <w:tcPr>
            <w:tcW w:w="0" w:type="dxa"/>
            <w:vAlign w:val="bottom"/>
          </w:tcPr>
          <w:p>
            <w:pPr>
              <w:spacing w:after="0"/>
              <w:rPr>
                <w:sz w:val="1"/>
                <w:szCs w:val="1"/>
                <w:color w:val="auto"/>
              </w:rPr>
            </w:pPr>
          </w:p>
        </w:tc>
      </w:tr>
      <w:tr>
        <w:trPr>
          <w:trHeight w:val="107"/>
        </w:trPr>
        <w:tc>
          <w:tcPr>
            <w:tcW w:w="1640" w:type="dxa"/>
            <w:vAlign w:val="bottom"/>
            <w:tcBorders>
              <w:left w:val="single" w:sz="8" w:color="auto"/>
              <w:right w:val="single" w:sz="8" w:color="auto"/>
            </w:tcBorders>
            <w:gridSpan w:val="3"/>
            <w:vMerge w:val="continue"/>
          </w:tcPr>
          <w:p>
            <w:pPr>
              <w:spacing w:after="0"/>
              <w:rPr>
                <w:sz w:val="9"/>
                <w:szCs w:val="9"/>
                <w:color w:val="auto"/>
              </w:rPr>
            </w:pPr>
          </w:p>
        </w:tc>
        <w:tc>
          <w:tcPr>
            <w:tcW w:w="2880" w:type="dxa"/>
            <w:vAlign w:val="bottom"/>
            <w:tcBorders>
              <w:right w:val="single" w:sz="8" w:color="auto"/>
            </w:tcBorders>
            <w:vMerge w:val="restart"/>
          </w:tcPr>
          <w:p>
            <w:pPr>
              <w:ind w:left="40"/>
              <w:spacing w:after="0" w:line="175" w:lineRule="exact"/>
              <w:rPr>
                <w:sz w:val="20"/>
                <w:szCs w:val="20"/>
                <w:color w:val="auto"/>
              </w:rPr>
            </w:pPr>
            <w:r>
              <w:rPr>
                <w:rFonts w:ascii="Arial" w:cs="Arial" w:eastAsia="Arial" w:hAnsi="Arial"/>
                <w:sz w:val="16"/>
                <w:szCs w:val="16"/>
                <w:color w:val="auto"/>
              </w:rPr>
              <w:t>until June 2018. He had previously</w:t>
            </w:r>
          </w:p>
        </w:tc>
        <w:tc>
          <w:tcPr>
            <w:tcW w:w="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35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340" w:type="dxa"/>
            <w:vAlign w:val="bottom"/>
            <w:tcBorders>
              <w:left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288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5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1300" w:type="dxa"/>
            <w:vAlign w:val="bottom"/>
            <w:tcBorders>
              <w:right w:val="single" w:sz="8" w:color="auto"/>
            </w:tcBorders>
            <w:gridSpan w:val="2"/>
          </w:tcPr>
          <w:p>
            <w:pPr>
              <w:jc w:val="center"/>
              <w:ind w:right="259"/>
              <w:spacing w:after="0" w:line="175" w:lineRule="exact"/>
              <w:rPr>
                <w:sz w:val="20"/>
                <w:szCs w:val="20"/>
                <w:color w:val="auto"/>
              </w:rPr>
            </w:pPr>
            <w:r>
              <w:rPr>
                <w:rFonts w:ascii="Arial" w:cs="Arial" w:eastAsia="Arial" w:hAnsi="Arial"/>
                <w:sz w:val="16"/>
                <w:szCs w:val="16"/>
                <w:color w:val="auto"/>
              </w:rPr>
              <w:t>Governance</w:t>
            </w: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served as Senior Vice President and</w:t>
            </w:r>
          </w:p>
        </w:tc>
        <w:tc>
          <w:tcPr>
            <w:tcW w:w="6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35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International</w:t>
            </w:r>
          </w:p>
        </w:tc>
        <w:tc>
          <w:tcPr>
            <w:tcW w:w="0" w:type="dxa"/>
            <w:vAlign w:val="bottom"/>
          </w:tcPr>
          <w:p>
            <w:pPr>
              <w:spacing w:after="0"/>
              <w:rPr>
                <w:sz w:val="1"/>
                <w:szCs w:val="1"/>
                <w:color w:val="auto"/>
              </w:rPr>
            </w:pPr>
          </w:p>
        </w:tc>
      </w:tr>
      <w:tr>
        <w:trPr>
          <w:trHeight w:val="134"/>
        </w:trPr>
        <w:tc>
          <w:tcPr>
            <w:tcW w:w="340" w:type="dxa"/>
            <w:vAlign w:val="bottom"/>
            <w:tcBorders>
              <w:lef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880" w:type="dxa"/>
            <w:vAlign w:val="bottom"/>
            <w:tcBorders>
              <w:right w:val="single" w:sz="8" w:color="auto"/>
            </w:tcBorders>
            <w:vMerge w:val="restart"/>
          </w:tcPr>
          <w:p>
            <w:pPr>
              <w:ind w:left="40"/>
              <w:spacing w:after="0" w:line="175" w:lineRule="exact"/>
              <w:rPr>
                <w:sz w:val="20"/>
                <w:szCs w:val="20"/>
                <w:color w:val="auto"/>
              </w:rPr>
            </w:pPr>
            <w:r>
              <w:rPr>
                <w:rFonts w:ascii="Arial" w:cs="Arial" w:eastAsia="Arial" w:hAnsi="Arial"/>
                <w:sz w:val="16"/>
                <w:szCs w:val="16"/>
                <w:color w:val="auto"/>
              </w:rPr>
              <w:t>Manager of the Corporate Finance</w:t>
            </w:r>
          </w:p>
        </w:tc>
        <w:tc>
          <w:tcPr>
            <w:tcW w:w="6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352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340" w:type="dxa"/>
            <w:vAlign w:val="bottom"/>
            <w:tcBorders>
              <w:left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288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14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Division of the Energy Banking Group</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for RepublicBank Corporation. Prior to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his position at RepublicBank, he was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Executive Vice President and 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member of the Board of Directors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Nicklos Oil &amp; Gas Company from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1979 to 1984. He served from 1970 to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1971 in the U.S. Army as a First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Lieutenant in the Finance Corps and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as an Army Officer in the Army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Security Agency. He is a member of</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the Independent Petroleum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Association of America, the Houston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Producers Forum and the Petroleum</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Club of Houston. Mr. Petersen is 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director of the Memorial Hermann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Health System and the Houston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Museum of Natural Science. He also</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sits on the board of trustees of The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Council on Recovery. Mr. Petersen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holds BBA and MBA degrees in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finance from Texas Tech University.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The Board has determined that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Mr. Petersen is “independent” under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applicable Nasdaq and SEC rules.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Mr. Petersen has been involved in the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energy sector for over 35 years,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garnering extensive knowledge of the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energy sectors’ various cycles, as well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2880" w:type="dxa"/>
            <w:vAlign w:val="bottom"/>
            <w:tcBorders>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as the current market and industry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1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40" w:type="dxa"/>
            <w:vAlign w:val="bottom"/>
            <w:tcBorders>
              <w:lef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88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knowledge that comes with</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340" w:type="dxa"/>
            <w:vAlign w:val="bottom"/>
            <w:tcBorders>
              <w:left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8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9879"/>
          </w:cols>
          <w:pgMar w:left="580" w:top="97" w:right="1440" w:bottom="0" w:gutter="0" w:footer="0" w:header="0"/>
        </w:sectPr>
      </w:pPr>
    </w:p>
    <w:bookmarkStart w:id="28" w:name="page29"/>
    <w:bookmarkEnd w:id="28"/>
    <w:p>
      <w:pPr>
        <w:ind w:left="2080"/>
        <w:spacing w:after="0"/>
        <w:rPr>
          <w:sz w:val="20"/>
          <w:szCs w:val="20"/>
          <w:color w:val="auto"/>
        </w:rPr>
      </w:pPr>
      <w:r>
        <w:rPr>
          <w:rFonts w:ascii="Arial" w:cs="Arial" w:eastAsia="Arial" w:hAnsi="Arial"/>
          <w:sz w:val="16"/>
          <w:szCs w:val="16"/>
          <w:color w:val="auto"/>
        </w:rPr>
        <w:t>management of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-99695</wp:posOffset>
            </wp:positionV>
            <wp:extent cx="5212080" cy="822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822960"/>
                    </a:xfrm>
                    <a:prstGeom prst="rect">
                      <a:avLst/>
                    </a:prstGeom>
                    <a:noFill/>
                  </pic:spPr>
                </pic:pic>
              </a:graphicData>
            </a:graphic>
          </wp:anchor>
        </w:drawing>
      </w:r>
    </w:p>
    <w:p>
      <w:pPr>
        <w:ind w:left="2080"/>
        <w:spacing w:after="0" w:line="236" w:lineRule="auto"/>
        <w:rPr>
          <w:sz w:val="20"/>
          <w:szCs w:val="20"/>
          <w:color w:val="auto"/>
        </w:rPr>
      </w:pPr>
      <w:r>
        <w:rPr>
          <w:rFonts w:ascii="Arial" w:cs="Arial" w:eastAsia="Arial" w:hAnsi="Arial"/>
          <w:sz w:val="16"/>
          <w:szCs w:val="16"/>
          <w:color w:val="auto"/>
        </w:rPr>
        <w:t>$18 billion of energy-related</w:t>
      </w:r>
    </w:p>
    <w:p>
      <w:pPr>
        <w:ind w:left="2080"/>
        <w:spacing w:after="0" w:line="229" w:lineRule="auto"/>
        <w:rPr>
          <w:sz w:val="20"/>
          <w:szCs w:val="20"/>
          <w:color w:val="auto"/>
        </w:rPr>
      </w:pPr>
      <w:r>
        <w:rPr>
          <w:rFonts w:ascii="Arial" w:cs="Arial" w:eastAsia="Arial" w:hAnsi="Arial"/>
          <w:sz w:val="16"/>
          <w:szCs w:val="16"/>
          <w:color w:val="auto"/>
        </w:rPr>
        <w:t>investments. In tandem with the</w:t>
      </w:r>
    </w:p>
    <w:p>
      <w:pPr>
        <w:ind w:left="2080"/>
        <w:spacing w:after="0" w:line="229" w:lineRule="auto"/>
        <w:rPr>
          <w:sz w:val="20"/>
          <w:szCs w:val="20"/>
          <w:color w:val="auto"/>
        </w:rPr>
      </w:pPr>
      <w:r>
        <w:rPr>
          <w:rFonts w:ascii="Arial" w:cs="Arial" w:eastAsia="Arial" w:hAnsi="Arial"/>
          <w:sz w:val="16"/>
          <w:szCs w:val="16"/>
          <w:color w:val="auto"/>
        </w:rPr>
        <w:t>leadership qualities evidenced by his</w:t>
      </w:r>
    </w:p>
    <w:p>
      <w:pPr>
        <w:ind w:left="2080"/>
        <w:spacing w:after="0" w:line="229" w:lineRule="auto"/>
        <w:rPr>
          <w:sz w:val="20"/>
          <w:szCs w:val="20"/>
          <w:color w:val="auto"/>
        </w:rPr>
      </w:pPr>
      <w:r>
        <w:rPr>
          <w:rFonts w:ascii="Arial" w:cs="Arial" w:eastAsia="Arial" w:hAnsi="Arial"/>
          <w:sz w:val="16"/>
          <w:szCs w:val="16"/>
          <w:color w:val="auto"/>
        </w:rPr>
        <w:t>executive background, we believe that</w:t>
      </w:r>
    </w:p>
    <w:p>
      <w:pPr>
        <w:ind w:left="2080"/>
        <w:spacing w:after="0" w:line="229" w:lineRule="auto"/>
        <w:rPr>
          <w:sz w:val="20"/>
          <w:szCs w:val="20"/>
          <w:color w:val="auto"/>
        </w:rPr>
      </w:pPr>
      <w:r>
        <w:rPr>
          <w:rFonts w:ascii="Arial" w:cs="Arial" w:eastAsia="Arial" w:hAnsi="Arial"/>
          <w:sz w:val="16"/>
          <w:szCs w:val="16"/>
          <w:color w:val="auto"/>
        </w:rPr>
        <w:t>Mr. Petersen brings numerous</w:t>
      </w:r>
    </w:p>
    <w:p>
      <w:pPr>
        <w:ind w:left="2080"/>
        <w:spacing w:after="0"/>
        <w:rPr>
          <w:sz w:val="20"/>
          <w:szCs w:val="20"/>
          <w:color w:val="auto"/>
        </w:rPr>
      </w:pPr>
      <w:r>
        <w:rPr>
          <w:rFonts w:ascii="Arial" w:cs="Arial" w:eastAsia="Arial" w:hAnsi="Arial"/>
          <w:sz w:val="16"/>
          <w:szCs w:val="16"/>
          <w:color w:val="auto"/>
        </w:rPr>
        <w:t>valuable attributes to the Board.</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ind w:left="1260" w:right="520" w:firstLine="360"/>
        <w:spacing w:after="0" w:line="261" w:lineRule="auto"/>
        <w:rPr>
          <w:sz w:val="20"/>
          <w:szCs w:val="20"/>
          <w:color w:val="auto"/>
        </w:rPr>
      </w:pPr>
      <w:r>
        <w:rPr>
          <w:rFonts w:ascii="Arial" w:cs="Arial" w:eastAsia="Arial" w:hAnsi="Arial"/>
          <w:sz w:val="18"/>
          <w:szCs w:val="18"/>
          <w:color w:val="auto"/>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p>
    <w:p>
      <w:pPr>
        <w:spacing w:after="0" w:line="140"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000" w:type="dxa"/>
            <w:vAlign w:val="bottom"/>
            <w:tcBorders>
              <w:left w:val="single" w:sz="8" w:color="424E6A"/>
            </w:tcBorders>
            <w:shd w:val="clear" w:color="auto" w:fill="424E6A"/>
          </w:tcPr>
          <w:p>
            <w:pPr>
              <w:spacing w:after="0"/>
              <w:rPr>
                <w:sz w:val="17"/>
                <w:szCs w:val="17"/>
                <w:color w:val="auto"/>
              </w:rPr>
            </w:pPr>
          </w:p>
        </w:tc>
        <w:tc>
          <w:tcPr>
            <w:tcW w:w="540" w:type="dxa"/>
            <w:vAlign w:val="bottom"/>
            <w:tcBorders>
              <w:right w:val="single" w:sz="8" w:color="424E6A"/>
            </w:tcBorders>
            <w:shd w:val="clear" w:color="auto" w:fill="424E6A"/>
          </w:tcPr>
          <w:p>
            <w:pPr>
              <w:spacing w:after="0"/>
              <w:rPr>
                <w:sz w:val="17"/>
                <w:szCs w:val="17"/>
                <w:color w:val="auto"/>
              </w:rPr>
            </w:pPr>
          </w:p>
        </w:tc>
        <w:tc>
          <w:tcPr>
            <w:tcW w:w="880" w:type="dxa"/>
            <w:vAlign w:val="bottom"/>
            <w:shd w:val="clear" w:color="auto" w:fill="424E6A"/>
          </w:tcPr>
          <w:p>
            <w:pPr>
              <w:jc w:val="center"/>
              <w:ind w:left="183"/>
              <w:spacing w:after="0"/>
              <w:rPr>
                <w:sz w:val="20"/>
                <w:szCs w:val="20"/>
                <w:color w:val="auto"/>
              </w:rPr>
            </w:pPr>
            <w:r>
              <w:rPr>
                <w:rFonts w:ascii="Arial" w:cs="Arial" w:eastAsia="Arial" w:hAnsi="Arial"/>
                <w:sz w:val="14"/>
                <w:szCs w:val="14"/>
                <w:b w:val="1"/>
                <w:bCs w:val="1"/>
                <w:color w:val="FFFFFF"/>
                <w:w w:val="98"/>
              </w:rPr>
              <w:t>Age</w:t>
            </w: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4900" w:type="dxa"/>
            <w:vAlign w:val="bottom"/>
            <w:tcBorders>
              <w:right w:val="single" w:sz="8" w:color="424E6A"/>
            </w:tcBorders>
            <w:shd w:val="clear" w:color="auto" w:fill="424E6A"/>
          </w:tcPr>
          <w:p>
            <w:pPr>
              <w:spacing w:after="0"/>
              <w:rPr>
                <w:sz w:val="17"/>
                <w:szCs w:val="17"/>
                <w:color w:val="auto"/>
              </w:rPr>
            </w:pPr>
          </w:p>
        </w:tc>
      </w:tr>
      <w:tr>
        <w:trPr>
          <w:trHeight w:val="198"/>
        </w:trPr>
        <w:tc>
          <w:tcPr>
            <w:tcW w:w="200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820" w:type="dxa"/>
            <w:vAlign w:val="bottom"/>
            <w:gridSpan w:val="4"/>
            <w:shd w:val="clear" w:color="auto" w:fill="424E6A"/>
          </w:tcPr>
          <w:p>
            <w:pPr>
              <w:ind w:left="4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(as of 3/25/24) </w:t>
            </w:r>
            <w:r>
              <w:rPr>
                <w:rFonts w:ascii="Arial" w:cs="Arial" w:eastAsia="Arial" w:hAnsi="Arial"/>
                <w:sz w:val="22"/>
                <w:szCs w:val="22"/>
                <w:b w:val="1"/>
                <w:bCs w:val="1"/>
                <w:color w:val="FFFFFF"/>
                <w:vertAlign w:val="subscript"/>
              </w:rPr>
              <w:t>​ ​</w:t>
            </w:r>
          </w:p>
        </w:tc>
        <w:tc>
          <w:tcPr>
            <w:tcW w:w="4900" w:type="dxa"/>
            <w:vAlign w:val="bottom"/>
            <w:tcBorders>
              <w:right w:val="single" w:sz="8" w:color="424E6A"/>
            </w:tcBorders>
            <w:shd w:val="clear" w:color="auto" w:fill="424E6A"/>
          </w:tcPr>
          <w:p>
            <w:pPr>
              <w:ind w:left="2140"/>
              <w:spacing w:after="0"/>
              <w:rPr>
                <w:sz w:val="20"/>
                <w:szCs w:val="20"/>
                <w:color w:val="auto"/>
              </w:rPr>
            </w:pPr>
            <w:r>
              <w:rPr>
                <w:rFonts w:ascii="Arial" w:cs="Arial" w:eastAsia="Arial" w:hAnsi="Arial"/>
                <w:sz w:val="14"/>
                <w:szCs w:val="14"/>
                <w:b w:val="1"/>
                <w:bCs w:val="1"/>
                <w:color w:val="FFFFFF"/>
              </w:rPr>
              <w:t>Position</w:t>
            </w:r>
          </w:p>
        </w:tc>
      </w:tr>
      <w:tr>
        <w:trPr>
          <w:trHeight w:val="256"/>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Willie Chiang*</w:t>
            </w:r>
          </w:p>
        </w:tc>
        <w:tc>
          <w:tcPr>
            <w:tcW w:w="540" w:type="dxa"/>
            <w:vAlign w:val="bottom"/>
            <w:tcBorders>
              <w:bottom w:val="single" w:sz="8" w:color="424E6A"/>
              <w:right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jc w:val="center"/>
              <w:ind w:left="203"/>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63</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2"/>
                <w:szCs w:val="22"/>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Harry N. Pefanis*</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66</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49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President and Director</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Al Swanson</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Richard K. McGee</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63</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49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R. Chandler</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52</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50"/>
        </w:trPr>
        <w:tc>
          <w:tcPr>
            <w:tcW w:w="2000" w:type="dxa"/>
            <w:vAlign w:val="bottom"/>
            <w:tcBorders>
              <w:left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Jeremy L. Goebel</w:t>
            </w:r>
          </w:p>
        </w:tc>
        <w:tc>
          <w:tcPr>
            <w:tcW w:w="540" w:type="dxa"/>
            <w:vAlign w:val="bottom"/>
            <w:tcBorders>
              <w:bottom w:val="single" w:sz="8" w:color="424E6A"/>
              <w:right w:val="single" w:sz="8" w:color="424E6A"/>
            </w:tcBorders>
          </w:tcPr>
          <w:p>
            <w:pPr>
              <w:spacing w:after="0"/>
              <w:rPr>
                <w:sz w:val="21"/>
                <w:szCs w:val="21"/>
                <w:color w:val="auto"/>
              </w:rPr>
            </w:pPr>
          </w:p>
        </w:tc>
        <w:tc>
          <w:tcPr>
            <w:tcW w:w="880" w:type="dxa"/>
            <w:vAlign w:val="bottom"/>
            <w:tcBorders>
              <w:bottom w:val="single" w:sz="8" w:color="424E6A"/>
            </w:tcBorders>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46</w:t>
            </w:r>
          </w:p>
        </w:tc>
        <w:tc>
          <w:tcPr>
            <w:tcW w:w="320" w:type="dxa"/>
            <w:vAlign w:val="bottom"/>
            <w:tcBorders>
              <w:bottom w:val="single" w:sz="8" w:color="424E6A"/>
              <w:right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49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Executive Vice President and Chief Commercial Officer</w:t>
            </w:r>
          </w:p>
        </w:tc>
      </w:tr>
      <w:tr>
        <w:trPr>
          <w:trHeight w:val="250"/>
        </w:trPr>
        <w:tc>
          <w:tcPr>
            <w:tcW w:w="2000" w:type="dxa"/>
            <w:vAlign w:val="bottom"/>
            <w:tcBorders>
              <w:left w:val="single" w:sz="8" w:color="424E6A"/>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Chris Herbold</w:t>
            </w:r>
          </w:p>
        </w:tc>
        <w:tc>
          <w:tcPr>
            <w:tcW w:w="540" w:type="dxa"/>
            <w:vAlign w:val="bottom"/>
            <w:tcBorders>
              <w:bottom w:val="single" w:sz="8" w:color="424E6A"/>
              <w:right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jc w:val="center"/>
              <w:ind w:left="20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51</w:t>
            </w:r>
          </w:p>
        </w:tc>
        <w:tc>
          <w:tcPr>
            <w:tcW w:w="320" w:type="dxa"/>
            <w:vAlign w:val="bottom"/>
            <w:tcBorders>
              <w:bottom w:val="single" w:sz="8" w:color="424E6A"/>
              <w:right w:val="single" w:sz="8" w:color="424E6A"/>
            </w:tcBorders>
            <w:shd w:val="clear" w:color="auto" w:fill="D9DCE1"/>
          </w:tcPr>
          <w:p>
            <w:pPr>
              <w:ind w:lef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9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Senior Vice President, Finance and 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right="600" w:hanging="360"/>
        <w:spacing w:after="0" w:line="287"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Biographical information for Messrs. Chiang and Pefanis is located under Proposal 1 — Election of Class III Directors.</w:t>
      </w:r>
    </w:p>
    <w:p>
      <w:pPr>
        <w:spacing w:after="0" w:line="7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Al Swanson </w:t>
      </w:r>
      <w:r>
        <w:rPr>
          <w:rFonts w:ascii="Arial" w:cs="Arial" w:eastAsia="Arial" w:hAnsi="Arial"/>
          <w:sz w:val="18"/>
          <w:szCs w:val="18"/>
          <w:color w:val="auto"/>
        </w:rPr>
        <w:t>has served as Executive Vice President and Chief Financial Officer of GP LLC since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February 2011. He previously served as Senior Vice President and Chief Financial Officer from</w:t>
      </w:r>
    </w:p>
    <w:p>
      <w:pPr>
        <w:ind w:left="1260"/>
        <w:spacing w:after="0" w:line="234" w:lineRule="auto"/>
        <w:rPr>
          <w:sz w:val="20"/>
          <w:szCs w:val="20"/>
          <w:color w:val="auto"/>
        </w:rPr>
      </w:pPr>
      <w:r>
        <w:rPr>
          <w:rFonts w:ascii="Arial" w:cs="Arial" w:eastAsia="Arial" w:hAnsi="Arial"/>
          <w:sz w:val="18"/>
          <w:szCs w:val="18"/>
          <w:color w:val="auto"/>
        </w:rPr>
        <w:t>November 2008 through February 2011, as Senior Vice President — Finance from August 2008 until</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November 2008 and as Senior Vice President — Finance and Treasurer from August 2007 until</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2008. He served as Vice President — Finance and Treasurer from August 2005 to August 2007,</w:t>
      </w:r>
    </w:p>
    <w:p>
      <w:pPr>
        <w:ind w:left="1260"/>
        <w:spacing w:after="0" w:line="234" w:lineRule="auto"/>
        <w:rPr>
          <w:sz w:val="20"/>
          <w:szCs w:val="20"/>
          <w:color w:val="auto"/>
        </w:rPr>
      </w:pPr>
      <w:r>
        <w:rPr>
          <w:rFonts w:ascii="Arial" w:cs="Arial" w:eastAsia="Arial" w:hAnsi="Arial"/>
          <w:sz w:val="18"/>
          <w:szCs w:val="18"/>
          <w:color w:val="auto"/>
        </w:rPr>
        <w:t>as Vice President and Treasurer from February 2004 to August 2005 and as Treasurer from May 2001</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February 2004. In addition, he held finance related positions at Plains Resources including Treasurer</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from February 2001 to May 2001 and Director of Treasury from November 2000 to February 2001. Prior</w:t>
      </w:r>
    </w:p>
    <w:p>
      <w:pPr>
        <w:ind w:left="1260"/>
        <w:spacing w:after="0" w:line="234" w:lineRule="auto"/>
        <w:rPr>
          <w:sz w:val="20"/>
          <w:szCs w:val="20"/>
          <w:color w:val="auto"/>
        </w:rPr>
      </w:pPr>
      <w:r>
        <w:rPr>
          <w:rFonts w:ascii="Arial" w:cs="Arial" w:eastAsia="Arial" w:hAnsi="Arial"/>
          <w:sz w:val="18"/>
          <w:szCs w:val="18"/>
          <w:color w:val="auto"/>
        </w:rPr>
        <w:t>to joining Plains Resources, he served as Treasurer of Santa Fe Snyder Corporation from 1999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October 2000 and in various capacities at Snyder Oil Corporation including Director of Corporate</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Finance from 1998, Controller — SOCO Offshore, Inc. from 1997, and Accounting Manager from 1992.</w:t>
      </w:r>
    </w:p>
    <w:p>
      <w:pPr>
        <w:ind w:left="1260"/>
        <w:spacing w:after="0" w:line="234" w:lineRule="auto"/>
        <w:rPr>
          <w:sz w:val="20"/>
          <w:szCs w:val="20"/>
          <w:color w:val="auto"/>
        </w:rPr>
      </w:pPr>
      <w:r>
        <w:rPr>
          <w:rFonts w:ascii="Arial" w:cs="Arial" w:eastAsia="Arial" w:hAnsi="Arial"/>
          <w:sz w:val="18"/>
          <w:szCs w:val="18"/>
          <w:color w:val="auto"/>
        </w:rPr>
        <w:t>Mr. Swanson began his career with Apache Corporation in 1986 serving in internal audit and</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accounting. Mr. Swanson also serves as Executive Vice President and Chief Financial Officer of PAGP</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GP.</w:t>
      </w:r>
    </w:p>
    <w:p>
      <w:pPr>
        <w:spacing w:after="0" w:line="126" w:lineRule="exact"/>
        <w:rPr>
          <w:sz w:val="20"/>
          <w:szCs w:val="20"/>
          <w:color w:val="auto"/>
        </w:rPr>
      </w:pPr>
    </w:p>
    <w:p>
      <w:pPr>
        <w:ind w:left="1260" w:right="580" w:firstLine="360"/>
        <w:spacing w:after="0" w:line="245" w:lineRule="auto"/>
        <w:rPr>
          <w:sz w:val="20"/>
          <w:szCs w:val="20"/>
          <w:color w:val="auto"/>
        </w:rPr>
      </w:pPr>
      <w:r>
        <w:rPr>
          <w:rFonts w:ascii="Arial" w:cs="Arial" w:eastAsia="Arial" w:hAnsi="Arial"/>
          <w:sz w:val="18"/>
          <w:szCs w:val="18"/>
          <w:i w:val="1"/>
          <w:iCs w:val="1"/>
          <w:color w:val="auto"/>
        </w:rPr>
        <w:t xml:space="preserve">Richard K. McGee </w:t>
      </w:r>
      <w:r>
        <w:rPr>
          <w:rFonts w:ascii="Arial" w:cs="Arial" w:eastAsia="Arial" w:hAnsi="Arial"/>
          <w:sz w:val="18"/>
          <w:szCs w:val="18"/>
          <w:color w:val="auto"/>
        </w:rPr>
        <w:t>has served as Executive Vice President, General Counsel and Secretary of GP</w:t>
      </w:r>
      <w:r>
        <w:rPr>
          <w:rFonts w:ascii="Arial" w:cs="Arial" w:eastAsia="Arial" w:hAnsi="Arial"/>
          <w:sz w:val="18"/>
          <w:szCs w:val="18"/>
          <w:i w:val="1"/>
          <w:iCs w:val="1"/>
          <w:color w:val="auto"/>
        </w:rPr>
        <w:t xml:space="preserve"> </w:t>
      </w:r>
      <w:r>
        <w:rPr>
          <w:rFonts w:ascii="Arial" w:cs="Arial" w:eastAsia="Arial" w:hAnsi="Arial"/>
          <w:sz w:val="18"/>
          <w:szCs w:val="18"/>
          <w:color w:val="auto"/>
        </w:rPr>
        <w:t>LLC since February 2013. He served as Vice President, General Counsel and Secretary from</w:t>
      </w:r>
    </w:p>
    <w:p>
      <w:pPr>
        <w:ind w:left="1260" w:right="560"/>
        <w:spacing w:after="0" w:line="242" w:lineRule="auto"/>
        <w:rPr>
          <w:sz w:val="20"/>
          <w:szCs w:val="20"/>
          <w:color w:val="auto"/>
        </w:rPr>
      </w:pPr>
      <w:r>
        <w:rPr>
          <w:rFonts w:ascii="Arial" w:cs="Arial" w:eastAsia="Arial" w:hAnsi="Arial"/>
          <w:sz w:val="18"/>
          <w:szCs w:val="18"/>
          <w:color w:val="auto"/>
        </w:rPr>
        <w:t>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p>
    <w:p>
      <w:pPr>
        <w:spacing w:after="0" w:line="115" w:lineRule="exact"/>
        <w:rPr>
          <w:sz w:val="20"/>
          <w:szCs w:val="20"/>
          <w:color w:val="auto"/>
        </w:rPr>
      </w:pPr>
    </w:p>
    <w:p>
      <w:pPr>
        <w:ind w:left="1260" w:right="540" w:firstLine="360"/>
        <w:spacing w:after="0" w:line="246" w:lineRule="auto"/>
        <w:rPr>
          <w:sz w:val="20"/>
          <w:szCs w:val="20"/>
          <w:color w:val="auto"/>
        </w:rPr>
      </w:pPr>
      <w:r>
        <w:rPr>
          <w:rFonts w:ascii="Arial" w:cs="Arial" w:eastAsia="Arial" w:hAnsi="Arial"/>
          <w:sz w:val="18"/>
          <w:szCs w:val="18"/>
          <w:i w:val="1"/>
          <w:iCs w:val="1"/>
          <w:color w:val="auto"/>
        </w:rPr>
        <w:t xml:space="preserve">Chris R. Chandler </w:t>
      </w:r>
      <w:r>
        <w:rPr>
          <w:rFonts w:ascii="Arial" w:cs="Arial" w:eastAsia="Arial" w:hAnsi="Arial"/>
          <w:sz w:val="18"/>
          <w:szCs w:val="18"/>
          <w:color w:val="auto"/>
        </w:rPr>
        <w:t>has served as Executive Vice President and Chief Operating Officer of GP LLC</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p>
    <w:p>
      <w:pPr>
        <w:spacing w:after="0" w:line="108" w:lineRule="exact"/>
        <w:rPr>
          <w:sz w:val="20"/>
          <w:szCs w:val="20"/>
          <w:color w:val="auto"/>
        </w:rPr>
      </w:pPr>
    </w:p>
    <w:p>
      <w:pPr>
        <w:ind w:left="1260" w:right="880" w:firstLine="360"/>
        <w:spacing w:after="0" w:line="301" w:lineRule="auto"/>
        <w:rPr>
          <w:sz w:val="20"/>
          <w:szCs w:val="20"/>
          <w:color w:val="auto"/>
        </w:rPr>
      </w:pPr>
      <w:r>
        <w:rPr>
          <w:rFonts w:ascii="Arial" w:cs="Arial" w:eastAsia="Arial" w:hAnsi="Arial"/>
          <w:sz w:val="17"/>
          <w:szCs w:val="17"/>
          <w:i w:val="1"/>
          <w:iCs w:val="1"/>
          <w:color w:val="auto"/>
        </w:rPr>
        <w:t xml:space="preserve">Jeremy L. Goebel </w:t>
      </w:r>
      <w:r>
        <w:rPr>
          <w:rFonts w:ascii="Arial" w:cs="Arial" w:eastAsia="Arial" w:hAnsi="Arial"/>
          <w:sz w:val="17"/>
          <w:szCs w:val="17"/>
          <w:color w:val="auto"/>
        </w:rPr>
        <w:t>has served as Executive Vice President and Chief Commercial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2021. He previously served as Executive Vice President — Commercial of GP LLC from</w:t>
      </w:r>
    </w:p>
    <w:p>
      <w:pPr>
        <w:sectPr>
          <w:pgSz w:w="11900" w:h="16838" w:orient="portrait"/>
          <w:cols w:equalWidth="0" w:num="1">
            <w:col w:w="9980"/>
          </w:cols>
          <w:pgMar w:left="580" w:top="97" w:right="1339" w:bottom="1440" w:gutter="0" w:footer="0" w:header="0"/>
        </w:sect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80"/>
          </w:cols>
          <w:pgMar w:left="580" w:top="97" w:right="133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19"/>
        <w:spacing w:after="0" w:line="255" w:lineRule="auto"/>
        <w:rPr>
          <w:sz w:val="20"/>
          <w:szCs w:val="20"/>
          <w:color w:val="auto"/>
        </w:rPr>
      </w:pPr>
      <w:r>
        <w:rPr>
          <w:rFonts w:ascii="Arial" w:cs="Arial" w:eastAsia="Arial" w:hAnsi="Arial"/>
          <w:sz w:val="18"/>
          <w:szCs w:val="18"/>
          <w:color w:val="auto"/>
        </w:rPr>
        <w:t>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and Chief Commercial Officer of PAGP GP.</w:t>
      </w:r>
    </w:p>
    <w:p>
      <w:pPr>
        <w:spacing w:after="0" w:line="117" w:lineRule="exact"/>
        <w:rPr>
          <w:sz w:val="20"/>
          <w:szCs w:val="20"/>
          <w:color w:val="auto"/>
        </w:rPr>
      </w:pPr>
    </w:p>
    <w:p>
      <w:pPr>
        <w:jc w:val="both"/>
        <w:ind w:left="1260" w:right="539" w:firstLine="360"/>
        <w:spacing w:after="0" w:line="270" w:lineRule="auto"/>
        <w:rPr>
          <w:sz w:val="20"/>
          <w:szCs w:val="20"/>
          <w:color w:val="auto"/>
        </w:rPr>
      </w:pPr>
      <w:r>
        <w:rPr>
          <w:rFonts w:ascii="Arial" w:cs="Arial" w:eastAsia="Arial" w:hAnsi="Arial"/>
          <w:sz w:val="17"/>
          <w:szCs w:val="17"/>
          <w:i w:val="1"/>
          <w:iCs w:val="1"/>
          <w:color w:val="auto"/>
        </w:rPr>
        <w:t xml:space="preserve">Chris Herbold </w:t>
      </w:r>
      <w:r>
        <w:rPr>
          <w:rFonts w:ascii="Arial" w:cs="Arial" w:eastAsia="Arial" w:hAnsi="Arial"/>
          <w:sz w:val="17"/>
          <w:szCs w:val="17"/>
          <w:color w:val="auto"/>
        </w:rPr>
        <w:t>has served as Senior Vice President, Finance and Chief Accounting Officer of GP</w:t>
      </w:r>
      <w:r>
        <w:rPr>
          <w:rFonts w:ascii="Arial" w:cs="Arial" w:eastAsia="Arial" w:hAnsi="Arial"/>
          <w:sz w:val="17"/>
          <w:szCs w:val="17"/>
          <w:i w:val="1"/>
          <w:iCs w:val="1"/>
          <w:color w:val="auto"/>
        </w:rPr>
        <w:t xml:space="preserve"> </w:t>
      </w:r>
      <w:r>
        <w:rPr>
          <w:rFonts w:ascii="Arial" w:cs="Arial" w:eastAsia="Arial" w:hAnsi="Arial"/>
          <w:sz w:val="17"/>
          <w:szCs w:val="17"/>
          <w:color w:val="auto"/>
        </w:rPr>
        <w:t>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w:t>
      </w:r>
    </w:p>
    <w:p>
      <w:pPr>
        <w:spacing w:after="0" w:line="2"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Report</w:t>
      </w:r>
    </w:p>
    <w:p>
      <w:pPr>
        <w:spacing w:after="0" w:line="158" w:lineRule="exact"/>
        <w:rPr>
          <w:sz w:val="20"/>
          <w:szCs w:val="20"/>
          <w:color w:val="auto"/>
        </w:rPr>
      </w:pPr>
    </w:p>
    <w:p>
      <w:pPr>
        <w:ind w:left="1260" w:right="639" w:firstLine="360"/>
        <w:spacing w:after="0" w:line="267" w:lineRule="auto"/>
        <w:rPr>
          <w:sz w:val="20"/>
          <w:szCs w:val="20"/>
          <w:color w:val="auto"/>
        </w:rPr>
      </w:pPr>
      <w:r>
        <w:rPr>
          <w:rFonts w:ascii="Arial" w:cs="Arial" w:eastAsia="Arial" w:hAnsi="Arial"/>
          <w:sz w:val="18"/>
          <w:szCs w:val="18"/>
          <w:color w:val="auto"/>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Gary R. Petersen</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Bobby S. Shackouls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Christopher M. Temple</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8" w:lineRule="exact"/>
        <w:rPr>
          <w:sz w:val="20"/>
          <w:szCs w:val="20"/>
          <w:color w:val="auto"/>
        </w:rPr>
      </w:pPr>
    </w:p>
    <w:p>
      <w:pPr>
        <w:ind w:left="1260" w:right="559" w:firstLine="360"/>
        <w:spacing w:after="0" w:line="276" w:lineRule="auto"/>
        <w:rPr>
          <w:sz w:val="20"/>
          <w:szCs w:val="20"/>
          <w:color w:val="auto"/>
        </w:rPr>
      </w:pPr>
      <w:r>
        <w:rPr>
          <w:rFonts w:ascii="Arial" w:cs="Arial" w:eastAsia="Arial" w:hAnsi="Arial"/>
          <w:sz w:val="18"/>
          <w:szCs w:val="18"/>
          <w:color w:val="auto"/>
        </w:rPr>
        <w:t>For 2023, our Named Executive Officers (sometimes referred to as “NEOs”) include our CEO, our President, our CFO, and the three most highly compensated executive officers (other than our CEO and CFO). Our NEOs for 2023 include the following individuals:</w:t>
      </w:r>
    </w:p>
    <w:p>
      <w:pPr>
        <w:spacing w:after="0" w:line="90" w:lineRule="exact"/>
        <w:rPr>
          <w:sz w:val="20"/>
          <w:szCs w:val="20"/>
          <w:color w:val="auto"/>
        </w:rPr>
      </w:pPr>
    </w:p>
    <w:tbl>
      <w:tblPr>
        <w:tblLayout w:type="fixed"/>
        <w:tblInd w:w="1630" w:type="dxa"/>
        <w:tblCellMar>
          <w:top w:w="0" w:type="dxa"/>
          <w:left w:w="0" w:type="dxa"/>
          <w:bottom w:w="0" w:type="dxa"/>
          <w:right w:w="0" w:type="dxa"/>
        </w:tblCellMar>
      </w:tblPr>
      <w:tr>
        <w:trPr>
          <w:trHeight w:val="335"/>
        </w:trPr>
        <w:tc>
          <w:tcPr>
            <w:tcW w:w="264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Named Executive Officer</w:t>
            </w:r>
          </w:p>
        </w:tc>
        <w:tc>
          <w:tcPr>
            <w:tcW w:w="2300" w:type="dxa"/>
            <w:vAlign w:val="bottom"/>
            <w:gridSpan w:val="2"/>
            <w:shd w:val="clear" w:color="auto" w:fill="424E6A"/>
          </w:tcPr>
          <w:p>
            <w:pPr>
              <w:ind w:left="920"/>
              <w:spacing w:after="0"/>
              <w:rPr>
                <w:sz w:val="20"/>
                <w:szCs w:val="20"/>
                <w:color w:val="auto"/>
              </w:rPr>
            </w:pPr>
            <w:r>
              <w:rPr>
                <w:rFonts w:ascii="Arial" w:cs="Arial" w:eastAsia="Arial" w:hAnsi="Arial"/>
                <w:sz w:val="14"/>
                <w:szCs w:val="14"/>
                <w:b w:val="1"/>
                <w:bCs w:val="1"/>
                <w:color w:val="FFFFFF"/>
              </w:rPr>
              <w:t>​ ​</w:t>
            </w:r>
          </w:p>
        </w:tc>
        <w:tc>
          <w:tcPr>
            <w:tcW w:w="2060" w:type="dxa"/>
            <w:vAlign w:val="bottom"/>
            <w:shd w:val="clear" w:color="auto" w:fill="424E6A"/>
          </w:tcPr>
          <w:p>
            <w:pPr>
              <w:ind w:left="420"/>
              <w:spacing w:after="0"/>
              <w:rPr>
                <w:sz w:val="20"/>
                <w:szCs w:val="20"/>
                <w:color w:val="auto"/>
              </w:rPr>
            </w:pPr>
            <w:r>
              <w:rPr>
                <w:rFonts w:ascii="Arial" w:cs="Arial" w:eastAsia="Arial" w:hAnsi="Arial"/>
                <w:sz w:val="14"/>
                <w:szCs w:val="14"/>
                <w:b w:val="1"/>
                <w:bCs w:val="1"/>
                <w:color w:val="FFFFFF"/>
              </w:rPr>
              <w:t>Title</w:t>
            </w:r>
          </w:p>
        </w:tc>
        <w:tc>
          <w:tcPr>
            <w:tcW w:w="480" w:type="dxa"/>
            <w:vAlign w:val="bottom"/>
            <w:tcBorders>
              <w:right w:val="single" w:sz="8" w:color="424E6A"/>
            </w:tcBorders>
            <w:shd w:val="clear" w:color="auto" w:fill="424E6A"/>
          </w:tcPr>
          <w:p>
            <w:pPr>
              <w:ind w:left="240"/>
              <w:spacing w:after="0"/>
              <w:rPr>
                <w:sz w:val="20"/>
                <w:szCs w:val="20"/>
                <w:color w:val="auto"/>
              </w:rPr>
            </w:pPr>
            <w:r>
              <w:rPr>
                <w:rFonts w:ascii="Arial" w:cs="Arial" w:eastAsia="Arial" w:hAnsi="Arial"/>
                <w:sz w:val="14"/>
                <w:szCs w:val="14"/>
                <w:b w:val="1"/>
                <w:bCs w:val="1"/>
                <w:color w:val="FFFFFF"/>
              </w:rPr>
              <w:t>​</w:t>
            </w:r>
          </w:p>
        </w:tc>
      </w:tr>
      <w:tr>
        <w:trPr>
          <w:trHeight w:val="256"/>
        </w:trPr>
        <w:tc>
          <w:tcPr>
            <w:tcW w:w="2640" w:type="dxa"/>
            <w:vAlign w:val="bottom"/>
            <w:tcBorders>
              <w:left w:val="single" w:sz="8" w:color="424E6A"/>
              <w:bottom w:val="single" w:sz="8" w:color="424E6A"/>
            </w:tcBorders>
            <w:shd w:val="clear" w:color="auto" w:fill="D9DCE1"/>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Willie Chiang</w:t>
            </w:r>
          </w:p>
        </w:tc>
        <w:tc>
          <w:tcPr>
            <w:tcW w:w="1020" w:type="dxa"/>
            <w:vAlign w:val="bottom"/>
            <w:tcBorders>
              <w:bottom w:val="single" w:sz="8" w:color="424E6A"/>
              <w:right w:val="single" w:sz="8" w:color="424E6A"/>
            </w:tcBorders>
            <w:shd w:val="clear" w:color="auto" w:fill="D9DCE1"/>
          </w:tcPr>
          <w:p>
            <w:pPr>
              <w:ind w:left="920"/>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424E6A"/>
            </w:tcBorders>
            <w:gridSpan w:val="2"/>
            <w:shd w:val="clear" w:color="auto" w:fill="D9DCE1"/>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Chairman and Chief Executive Officer</w:t>
            </w:r>
          </w:p>
        </w:tc>
        <w:tc>
          <w:tcPr>
            <w:tcW w:w="480" w:type="dxa"/>
            <w:vAlign w:val="bottom"/>
            <w:tcBorders>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Harry Pefanis</w:t>
            </w:r>
          </w:p>
        </w:tc>
        <w:tc>
          <w:tcPr>
            <w:tcW w:w="1020" w:type="dxa"/>
            <w:vAlign w:val="bottom"/>
            <w:tcBorders>
              <w:bottom w:val="single" w:sz="8" w:color="424E6A"/>
              <w:right w:val="single" w:sz="8" w:color="424E6A"/>
            </w:tcBorders>
          </w:tcPr>
          <w:p>
            <w:pPr>
              <w:ind w:left="9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24E6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President</w:t>
            </w:r>
          </w:p>
        </w:tc>
        <w:tc>
          <w:tcPr>
            <w:tcW w:w="2060" w:type="dxa"/>
            <w:vAlign w:val="bottom"/>
            <w:tcBorders>
              <w:bottom w:val="single" w:sz="8" w:color="424E6A"/>
            </w:tcBorders>
          </w:tcPr>
          <w:p>
            <w:pPr>
              <w:spacing w:after="0"/>
              <w:rPr>
                <w:sz w:val="21"/>
                <w:szCs w:val="21"/>
                <w:color w:val="auto"/>
              </w:rPr>
            </w:pPr>
          </w:p>
        </w:tc>
        <w:tc>
          <w:tcPr>
            <w:tcW w:w="48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Al Swanson</w:t>
            </w:r>
          </w:p>
        </w:tc>
        <w:tc>
          <w:tcPr>
            <w:tcW w:w="1020" w:type="dxa"/>
            <w:vAlign w:val="bottom"/>
            <w:tcBorders>
              <w:bottom w:val="single" w:sz="8" w:color="424E6A"/>
              <w:right w:val="single" w:sz="8" w:color="424E6A"/>
            </w:tcBorders>
            <w:shd w:val="clear" w:color="auto" w:fill="D9DCE1"/>
          </w:tcPr>
          <w:p>
            <w:pPr>
              <w:ind w:left="920"/>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Financial Officer</w:t>
            </w:r>
          </w:p>
        </w:tc>
        <w:tc>
          <w:tcPr>
            <w:tcW w:w="480" w:type="dxa"/>
            <w:vAlign w:val="bottom"/>
            <w:tcBorders>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Richard McGee</w:t>
            </w:r>
          </w:p>
        </w:tc>
        <w:tc>
          <w:tcPr>
            <w:tcW w:w="1020" w:type="dxa"/>
            <w:vAlign w:val="bottom"/>
            <w:tcBorders>
              <w:bottom w:val="single" w:sz="8" w:color="424E6A"/>
              <w:right w:val="single" w:sz="8" w:color="424E6A"/>
            </w:tcBorders>
          </w:tcPr>
          <w:p>
            <w:pPr>
              <w:ind w:left="920"/>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General Counsel and Secretary</w:t>
            </w:r>
          </w:p>
        </w:tc>
        <w:tc>
          <w:tcPr>
            <w:tcW w:w="48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Borders>
              <w:left w:val="single" w:sz="8" w:color="424E6A"/>
              <w:bottom w:val="single" w:sz="8" w:color="424E6A"/>
            </w:tcBorders>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Chris Chandler</w:t>
            </w:r>
          </w:p>
        </w:tc>
        <w:tc>
          <w:tcPr>
            <w:tcW w:w="1020" w:type="dxa"/>
            <w:vAlign w:val="bottom"/>
            <w:tcBorders>
              <w:bottom w:val="single" w:sz="8" w:color="424E6A"/>
              <w:right w:val="single" w:sz="8" w:color="424E6A"/>
            </w:tcBorders>
            <w:shd w:val="clear" w:color="auto" w:fill="D9DCE1"/>
          </w:tcPr>
          <w:p>
            <w:pPr>
              <w:ind w:left="920"/>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424E6A"/>
            </w:tcBorders>
            <w:gridSpan w:val="2"/>
            <w:shd w:val="clear" w:color="auto" w:fill="D9DCE1"/>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Operating Officer</w:t>
            </w:r>
          </w:p>
        </w:tc>
        <w:tc>
          <w:tcPr>
            <w:tcW w:w="480" w:type="dxa"/>
            <w:vAlign w:val="bottom"/>
            <w:tcBorders>
              <w:bottom w:val="single" w:sz="8" w:color="424E6A"/>
              <w:right w:val="single" w:sz="8" w:color="424E6A"/>
            </w:tcBorders>
            <w:shd w:val="clear" w:color="auto" w:fill="D9DCE1"/>
          </w:tcPr>
          <w:p>
            <w:pPr>
              <w:ind w:left="24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Borders>
              <w:left w:val="single" w:sz="8" w:color="424E6A"/>
              <w:bottom w:val="single" w:sz="8" w:color="424E6A"/>
            </w:tcBorders>
          </w:tcPr>
          <w:p>
            <w:pPr>
              <w:ind w:left="2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Jeremy Goebel</w:t>
            </w:r>
          </w:p>
        </w:tc>
        <w:tc>
          <w:tcPr>
            <w:tcW w:w="1020" w:type="dxa"/>
            <w:vAlign w:val="bottom"/>
            <w:tcBorders>
              <w:bottom w:val="single" w:sz="8" w:color="424E6A"/>
              <w:right w:val="single" w:sz="8" w:color="424E6A"/>
            </w:tcBorders>
          </w:tcPr>
          <w:p>
            <w:pPr>
              <w:ind w:left="920"/>
              <w:spacing w:after="0"/>
              <w:rPr>
                <w:sz w:val="20"/>
                <w:szCs w:val="20"/>
                <w:color w:val="auto"/>
              </w:rPr>
            </w:pPr>
            <w:r>
              <w:rPr>
                <w:rFonts w:ascii="Arial" w:cs="Arial" w:eastAsia="Arial" w:hAnsi="Arial"/>
                <w:sz w:val="18"/>
                <w:szCs w:val="18"/>
                <w:color w:val="auto"/>
              </w:rPr>
              <w:t>​</w:t>
            </w:r>
          </w:p>
        </w:tc>
        <w:tc>
          <w:tcPr>
            <w:tcW w:w="3340" w:type="dxa"/>
            <w:vAlign w:val="bottom"/>
            <w:tcBorders>
              <w:bottom w:val="single" w:sz="8" w:color="424E6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EVP and Chief Commercial Officer</w:t>
            </w:r>
          </w:p>
        </w:tc>
        <w:tc>
          <w:tcPr>
            <w:tcW w:w="480" w:type="dxa"/>
            <w:vAlign w:val="bottom"/>
            <w:tcBorders>
              <w:bottom w:val="single" w:sz="8" w:color="424E6A"/>
              <w:right w:val="single" w:sz="8" w:color="424E6A"/>
            </w:tcBorders>
          </w:tcPr>
          <w:p>
            <w:pPr>
              <w:ind w:left="240"/>
              <w:spacing w:after="0"/>
              <w:rPr>
                <w:sz w:val="20"/>
                <w:szCs w:val="20"/>
                <w:color w:val="auto"/>
              </w:rPr>
            </w:pPr>
            <w:r>
              <w:rPr>
                <w:rFonts w:ascii="Arial" w:cs="Arial" w:eastAsia="Arial" w:hAnsi="Arial"/>
                <w:sz w:val="18"/>
                <w:szCs w:val="18"/>
                <w:color w:val="auto"/>
              </w:rPr>
              <w:t>​</w:t>
            </w:r>
          </w:p>
        </w:tc>
      </w:tr>
    </w:tbl>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Executive Compensation General Philosophy and Approach</w:t>
      </w:r>
    </w:p>
    <w:p>
      <w:pPr>
        <w:spacing w:after="0" w:line="156"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8"/>
          <w:szCs w:val="18"/>
          <w:color w:val="auto"/>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1361440</wp:posOffset>
            </wp:positionV>
            <wp:extent cx="1234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20" w:right="419" w:hanging="360"/>
        <w:spacing w:after="0" w:line="25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Named Executive Officers are employed by GP LLC and spend the substantial majority of their time managing the business of PAA, which benefits us as PAA’s performance will determine our success. We do not have operations that are separate from PAA and we do not separately compensate our Named Executive Officers for any services provided to us. As a result, this CD&amp;A describes the compensation of our Named Executive Officers as it related to their services performed on behalf of PAA.</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52120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70" w:type="dxa"/>
        <w:tblCellMar>
          <w:top w:w="0" w:type="dxa"/>
          <w:left w:w="0" w:type="dxa"/>
          <w:bottom w:w="0" w:type="dxa"/>
          <w:right w:w="0" w:type="dxa"/>
        </w:tblCellMar>
      </w:tblPr>
      <w:tr>
        <w:trPr>
          <w:trHeight w:val="175"/>
        </w:trPr>
        <w:tc>
          <w:tcPr>
            <w:tcW w:w="3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4"/>
                <w:szCs w:val="14"/>
                <w:b w:val="1"/>
                <w:bCs w:val="1"/>
                <w:color w:val="FFFFFF"/>
              </w:rPr>
              <w:t>​</w:t>
            </w:r>
          </w:p>
        </w:tc>
        <w:tc>
          <w:tcPr>
            <w:tcW w:w="3660" w:type="dxa"/>
            <w:vAlign w:val="bottom"/>
            <w:tcBorders>
              <w:top w:val="single" w:sz="8" w:color="auto"/>
            </w:tcBorders>
          </w:tcPr>
          <w:p>
            <w:pPr>
              <w:ind w:left="1300"/>
              <w:spacing w:after="0"/>
              <w:rPr>
                <w:sz w:val="20"/>
                <w:szCs w:val="20"/>
                <w:color w:val="auto"/>
              </w:rPr>
            </w:pPr>
            <w:r>
              <w:rPr>
                <w:rFonts w:ascii="Arial" w:cs="Arial" w:eastAsia="Arial" w:hAnsi="Arial"/>
                <w:sz w:val="14"/>
                <w:szCs w:val="14"/>
                <w:b w:val="1"/>
                <w:bCs w:val="1"/>
                <w:color w:val="FFFFFF"/>
              </w:rPr>
              <w:t>What We Do</w:t>
            </w:r>
          </w:p>
        </w:tc>
        <w:tc>
          <w:tcPr>
            <w:tcW w:w="4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FFFFFF"/>
              </w:rPr>
              <w:t>​ ​</w:t>
            </w:r>
          </w:p>
        </w:tc>
        <w:tc>
          <w:tcPr>
            <w:tcW w:w="3840" w:type="dxa"/>
            <w:vAlign w:val="bottom"/>
            <w:tcBorders>
              <w:top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FFFFFF"/>
              </w:rPr>
              <w:t>What We Don’t Do</w:t>
            </w:r>
          </w:p>
        </w:tc>
        <w:tc>
          <w:tcPr>
            <w:tcW w:w="0" w:type="dxa"/>
            <w:vAlign w:val="bottom"/>
          </w:tcPr>
          <w:p>
            <w:pPr>
              <w:spacing w:after="0"/>
              <w:rPr>
                <w:sz w:val="1"/>
                <w:szCs w:val="1"/>
                <w:color w:val="auto"/>
              </w:rPr>
            </w:pPr>
          </w:p>
        </w:tc>
      </w:tr>
      <w:tr>
        <w:trPr>
          <w:trHeight w:val="55"/>
        </w:trPr>
        <w:tc>
          <w:tcPr>
            <w:tcW w:w="300" w:type="dxa"/>
            <w:vAlign w:val="bottom"/>
            <w:tcBorders>
              <w:lef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We emphasize pay for performance</w:t>
            </w: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continue"/>
          </w:tcPr>
          <w:p>
            <w:pPr>
              <w:spacing w:after="0"/>
              <w:rPr>
                <w:sz w:val="20"/>
                <w:szCs w:val="20"/>
                <w:color w:val="auto"/>
              </w:rPr>
            </w:pPr>
          </w:p>
        </w:tc>
        <w:tc>
          <w:tcPr>
            <w:tcW w:w="3660" w:type="dxa"/>
            <w:vAlign w:val="bottom"/>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00" w:type="dxa"/>
            <w:vAlign w:val="bottom"/>
            <w:tcBorders>
              <w:lef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20"/>
              <w:spacing w:after="0"/>
              <w:rPr>
                <w:sz w:val="20"/>
                <w:szCs w:val="20"/>
                <w:color w:val="auto"/>
              </w:rPr>
            </w:pPr>
            <w:r>
              <w:rPr>
                <w:rFonts w:ascii="Arial" w:cs="Arial" w:eastAsia="Arial" w:hAnsi="Arial"/>
                <w:sz w:val="18"/>
                <w:szCs w:val="18"/>
                <w:color w:val="auto"/>
              </w:rPr>
              <w:t>Over 80% of target NEO compensation is</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excise tax gross ups</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variable and/or at risk</w:t>
            </w: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Directors and officers are prohibited from</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Our annual bonus program is 100%</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hedging or pledging company securities</w:t>
            </w:r>
          </w:p>
        </w:tc>
        <w:tc>
          <w:tcPr>
            <w:tcW w:w="0" w:type="dxa"/>
            <w:vAlign w:val="bottom"/>
          </w:tcPr>
          <w:p>
            <w:pPr>
              <w:spacing w:after="0"/>
              <w:rPr>
                <w:sz w:val="1"/>
                <w:szCs w:val="1"/>
                <w:color w:val="auto"/>
              </w:rPr>
            </w:pPr>
          </w:p>
        </w:tc>
      </w:tr>
      <w:tr>
        <w:trPr>
          <w:trHeight w:val="139"/>
        </w:trPr>
        <w:tc>
          <w:tcPr>
            <w:tcW w:w="300" w:type="dxa"/>
            <w:vAlign w:val="bottom"/>
            <w:tcBorders>
              <w:left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Our equity plan prohibits backdating or</w:t>
            </w:r>
          </w:p>
        </w:tc>
        <w:tc>
          <w:tcPr>
            <w:tcW w:w="0" w:type="dxa"/>
            <w:vAlign w:val="bottom"/>
          </w:tcPr>
          <w:p>
            <w:pPr>
              <w:spacing w:after="0"/>
              <w:rPr>
                <w:sz w:val="1"/>
                <w:szCs w:val="1"/>
                <w:color w:val="auto"/>
              </w:rPr>
            </w:pPr>
          </w:p>
        </w:tc>
      </w:tr>
      <w:tr>
        <w:trPr>
          <w:trHeight w:val="148"/>
        </w:trPr>
        <w:tc>
          <w:tcPr>
            <w:tcW w:w="300" w:type="dxa"/>
            <w:vAlign w:val="bottom"/>
            <w:tcBorders>
              <w:left w:val="single" w:sz="8" w:color="auto"/>
            </w:tcBorders>
          </w:tcPr>
          <w:p>
            <w:pPr>
              <w:spacing w:after="0"/>
              <w:rPr>
                <w:sz w:val="12"/>
                <w:szCs w:val="12"/>
                <w:color w:val="auto"/>
              </w:rPr>
            </w:pP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performance based with payout based on a</w:t>
            </w:r>
          </w:p>
        </w:tc>
        <w:tc>
          <w:tcPr>
            <w:tcW w:w="16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tcBorders>
          </w:tcPr>
          <w:p>
            <w:pPr>
              <w:spacing w:after="0"/>
              <w:rPr>
                <w:sz w:val="5"/>
                <w:szCs w:val="5"/>
                <w:color w:val="auto"/>
              </w:rPr>
            </w:pPr>
          </w:p>
        </w:tc>
        <w:tc>
          <w:tcPr>
            <w:tcW w:w="3660" w:type="dxa"/>
            <w:vAlign w:val="bottom"/>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repricing of options</w:t>
            </w:r>
          </w:p>
        </w:tc>
        <w:tc>
          <w:tcPr>
            <w:tcW w:w="0" w:type="dxa"/>
            <w:vAlign w:val="bottom"/>
          </w:tcPr>
          <w:p>
            <w:pPr>
              <w:spacing w:after="0"/>
              <w:rPr>
                <w:sz w:val="1"/>
                <w:szCs w:val="1"/>
                <w:color w:val="auto"/>
              </w:rPr>
            </w:pPr>
          </w:p>
        </w:tc>
      </w:tr>
      <w:tr>
        <w:trPr>
          <w:trHeight w:val="171"/>
        </w:trPr>
        <w:tc>
          <w:tcPr>
            <w:tcW w:w="300" w:type="dxa"/>
            <w:vAlign w:val="bottom"/>
            <w:tcBorders>
              <w:left w:val="single" w:sz="8" w:color="auto"/>
            </w:tcBorders>
          </w:tcPr>
          <w:p>
            <w:pPr>
              <w:spacing w:after="0"/>
              <w:rPr>
                <w:sz w:val="14"/>
                <w:szCs w:val="14"/>
                <w:color w:val="auto"/>
              </w:rPr>
            </w:pP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formulaic framework</w:t>
            </w:r>
          </w:p>
        </w:tc>
        <w:tc>
          <w:tcPr>
            <w:tcW w:w="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00" w:type="dxa"/>
            <w:vAlign w:val="bottom"/>
            <w:tcBorders>
              <w:left w:val="single" w:sz="8" w:color="auto"/>
            </w:tcBorders>
          </w:tcPr>
          <w:p>
            <w:pPr>
              <w:spacing w:after="0"/>
              <w:rPr>
                <w:sz w:val="5"/>
                <w:szCs w:val="5"/>
                <w:color w:val="auto"/>
              </w:rPr>
            </w:pPr>
          </w:p>
        </w:tc>
        <w:tc>
          <w:tcPr>
            <w:tcW w:w="3660" w:type="dxa"/>
            <w:vAlign w:val="bottom"/>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3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00" w:type="dxa"/>
            <w:vAlign w:val="bottom"/>
            <w:tcBorders>
              <w:lef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50% of NEO long-term equity incentives are</w:t>
            </w:r>
          </w:p>
        </w:tc>
        <w:tc>
          <w:tcPr>
            <w:tcW w:w="1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significant perquisites for our executive</w:t>
            </w:r>
          </w:p>
        </w:tc>
        <w:tc>
          <w:tcPr>
            <w:tcW w:w="0" w:type="dxa"/>
            <w:vAlign w:val="bottom"/>
          </w:tcPr>
          <w:p>
            <w:pPr>
              <w:spacing w:after="0"/>
              <w:rPr>
                <w:sz w:val="1"/>
                <w:szCs w:val="1"/>
                <w:color w:val="auto"/>
              </w:rPr>
            </w:pPr>
          </w:p>
        </w:tc>
      </w:tr>
      <w:tr>
        <w:trPr>
          <w:trHeight w:val="122"/>
        </w:trPr>
        <w:tc>
          <w:tcPr>
            <w:tcW w:w="300" w:type="dxa"/>
            <w:vAlign w:val="bottom"/>
            <w:tcBorders>
              <w:left w:val="single" w:sz="8" w:color="auto"/>
            </w:tcBorders>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officers</w:t>
            </w:r>
          </w:p>
        </w:tc>
        <w:tc>
          <w:tcPr>
            <w:tcW w:w="0" w:type="dxa"/>
            <w:vAlign w:val="bottom"/>
          </w:tcPr>
          <w:p>
            <w:pPr>
              <w:spacing w:after="0"/>
              <w:rPr>
                <w:sz w:val="1"/>
                <w:szCs w:val="1"/>
                <w:color w:val="auto"/>
              </w:rPr>
            </w:pPr>
          </w:p>
        </w:tc>
      </w:tr>
      <w:tr>
        <w:trPr>
          <w:trHeight w:val="117"/>
        </w:trPr>
        <w:tc>
          <w:tcPr>
            <w:tcW w:w="300" w:type="dxa"/>
            <w:vAlign w:val="bottom"/>
            <w:tcBorders>
              <w:left w:val="single" w:sz="8" w:color="auto"/>
            </w:tcBorders>
          </w:tcPr>
          <w:p>
            <w:pPr>
              <w:spacing w:after="0"/>
              <w:rPr>
                <w:sz w:val="10"/>
                <w:szCs w:val="10"/>
                <w:color w:val="auto"/>
              </w:rPr>
            </w:pP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performance based, requiring performance</w:t>
            </w:r>
          </w:p>
        </w:tc>
        <w:tc>
          <w:tcPr>
            <w:tcW w:w="1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00" w:type="dxa"/>
            <w:vAlign w:val="bottom"/>
            <w:tcBorders>
              <w:left w:val="single" w:sz="8" w:color="auto"/>
            </w:tcBorders>
          </w:tcPr>
          <w:p>
            <w:pPr>
              <w:spacing w:after="0"/>
              <w:rPr>
                <w:sz w:val="8"/>
                <w:szCs w:val="8"/>
                <w:color w:val="auto"/>
              </w:rPr>
            </w:pPr>
          </w:p>
        </w:tc>
        <w:tc>
          <w:tcPr>
            <w:tcW w:w="366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8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No single-trigger change in control</w:t>
            </w:r>
          </w:p>
        </w:tc>
        <w:tc>
          <w:tcPr>
            <w:tcW w:w="0" w:type="dxa"/>
            <w:vAlign w:val="bottom"/>
          </w:tcPr>
          <w:p>
            <w:pPr>
              <w:spacing w:after="0"/>
              <w:rPr>
                <w:sz w:val="1"/>
                <w:szCs w:val="1"/>
                <w:color w:val="auto"/>
              </w:rPr>
            </w:pPr>
          </w:p>
        </w:tc>
      </w:tr>
      <w:tr>
        <w:trPr>
          <w:trHeight w:val="181"/>
        </w:trPr>
        <w:tc>
          <w:tcPr>
            <w:tcW w:w="300" w:type="dxa"/>
            <w:vAlign w:val="bottom"/>
            <w:tcBorders>
              <w:left w:val="single" w:sz="8" w:color="auto"/>
            </w:tcBorders>
          </w:tcPr>
          <w:p>
            <w:pPr>
              <w:spacing w:after="0"/>
              <w:rPr>
                <w:sz w:val="15"/>
                <w:szCs w:val="15"/>
                <w:color w:val="auto"/>
              </w:rPr>
            </w:pPr>
          </w:p>
        </w:tc>
        <w:tc>
          <w:tcPr>
            <w:tcW w:w="3660" w:type="dxa"/>
            <w:vAlign w:val="bottom"/>
          </w:tcPr>
          <w:p>
            <w:pPr>
              <w:ind w:left="120"/>
              <w:spacing w:after="0" w:line="181" w:lineRule="exact"/>
              <w:rPr>
                <w:sz w:val="20"/>
                <w:szCs w:val="20"/>
                <w:color w:val="auto"/>
              </w:rPr>
            </w:pPr>
            <w:r>
              <w:rPr>
                <w:rFonts w:ascii="Arial" w:cs="Arial" w:eastAsia="Arial" w:hAnsi="Arial"/>
                <w:sz w:val="18"/>
                <w:szCs w:val="18"/>
                <w:color w:val="auto"/>
              </w:rPr>
              <w:t>over a multi-year period</w:t>
            </w:r>
          </w:p>
        </w:tc>
        <w:tc>
          <w:tcPr>
            <w:tcW w:w="1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00" w:type="dxa"/>
            <w:vAlign w:val="bottom"/>
            <w:tcBorders>
              <w:left w:val="single" w:sz="8" w:color="auto"/>
            </w:tcBorders>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vMerge w:val="restart"/>
          </w:tcPr>
          <w:p>
            <w:pPr>
              <w:ind w:left="120"/>
              <w:spacing w:after="0"/>
              <w:rPr>
                <w:sz w:val="20"/>
                <w:szCs w:val="20"/>
                <w:color w:val="auto"/>
              </w:rPr>
            </w:pPr>
            <w:r>
              <w:rPr>
                <w:rFonts w:ascii="Arial" w:cs="Arial" w:eastAsia="Arial" w:hAnsi="Arial"/>
                <w:sz w:val="18"/>
                <w:szCs w:val="18"/>
                <w:color w:val="auto"/>
              </w:rPr>
              <w:t>Compensation program design mitigates</w:t>
            </w:r>
          </w:p>
        </w:tc>
        <w:tc>
          <w:tcPr>
            <w:tcW w:w="1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protections in our long-term incentive plan</w:t>
            </w:r>
          </w:p>
        </w:tc>
        <w:tc>
          <w:tcPr>
            <w:tcW w:w="0" w:type="dxa"/>
            <w:vAlign w:val="bottom"/>
          </w:tcPr>
          <w:p>
            <w:pPr>
              <w:spacing w:after="0"/>
              <w:rPr>
                <w:sz w:val="1"/>
                <w:szCs w:val="1"/>
                <w:color w:val="auto"/>
              </w:rPr>
            </w:pPr>
          </w:p>
        </w:tc>
      </w:tr>
      <w:tr>
        <w:trPr>
          <w:trHeight w:val="189"/>
        </w:trPr>
        <w:tc>
          <w:tcPr>
            <w:tcW w:w="300" w:type="dxa"/>
            <w:vAlign w:val="bottom"/>
            <w:tcBorders>
              <w:left w:val="single" w:sz="8" w:color="auto"/>
            </w:tcBorders>
            <w:vMerge w:val="continue"/>
          </w:tcPr>
          <w:p>
            <w:pPr>
              <w:spacing w:after="0"/>
              <w:rPr>
                <w:sz w:val="16"/>
                <w:szCs w:val="16"/>
                <w:color w:val="auto"/>
              </w:rPr>
            </w:pPr>
          </w:p>
        </w:tc>
        <w:tc>
          <w:tcPr>
            <w:tcW w:w="366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40" w:type="dxa"/>
            <w:vAlign w:val="bottom"/>
            <w:tcBorders>
              <w:right w:val="single" w:sz="8" w:color="auto"/>
            </w:tcBorders>
          </w:tcPr>
          <w:p>
            <w:pPr>
              <w:ind w:left="180"/>
              <w:spacing w:after="0" w:line="189" w:lineRule="exact"/>
              <w:rPr>
                <w:sz w:val="20"/>
                <w:szCs w:val="20"/>
                <w:color w:val="auto"/>
              </w:rPr>
            </w:pPr>
            <w:r>
              <w:rPr>
                <w:rFonts w:ascii="Arial" w:cs="Arial" w:eastAsia="Arial" w:hAnsi="Arial"/>
                <w:sz w:val="18"/>
                <w:szCs w:val="18"/>
                <w:color w:val="auto"/>
              </w:rPr>
              <w:t>grants</w:t>
            </w: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against excessive risk taking</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300" w:type="dxa"/>
            <w:vAlign w:val="bottom"/>
            <w:tcBorders>
              <w:lef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20"/>
              <w:spacing w:after="0"/>
              <w:rPr>
                <w:sz w:val="20"/>
                <w:szCs w:val="20"/>
                <w:color w:val="auto"/>
              </w:rPr>
            </w:pPr>
            <w:r>
              <w:rPr>
                <w:rFonts w:ascii="Arial" w:cs="Arial" w:eastAsia="Arial" w:hAnsi="Arial"/>
                <w:sz w:val="18"/>
                <w:szCs w:val="18"/>
                <w:color w:val="auto"/>
              </w:rPr>
              <w:t>Independent compensation consultant</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96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Regular investor engagement on</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compensation and other matters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96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Equity Ownership Guidelines for executive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officers and directors</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3960" w:type="dxa"/>
            <w:vAlign w:val="bottom"/>
            <w:tcBorders>
              <w:left w:val="single" w:sz="8" w:color="auto"/>
            </w:tcBorders>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Clawback Policy that applies to incentive-</w:t>
            </w:r>
          </w:p>
        </w:tc>
        <w:tc>
          <w:tcPr>
            <w:tcW w:w="16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00" w:type="dxa"/>
            <w:vAlign w:val="bottom"/>
            <w:tcBorders>
              <w:left w:val="single" w:sz="8" w:color="auto"/>
            </w:tcBorders>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based and other compensation</w:t>
            </w:r>
          </w:p>
        </w:tc>
        <w:tc>
          <w:tcPr>
            <w:tcW w:w="1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00" w:type="dxa"/>
            <w:vAlign w:val="bottom"/>
            <w:tcBorders>
              <w:left w:val="single" w:sz="8" w:color="auto"/>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-3188335</wp:posOffset>
            </wp:positionV>
            <wp:extent cx="60325" cy="603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-2991485</wp:posOffset>
            </wp:positionV>
            <wp:extent cx="60325"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-2811145</wp:posOffset>
            </wp:positionV>
            <wp:extent cx="60325"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-2485390</wp:posOffset>
            </wp:positionV>
            <wp:extent cx="60325"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5969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-2151380</wp:posOffset>
            </wp:positionV>
            <wp:extent cx="60325" cy="60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6032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-1816735</wp:posOffset>
            </wp:positionV>
            <wp:extent cx="6032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Engagement</w:t>
      </w:r>
    </w:p>
    <w:p>
      <w:pPr>
        <w:spacing w:after="0" w:line="142" w:lineRule="exact"/>
        <w:rPr>
          <w:sz w:val="20"/>
          <w:szCs w:val="20"/>
          <w:color w:val="auto"/>
        </w:rPr>
      </w:pPr>
    </w:p>
    <w:p>
      <w:pPr>
        <w:ind w:left="1260" w:firstLine="360"/>
        <w:spacing w:after="0" w:line="256" w:lineRule="auto"/>
        <w:rPr>
          <w:sz w:val="20"/>
          <w:szCs w:val="20"/>
          <w:color w:val="auto"/>
        </w:rPr>
      </w:pPr>
      <w:r>
        <w:rPr>
          <w:rFonts w:ascii="Arial" w:cs="Arial" w:eastAsia="Arial" w:hAnsi="Arial"/>
          <w:sz w:val="18"/>
          <w:szCs w:val="18"/>
          <w:color w:val="auto"/>
        </w:rPr>
        <w:t>At our last annual meeting, over 98% of our voting equity holders approved our executive compensation program. Although this “say on pay” vote is advisory and non-binding, our Compensation Committee and Board value the opinions of our unitholders and consider the results of “say on pay” votes and direct feedback received from investors when making future compensation decisions for our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286" w:right="739" w:hanging="286"/>
        <w:spacing w:after="0" w:line="183" w:lineRule="auto"/>
        <w:tabs>
          <w:tab w:leader="none" w:pos="230" w:val="left"/>
        </w:tabs>
        <w:numPr>
          <w:ilvl w:val="0"/>
          <w:numId w:val="42"/>
        </w:numPr>
        <w:rPr>
          <w:rFonts w:ascii="Arial" w:cs="Arial" w:eastAsia="Arial" w:hAnsi="Arial"/>
          <w:sz w:val="57"/>
          <w:szCs w:val="57"/>
          <w:b w:val="1"/>
          <w:bCs w:val="1"/>
          <w:color w:val="auto"/>
          <w:vertAlign w:val="subscript"/>
        </w:rPr>
      </w:pPr>
      <w:r>
        <w:rPr>
          <w:rFonts w:ascii="Arial" w:cs="Arial" w:eastAsia="Arial" w:hAnsi="Arial"/>
          <w:sz w:val="28"/>
          <w:szCs w:val="28"/>
          <w:b w:val="1"/>
          <w:bCs w:val="1"/>
          <w:color w:val="auto"/>
        </w:rPr>
        <w:t>98% Say on Pay Support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-751205</wp:posOffset>
            </wp:positionV>
            <wp:extent cx="1783080" cy="1045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1045845"/>
                    </a:xfrm>
                    <a:prstGeom prst="rect">
                      <a:avLst/>
                    </a:prstGeom>
                    <a:noFill/>
                  </pic:spPr>
                </pic:pic>
              </a:graphicData>
            </a:graphic>
          </wp:anchor>
        </w:drawing>
      </w:r>
    </w:p>
    <w:p>
      <w:pPr>
        <w:spacing w:after="0" w:line="457" w:lineRule="exact"/>
        <w:rPr>
          <w:sz w:val="20"/>
          <w:szCs w:val="20"/>
          <w:color w:val="auto"/>
        </w:rPr>
      </w:pPr>
    </w:p>
    <w:p>
      <w:pPr>
        <w:sectPr>
          <w:pgSz w:w="11900" w:h="16838" w:orient="portrait"/>
          <w:cols w:equalWidth="0" w:num="2">
            <w:col w:w="6440" w:space="254"/>
            <w:col w:w="3185"/>
          </w:cols>
          <w:pgMar w:left="580" w:top="97"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Our investor relations team and members of our senior</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management team regularly meet with investors and other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stakeholders to seek input and feedback on a wide range of</w:t>
      </w:r>
    </w:p>
    <w:p>
      <w:pPr>
        <w:spacing w:after="0" w:line="9" w:lineRule="exact"/>
        <w:rPr>
          <w:sz w:val="20"/>
          <w:szCs w:val="20"/>
          <w:color w:val="auto"/>
        </w:rPr>
      </w:pPr>
    </w:p>
    <w:p>
      <w:pPr>
        <w:ind w:left="1260" w:right="479"/>
        <w:spacing w:after="0" w:line="253" w:lineRule="auto"/>
        <w:rPr>
          <w:sz w:val="20"/>
          <w:szCs w:val="20"/>
          <w:color w:val="auto"/>
        </w:rPr>
      </w:pPr>
      <w:r>
        <w:rPr>
          <w:rFonts w:ascii="Arial" w:cs="Arial" w:eastAsia="Arial" w:hAnsi="Arial"/>
          <w:sz w:val="18"/>
          <w:szCs w:val="18"/>
          <w:color w:val="auto"/>
        </w:rPr>
        <w:t>topics, including executive compensation. On an annual basis, as part of our ongoing investor outreach and engagement process, we actively solicit feedback from investors regarding our executive compensation programs and other important matters, including our evolving governance practices and sustainability efforts. In connection with this process during 2023, we reached out to more than 20 of our largest unaffiliated investors representing, as of December 31, 2023, approximately 40% of our outstanding voting equity (excluding executive officers and Directors who collectively hold approximately 10% of our outstanding voting equity).</w:t>
      </w:r>
    </w:p>
    <w:p>
      <w:pPr>
        <w:sectPr>
          <w:pgSz w:w="11900" w:h="16838" w:orient="portrait"/>
          <w:cols w:equalWidth="0" w:num="1">
            <w:col w:w="9879"/>
          </w:cols>
          <w:pgMar w:left="580" w:top="97" w:right="1440" w:bottom="1440" w:gutter="0" w:footer="0" w:header="0"/>
          <w:type w:val="continuous"/>
        </w:sectPr>
      </w:pPr>
    </w:p>
    <w:p>
      <w:pPr>
        <w:spacing w:after="0" w:line="115" w:lineRule="exact"/>
        <w:rPr>
          <w:sz w:val="20"/>
          <w:szCs w:val="20"/>
          <w:color w:val="auto"/>
        </w:rPr>
      </w:pPr>
    </w:p>
    <w:p>
      <w:pPr>
        <w:ind w:left="1260" w:firstLine="360"/>
        <w:spacing w:after="0" w:line="255" w:lineRule="auto"/>
        <w:rPr>
          <w:sz w:val="20"/>
          <w:szCs w:val="20"/>
          <w:color w:val="auto"/>
        </w:rPr>
      </w:pPr>
      <w:r>
        <w:rPr>
          <w:rFonts w:ascii="Arial" w:cs="Arial" w:eastAsia="Arial" w:hAnsi="Arial"/>
          <w:sz w:val="18"/>
          <w:szCs w:val="18"/>
          <w:color w:val="auto"/>
        </w:rPr>
        <w:t>We refer to the process of receiving and incorporating investor feedback into our decision-making process regarding our executive compensation program as the “feedback loop” that we have developed with our investors over the years. As we strive for continuous improvement, we believe that this “feedback loop” is critical to maintaining a compensation program and structure that aligns the interests of our executive officers with the interests of our investors.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379"/>
        <w:spacing w:after="0" w:line="209" w:lineRule="auto"/>
        <w:rPr>
          <w:sz w:val="20"/>
          <w:szCs w:val="20"/>
          <w:color w:val="auto"/>
        </w:rPr>
      </w:pPr>
      <w:r>
        <w:rPr>
          <w:rFonts w:ascii="Arial" w:cs="Arial" w:eastAsia="Arial" w:hAnsi="Arial"/>
          <w:sz w:val="25"/>
          <w:szCs w:val="25"/>
          <w:b w:val="1"/>
          <w:bCs w:val="1"/>
          <w:color w:val="auto"/>
        </w:rPr>
        <w:t xml:space="preserve">Outreach in 2023 to </w:t>
      </w:r>
      <w:r>
        <w:rPr>
          <w:rFonts w:ascii="Arial" w:cs="Arial" w:eastAsia="Arial" w:hAnsi="Arial"/>
          <w:sz w:val="50"/>
          <w:szCs w:val="50"/>
          <w:b w:val="1"/>
          <w:bCs w:val="1"/>
          <w:color w:val="auto"/>
          <w:vertAlign w:val="subscript"/>
        </w:rPr>
        <w:t>​</w:t>
      </w:r>
      <w:r>
        <w:rPr>
          <w:rFonts w:ascii="Arial" w:cs="Arial" w:eastAsia="Arial" w:hAnsi="Arial"/>
          <w:sz w:val="25"/>
          <w:szCs w:val="25"/>
          <w:b w:val="1"/>
          <w:bCs w:val="1"/>
          <w:color w:val="auto"/>
        </w:rPr>
        <w:t xml:space="preserve">unaffiliated holders of </w:t>
      </w:r>
      <w:r>
        <w:rPr>
          <w:rFonts w:ascii="Arial" w:cs="Arial" w:eastAsia="Arial" w:hAnsi="Arial"/>
          <w:sz w:val="50"/>
          <w:szCs w:val="50"/>
          <w:b w:val="1"/>
          <w:bCs w:val="1"/>
          <w:color w:val="auto"/>
          <w:vertAlign w:val="subscript"/>
        </w:rPr>
        <w:t>​</w:t>
      </w:r>
      <w:r>
        <w:rPr>
          <w:rFonts w:ascii="Arial" w:cs="Arial" w:eastAsia="Arial" w:hAnsi="Arial"/>
          <w:sz w:val="25"/>
          <w:szCs w:val="25"/>
          <w:b w:val="1"/>
          <w:bCs w:val="1"/>
          <w:color w:val="auto"/>
        </w:rPr>
        <w:t xml:space="preserve"> ~40% of total outstanding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-915670</wp:posOffset>
            </wp:positionV>
            <wp:extent cx="1783080" cy="1045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83080" cy="104584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6440" w:space="260"/>
            <w:col w:w="3179"/>
          </w:cols>
          <w:pgMar w:left="580" w:top="97" w:right="1440" w:bottom="1440" w:gutter="0" w:footer="0" w:header="0"/>
          <w:type w:val="continuous"/>
        </w:sectPr>
      </w:pPr>
    </w:p>
    <w:p>
      <w:pPr>
        <w:ind w:left="1620"/>
        <w:spacing w:after="0"/>
        <w:rPr>
          <w:sz w:val="20"/>
          <w:szCs w:val="20"/>
          <w:color w:val="auto"/>
        </w:rPr>
      </w:pPr>
      <w:r>
        <w:rPr>
          <w:rFonts w:ascii="Arial" w:cs="Arial" w:eastAsia="Arial" w:hAnsi="Arial"/>
          <w:sz w:val="18"/>
          <w:szCs w:val="18"/>
          <w:color w:val="auto"/>
        </w:rPr>
        <w:t>Overall, the design of our 2023 executive compensation</w:t>
      </w:r>
    </w:p>
    <w:p>
      <w:pPr>
        <w:spacing w:after="0" w:line="32" w:lineRule="exact"/>
        <w:rPr>
          <w:sz w:val="20"/>
          <w:szCs w:val="20"/>
          <w:color w:val="auto"/>
        </w:rPr>
      </w:pPr>
    </w:p>
    <w:p>
      <w:pPr>
        <w:ind w:left="1260" w:right="1459"/>
        <w:spacing w:after="0" w:line="292" w:lineRule="auto"/>
        <w:rPr>
          <w:sz w:val="20"/>
          <w:szCs w:val="20"/>
          <w:color w:val="auto"/>
        </w:rPr>
      </w:pPr>
      <w:r>
        <w:rPr>
          <w:rFonts w:ascii="Arial" w:cs="Arial" w:eastAsia="Arial" w:hAnsi="Arial"/>
          <w:sz w:val="18"/>
          <w:szCs w:val="18"/>
          <w:color w:val="auto"/>
        </w:rPr>
        <w:t>program did not materially change relative to 2022. The Compensation Committee and our management team are constantly reviewing the design</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our programs to ensure that they remain aligned with investor interests and evolving best practices.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will continue to seek direct input from our investors as part of that process.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Commitment to Pay for Performance</w:t>
      </w:r>
    </w:p>
    <w:p>
      <w:pPr>
        <w:spacing w:after="0" w:line="156"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Our executive compensation philosophy is focused on a long-term pay for performance culture designed to attract and retain key management talent in a competitive industry and market. Our program combines relatively low base pay (as a percentage of total rewards) with higher variable, at-risk compensation opportunities based on objective and transparent performance requirements. As demonstrated in the graphic below, in 2023, at target, approximately 89% of our CEO’s compensation and approximately 82% of our other NEOs’ compensation consisted of at-risk compensation.</w:t>
      </w:r>
    </w:p>
    <w:p>
      <w:pPr>
        <w:spacing w:after="0" w:line="17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Majority of NEO Pay At-Risk and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128905</wp:posOffset>
            </wp:positionV>
            <wp:extent cx="4680585" cy="2700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8058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20" w:right="459" w:hanging="360"/>
        <w:spacing w:after="0" w:line="268"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NEOs” graphic excludes Mr. Pefanis. Mr. Pefanis is a co-founder and substantial equity owner and for the last several years has requested to not participate in the long-term incentive program, which results in an at-risk compensation percentage for Mr. Pefanis of 67%.</w:t>
      </w:r>
    </w:p>
    <w:p>
      <w:pPr>
        <w:spacing w:after="0" w:line="90" w:lineRule="exact"/>
        <w:rPr>
          <w:sz w:val="20"/>
          <w:szCs w:val="20"/>
          <w:color w:val="auto"/>
        </w:rPr>
      </w:pPr>
    </w:p>
    <w:p>
      <w:pPr>
        <w:ind w:left="1260" w:right="479" w:firstLine="360"/>
        <w:spacing w:after="0" w:line="242" w:lineRule="auto"/>
        <w:rPr>
          <w:sz w:val="20"/>
          <w:szCs w:val="20"/>
          <w:color w:val="auto"/>
        </w:rPr>
      </w:pPr>
      <w:r>
        <w:rPr>
          <w:rFonts w:ascii="Arial" w:cs="Arial" w:eastAsia="Arial" w:hAnsi="Arial"/>
          <w:sz w:val="18"/>
          <w:szCs w:val="18"/>
          <w:color w:val="auto"/>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attributable to PAA and distributable cash flow (“DCF”) per common unit equivalent (“CUE”). The primary long-term performance measures included in our equity incentive grants are DCF per CUE over a 3-year period (with a leverage modifier) and relative TSR over a 3-year period. We believe our short- and long-term performance metrics are consistent with our overall financial strategy of maintaining financial flexibility and generating attractive shareholder returns.</w:t>
      </w:r>
    </w:p>
    <w:p>
      <w:pPr>
        <w:spacing w:after="0" w:line="12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color w:val="auto"/>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1234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5" w:lineRule="exact"/>
        <w:rPr>
          <w:sz w:val="20"/>
          <w:szCs w:val="20"/>
          <w:color w:val="auto"/>
        </w:rPr>
      </w:pPr>
    </w:p>
    <w:p>
      <w:pPr>
        <w:ind w:left="1620" w:right="439" w:hanging="360"/>
        <w:spacing w:after="0" w:line="232" w:lineRule="auto"/>
        <w:tabs>
          <w:tab w:leader="none" w:pos="162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color w:val="auto"/>
        </w:rPr>
        <w:t>Earnings before interest, taxes, depreciation and amortization (including our proportionate share of depreciation and amortization, including write-downs related to canceled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55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attract and retain </w:t>
      </w:r>
      <w:r>
        <w:rPr>
          <w:rFonts w:ascii="Arial" w:cs="Arial" w:eastAsia="Arial" w:hAnsi="Arial"/>
          <w:sz w:val="18"/>
          <w:szCs w:val="18"/>
          <w:color w:val="auto"/>
        </w:rPr>
        <w:t>individuals with the background and skills necessary to successfully execute</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model in a demanding environment;</w:t>
      </w:r>
    </w:p>
    <w:p>
      <w:pPr>
        <w:spacing w:after="0" w:line="44" w:lineRule="exact"/>
        <w:rPr>
          <w:rFonts w:ascii="Arial" w:cs="Arial" w:eastAsia="Arial" w:hAnsi="Arial"/>
          <w:sz w:val="18"/>
          <w:szCs w:val="18"/>
          <w:color w:val="auto"/>
        </w:rPr>
      </w:pPr>
    </w:p>
    <w:p>
      <w:pPr>
        <w:ind w:left="1800" w:right="459" w:hanging="180"/>
        <w:spacing w:after="0" w:line="268"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by tying a majority of NEO pay (58% for the CEO and 55% on average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NEOs) to achievement of specific near-term and long-term goals that drive long-term growth in unitholder value; and</w:t>
      </w:r>
    </w:p>
    <w:p>
      <w:pPr>
        <w:spacing w:after="0" w:line="76" w:lineRule="exact"/>
        <w:rPr>
          <w:rFonts w:ascii="Arial" w:cs="Arial" w:eastAsia="Arial" w:hAnsi="Arial"/>
          <w:sz w:val="18"/>
          <w:szCs w:val="18"/>
          <w:color w:val="auto"/>
        </w:rPr>
      </w:pPr>
    </w:p>
    <w:p>
      <w:pPr>
        <w:ind w:left="1800" w:right="1119" w:hanging="180"/>
        <w:spacing w:after="0" w:line="28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directly align our NEOs with our unitholders </w:t>
      </w:r>
      <w:r>
        <w:rPr>
          <w:rFonts w:ascii="Arial" w:cs="Arial" w:eastAsia="Arial" w:hAnsi="Arial"/>
          <w:sz w:val="18"/>
          <w:szCs w:val="18"/>
          <w:color w:val="auto"/>
        </w:rPr>
        <w:t>through the use of equity incentives and</w:t>
      </w:r>
      <w:r>
        <w:rPr>
          <w:rFonts w:ascii="Arial" w:cs="Arial" w:eastAsia="Arial" w:hAnsi="Arial"/>
          <w:sz w:val="18"/>
          <w:szCs w:val="18"/>
          <w:b w:val="1"/>
          <w:bCs w:val="1"/>
          <w:color w:val="auto"/>
        </w:rPr>
        <w:t xml:space="preserve"> </w:t>
      </w:r>
      <w:r>
        <w:rPr>
          <w:rFonts w:ascii="Arial" w:cs="Arial" w:eastAsia="Arial" w:hAnsi="Arial"/>
          <w:sz w:val="18"/>
          <w:szCs w:val="18"/>
          <w:color w:val="auto"/>
        </w:rPr>
        <w:t>encouragement of long-term unit ownership.</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Elements and Objectives</w:t>
      </w:r>
    </w:p>
    <w:p>
      <w:pPr>
        <w:spacing w:after="0" w:line="14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use three primary elements of compensation in combination with market competitive benefits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2023 executive compensation program:</w:t>
      </w:r>
    </w:p>
    <w:p>
      <w:pPr>
        <w:spacing w:after="0" w:line="73" w:lineRule="exact"/>
        <w:rPr>
          <w:sz w:val="20"/>
          <w:szCs w:val="20"/>
          <w:color w:val="auto"/>
        </w:rPr>
      </w:pPr>
    </w:p>
    <w:tbl>
      <w:tblPr>
        <w:tblLayout w:type="fixed"/>
        <w:tblInd w:w="1270" w:type="dxa"/>
        <w:tblCellMar>
          <w:top w:w="0" w:type="dxa"/>
          <w:left w:w="0" w:type="dxa"/>
          <w:bottom w:w="0" w:type="dxa"/>
          <w:right w:w="0" w:type="dxa"/>
        </w:tblCellMar>
      </w:tblPr>
      <w:tr>
        <w:trPr>
          <w:trHeight w:val="176"/>
        </w:trPr>
        <w:tc>
          <w:tcPr>
            <w:tcW w:w="1700" w:type="dxa"/>
            <w:vAlign w:val="bottom"/>
            <w:tcBorders>
              <w:top w:val="single" w:sz="8" w:color="auto"/>
              <w:left w:val="single" w:sz="8" w:color="auto"/>
              <w:bottom w:val="single" w:sz="8" w:color="auto"/>
            </w:tcBorders>
            <w:shd w:val="clear" w:color="auto" w:fill="424E6A"/>
          </w:tcPr>
          <w:p>
            <w:pPr>
              <w:ind w:left="480"/>
              <w:spacing w:after="0"/>
              <w:rPr>
                <w:sz w:val="20"/>
                <w:szCs w:val="20"/>
                <w:color w:val="auto"/>
              </w:rPr>
            </w:pPr>
            <w:r>
              <w:rPr>
                <w:rFonts w:ascii="Arial" w:cs="Arial" w:eastAsia="Arial" w:hAnsi="Arial"/>
                <w:sz w:val="14"/>
                <w:szCs w:val="14"/>
                <w:b w:val="1"/>
                <w:bCs w:val="1"/>
                <w:color w:val="FFFFFF"/>
              </w:rPr>
              <w:t>What We Pay</w:t>
            </w:r>
          </w:p>
        </w:tc>
        <w:tc>
          <w:tcPr>
            <w:tcW w:w="300" w:type="dxa"/>
            <w:vAlign w:val="bottom"/>
            <w:tcBorders>
              <w:top w:val="single" w:sz="8" w:color="auto"/>
              <w:bottom w:val="single" w:sz="8" w:color="auto"/>
            </w:tcBorders>
            <w:gridSpan w:val="2"/>
            <w:shd w:val="clear" w:color="auto" w:fill="424E6A"/>
          </w:tcPr>
          <w:p>
            <w:pPr>
              <w:ind w:left="160"/>
              <w:spacing w:after="0"/>
              <w:rPr>
                <w:sz w:val="20"/>
                <w:szCs w:val="20"/>
                <w:color w:val="auto"/>
              </w:rPr>
            </w:pPr>
            <w:r>
              <w:rPr>
                <w:rFonts w:ascii="Arial" w:cs="Arial" w:eastAsia="Arial" w:hAnsi="Arial"/>
                <w:sz w:val="14"/>
                <w:szCs w:val="14"/>
                <w:b w:val="1"/>
                <w:bCs w:val="1"/>
                <w:color w:val="FFFFFF"/>
              </w:rPr>
              <w:t>​ ​</w:t>
            </w:r>
          </w:p>
        </w:tc>
        <w:tc>
          <w:tcPr>
            <w:tcW w:w="2380" w:type="dxa"/>
            <w:vAlign w:val="bottom"/>
            <w:tcBorders>
              <w:top w:val="single" w:sz="8" w:color="auto"/>
              <w:bottom w:val="single" w:sz="8" w:color="auto"/>
            </w:tcBorders>
            <w:shd w:val="clear" w:color="auto" w:fill="424E6A"/>
          </w:tcPr>
          <w:p>
            <w:pPr>
              <w:ind w:left="720"/>
              <w:spacing w:after="0"/>
              <w:rPr>
                <w:sz w:val="20"/>
                <w:szCs w:val="20"/>
                <w:color w:val="auto"/>
              </w:rPr>
            </w:pPr>
            <w:r>
              <w:rPr>
                <w:rFonts w:ascii="Arial" w:cs="Arial" w:eastAsia="Arial" w:hAnsi="Arial"/>
                <w:sz w:val="14"/>
                <w:szCs w:val="14"/>
                <w:b w:val="1"/>
                <w:bCs w:val="1"/>
                <w:color w:val="FFFFFF"/>
              </w:rPr>
              <w:t>Why We Pay It</w:t>
            </w:r>
          </w:p>
        </w:tc>
        <w:tc>
          <w:tcPr>
            <w:tcW w:w="340" w:type="dxa"/>
            <w:vAlign w:val="bottom"/>
            <w:tcBorders>
              <w:top w:val="single" w:sz="8" w:color="auto"/>
              <w:bottom w:val="single" w:sz="8" w:color="auto"/>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3500" w:type="dxa"/>
            <w:vAlign w:val="bottom"/>
            <w:tcBorders>
              <w:top w:val="single" w:sz="8" w:color="auto"/>
              <w:bottom w:val="single" w:sz="8" w:color="auto"/>
              <w:right w:val="single" w:sz="8" w:color="auto"/>
            </w:tcBorders>
            <w:shd w:val="clear" w:color="auto" w:fill="424E6A"/>
          </w:tcPr>
          <w:p>
            <w:pPr>
              <w:ind w:left="1200"/>
              <w:spacing w:after="0"/>
              <w:rPr>
                <w:sz w:val="20"/>
                <w:szCs w:val="20"/>
                <w:color w:val="auto"/>
              </w:rPr>
            </w:pPr>
            <w:r>
              <w:rPr>
                <w:rFonts w:ascii="Arial" w:cs="Arial" w:eastAsia="Arial" w:hAnsi="Arial"/>
                <w:sz w:val="14"/>
                <w:szCs w:val="14"/>
                <w:b w:val="1"/>
                <w:bCs w:val="1"/>
                <w:color w:val="FFFFFF"/>
              </w:rPr>
              <w:t>Key Features</w:t>
            </w:r>
          </w:p>
        </w:tc>
        <w:tc>
          <w:tcPr>
            <w:tcW w:w="0" w:type="dxa"/>
            <w:vAlign w:val="bottom"/>
          </w:tcPr>
          <w:p>
            <w:pPr>
              <w:spacing w:after="0"/>
              <w:rPr>
                <w:sz w:val="1"/>
                <w:szCs w:val="1"/>
                <w:color w:val="auto"/>
              </w:rPr>
            </w:pPr>
          </w:p>
        </w:tc>
      </w:tr>
      <w:tr>
        <w:trPr>
          <w:trHeight w:val="218"/>
        </w:trPr>
        <w:tc>
          <w:tcPr>
            <w:tcW w:w="170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Base Salary</w:t>
            </w: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ind w:left="20"/>
              <w:spacing w:after="0"/>
              <w:rPr>
                <w:sz w:val="20"/>
                <w:szCs w:val="20"/>
                <w:color w:val="auto"/>
              </w:rPr>
            </w:pPr>
            <w:r>
              <w:rPr>
                <w:rFonts w:ascii="Arial" w:cs="Arial" w:eastAsia="Arial" w:hAnsi="Arial"/>
                <w:sz w:val="18"/>
                <w:szCs w:val="18"/>
                <w:color w:val="auto"/>
              </w:rPr>
              <w:t>Attract and retain high-</w:t>
            </w: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Foundational element of our</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ind w:left="20"/>
              <w:spacing w:after="0"/>
              <w:rPr>
                <w:sz w:val="20"/>
                <w:szCs w:val="20"/>
                <w:color w:val="auto"/>
              </w:rPr>
            </w:pPr>
            <w:r>
              <w:rPr>
                <w:rFonts w:ascii="Arial" w:cs="Arial" w:eastAsia="Arial" w:hAnsi="Arial"/>
                <w:sz w:val="18"/>
                <w:szCs w:val="18"/>
                <w:color w:val="auto"/>
              </w:rPr>
              <w:t>performing executives by</w:t>
            </w: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compensation program; short-term and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ind w:left="20"/>
              <w:spacing w:after="0"/>
              <w:rPr>
                <w:sz w:val="20"/>
                <w:szCs w:val="20"/>
                <w:color w:val="auto"/>
              </w:rPr>
            </w:pPr>
            <w:r>
              <w:rPr>
                <w:rFonts w:ascii="Arial" w:cs="Arial" w:eastAsia="Arial" w:hAnsi="Arial"/>
                <w:sz w:val="18"/>
                <w:szCs w:val="18"/>
                <w:color w:val="auto"/>
              </w:rPr>
              <w:t>providing a secure and</w:t>
            </w: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long-term incentive compensation</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ind w:left="20"/>
              <w:spacing w:after="0"/>
              <w:rPr>
                <w:sz w:val="20"/>
                <w:szCs w:val="20"/>
                <w:color w:val="auto"/>
              </w:rPr>
            </w:pPr>
            <w:r>
              <w:rPr>
                <w:rFonts w:ascii="Arial" w:cs="Arial" w:eastAsia="Arial" w:hAnsi="Arial"/>
                <w:sz w:val="18"/>
                <w:szCs w:val="18"/>
                <w:color w:val="auto"/>
              </w:rPr>
              <w:t>appropriate level of base pay</w:t>
            </w: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components are based on a percentage of</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tcBorders>
            <w:shd w:val="clear" w:color="auto" w:fill="D9DCE1"/>
          </w:tcPr>
          <w:p>
            <w:pPr>
              <w:spacing w:after="0"/>
              <w:rPr>
                <w:sz w:val="20"/>
                <w:szCs w:val="20"/>
                <w:color w:val="auto"/>
              </w:rPr>
            </w:pPr>
          </w:p>
        </w:tc>
        <w:tc>
          <w:tcPr>
            <w:tcW w:w="22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380" w:type="dxa"/>
            <w:vAlign w:val="bottom"/>
            <w:shd w:val="clear" w:color="auto" w:fill="D9DCE1"/>
          </w:tcPr>
          <w:p>
            <w:pPr>
              <w:spacing w:after="0"/>
              <w:rPr>
                <w:sz w:val="20"/>
                <w:szCs w:val="20"/>
                <w:color w:val="auto"/>
              </w:rPr>
            </w:pPr>
          </w:p>
        </w:tc>
        <w:tc>
          <w:tcPr>
            <w:tcW w:w="120" w:type="dxa"/>
            <w:vAlign w:val="bottom"/>
            <w:tcBorders>
              <w:right w:val="single" w:sz="8" w:color="auto"/>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base salary</w:t>
            </w:r>
          </w:p>
        </w:tc>
        <w:tc>
          <w:tcPr>
            <w:tcW w:w="0" w:type="dxa"/>
            <w:vAlign w:val="bottom"/>
          </w:tcPr>
          <w:p>
            <w:pPr>
              <w:spacing w:after="0"/>
              <w:rPr>
                <w:sz w:val="1"/>
                <w:szCs w:val="1"/>
                <w:color w:val="auto"/>
              </w:rPr>
            </w:pPr>
          </w:p>
        </w:tc>
      </w:tr>
      <w:tr>
        <w:trPr>
          <w:trHeight w:val="342"/>
        </w:trPr>
        <w:tc>
          <w:tcPr>
            <w:tcW w:w="1700" w:type="dxa"/>
            <w:vAlign w:val="bottom"/>
            <w:tcBorders>
              <w:left w:val="single" w:sz="8" w:color="auto"/>
            </w:tcBorders>
            <w:shd w:val="clear" w:color="auto" w:fill="D9DCE1"/>
          </w:tcPr>
          <w:p>
            <w:pPr>
              <w:spacing w:after="0"/>
              <w:rPr>
                <w:sz w:val="24"/>
                <w:szCs w:val="24"/>
                <w:color w:val="auto"/>
              </w:rPr>
            </w:pPr>
          </w:p>
        </w:tc>
        <w:tc>
          <w:tcPr>
            <w:tcW w:w="22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380" w:type="dxa"/>
            <w:vAlign w:val="bottom"/>
            <w:shd w:val="clear" w:color="auto" w:fill="D9DCE1"/>
          </w:tcPr>
          <w:p>
            <w:pPr>
              <w:spacing w:after="0"/>
              <w:rPr>
                <w:sz w:val="24"/>
                <w:szCs w:val="24"/>
                <w:color w:val="auto"/>
              </w:rPr>
            </w:pPr>
          </w:p>
        </w:tc>
        <w:tc>
          <w:tcPr>
            <w:tcW w:w="120" w:type="dxa"/>
            <w:vAlign w:val="bottom"/>
            <w:tcBorders>
              <w:right w:val="single" w:sz="8" w:color="auto"/>
            </w:tcBorders>
            <w:shd w:val="clear" w:color="auto" w:fill="D9DCE1"/>
          </w:tcPr>
          <w:p>
            <w:pPr>
              <w:spacing w:after="0"/>
              <w:rPr>
                <w:sz w:val="24"/>
                <w:szCs w:val="24"/>
                <w:color w:val="auto"/>
              </w:rPr>
            </w:pPr>
          </w:p>
        </w:tc>
        <w:tc>
          <w:tcPr>
            <w:tcW w:w="372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8"/>
                <w:szCs w:val="18"/>
                <w:color w:val="auto"/>
              </w:rPr>
              <w:t>• Subject to adjustment periodically based</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tcBorders>
            <w:shd w:val="clear" w:color="auto" w:fill="D9DCE1"/>
          </w:tcPr>
          <w:p>
            <w:pPr>
              <w:spacing w:after="0"/>
              <w:rPr>
                <w:sz w:val="20"/>
                <w:szCs w:val="20"/>
                <w:color w:val="auto"/>
              </w:rPr>
            </w:pPr>
          </w:p>
        </w:tc>
        <w:tc>
          <w:tcPr>
            <w:tcW w:w="22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380" w:type="dxa"/>
            <w:vAlign w:val="bottom"/>
            <w:shd w:val="clear" w:color="auto" w:fill="D9DCE1"/>
          </w:tcPr>
          <w:p>
            <w:pPr>
              <w:spacing w:after="0"/>
              <w:rPr>
                <w:sz w:val="20"/>
                <w:szCs w:val="20"/>
                <w:color w:val="auto"/>
              </w:rPr>
            </w:pPr>
          </w:p>
        </w:tc>
        <w:tc>
          <w:tcPr>
            <w:tcW w:w="120" w:type="dxa"/>
            <w:vAlign w:val="bottom"/>
            <w:tcBorders>
              <w:right w:val="single" w:sz="8" w:color="auto"/>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in part on competitive market data</w:t>
            </w:r>
          </w:p>
        </w:tc>
        <w:tc>
          <w:tcPr>
            <w:tcW w:w="0" w:type="dxa"/>
            <w:vAlign w:val="bottom"/>
          </w:tcPr>
          <w:p>
            <w:pPr>
              <w:spacing w:after="0"/>
              <w:rPr>
                <w:sz w:val="1"/>
                <w:szCs w:val="1"/>
                <w:color w:val="auto"/>
              </w:rPr>
            </w:pPr>
          </w:p>
        </w:tc>
      </w:tr>
      <w:tr>
        <w:trPr>
          <w:trHeight w:val="342"/>
        </w:trPr>
        <w:tc>
          <w:tcPr>
            <w:tcW w:w="1700" w:type="dxa"/>
            <w:vAlign w:val="bottom"/>
            <w:tcBorders>
              <w:left w:val="single" w:sz="8" w:color="auto"/>
            </w:tcBorders>
            <w:shd w:val="clear" w:color="auto" w:fill="D9DCE1"/>
          </w:tcPr>
          <w:p>
            <w:pPr>
              <w:spacing w:after="0"/>
              <w:rPr>
                <w:sz w:val="24"/>
                <w:szCs w:val="24"/>
                <w:color w:val="auto"/>
              </w:rPr>
            </w:pPr>
          </w:p>
        </w:tc>
        <w:tc>
          <w:tcPr>
            <w:tcW w:w="22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380" w:type="dxa"/>
            <w:vAlign w:val="bottom"/>
            <w:shd w:val="clear" w:color="auto" w:fill="D9DCE1"/>
          </w:tcPr>
          <w:p>
            <w:pPr>
              <w:spacing w:after="0"/>
              <w:rPr>
                <w:sz w:val="24"/>
                <w:szCs w:val="24"/>
                <w:color w:val="auto"/>
              </w:rPr>
            </w:pPr>
          </w:p>
        </w:tc>
        <w:tc>
          <w:tcPr>
            <w:tcW w:w="120" w:type="dxa"/>
            <w:vAlign w:val="bottom"/>
            <w:tcBorders>
              <w:right w:val="single" w:sz="8" w:color="auto"/>
            </w:tcBorders>
            <w:shd w:val="clear" w:color="auto" w:fill="D9DCE1"/>
          </w:tcPr>
          <w:p>
            <w:pPr>
              <w:spacing w:after="0"/>
              <w:rPr>
                <w:sz w:val="24"/>
                <w:szCs w:val="24"/>
                <w:color w:val="auto"/>
              </w:rPr>
            </w:pPr>
          </w:p>
        </w:tc>
        <w:tc>
          <w:tcPr>
            <w:tcW w:w="22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Smallest component of NEO</w:t>
            </w:r>
          </w:p>
        </w:tc>
        <w:tc>
          <w:tcPr>
            <w:tcW w:w="0" w:type="dxa"/>
            <w:vAlign w:val="bottom"/>
          </w:tcPr>
          <w:p>
            <w:pPr>
              <w:spacing w:after="0"/>
              <w:rPr>
                <w:sz w:val="1"/>
                <w:szCs w:val="1"/>
                <w:color w:val="auto"/>
              </w:rPr>
            </w:pPr>
          </w:p>
        </w:tc>
      </w:tr>
      <w:tr>
        <w:trPr>
          <w:trHeight w:val="221"/>
        </w:trPr>
        <w:tc>
          <w:tcPr>
            <w:tcW w:w="1700" w:type="dxa"/>
            <w:vAlign w:val="bottom"/>
            <w:tcBorders>
              <w:left w:val="single" w:sz="8" w:color="auto"/>
              <w:bottom w:val="single" w:sz="8" w:color="auto"/>
            </w:tcBorders>
            <w:shd w:val="clear" w:color="auto" w:fill="D9DCE1"/>
          </w:tcPr>
          <w:p>
            <w:pPr>
              <w:spacing w:after="0"/>
              <w:rPr>
                <w:sz w:val="19"/>
                <w:szCs w:val="19"/>
                <w:color w:val="auto"/>
              </w:rPr>
            </w:pPr>
          </w:p>
        </w:tc>
        <w:tc>
          <w:tcPr>
            <w:tcW w:w="220" w:type="dxa"/>
            <w:vAlign w:val="bottom"/>
            <w:tcBorders>
              <w:bottom w:val="single" w:sz="8" w:color="auto"/>
              <w:right w:val="single" w:sz="8" w:color="auto"/>
            </w:tcBorders>
            <w:shd w:val="clear" w:color="auto" w:fill="D9DCE1"/>
          </w:tcPr>
          <w:p>
            <w:pPr>
              <w:spacing w:after="0"/>
              <w:rPr>
                <w:sz w:val="19"/>
                <w:szCs w:val="19"/>
                <w:color w:val="auto"/>
              </w:rPr>
            </w:pPr>
          </w:p>
        </w:tc>
        <w:tc>
          <w:tcPr>
            <w:tcW w:w="80" w:type="dxa"/>
            <w:vAlign w:val="bottom"/>
            <w:tcBorders>
              <w:bottom w:val="single" w:sz="8" w:color="auto"/>
            </w:tcBorders>
            <w:shd w:val="clear" w:color="auto" w:fill="D9DCE1"/>
          </w:tcPr>
          <w:p>
            <w:pPr>
              <w:spacing w:after="0"/>
              <w:rPr>
                <w:sz w:val="19"/>
                <w:szCs w:val="19"/>
                <w:color w:val="auto"/>
              </w:rPr>
            </w:pPr>
          </w:p>
        </w:tc>
        <w:tc>
          <w:tcPr>
            <w:tcW w:w="2380" w:type="dxa"/>
            <w:vAlign w:val="bottom"/>
            <w:tcBorders>
              <w:bottom w:val="single" w:sz="8" w:color="auto"/>
            </w:tcBorders>
            <w:shd w:val="clear" w:color="auto" w:fill="D9DCE1"/>
          </w:tcPr>
          <w:p>
            <w:pPr>
              <w:spacing w:after="0"/>
              <w:rPr>
                <w:sz w:val="19"/>
                <w:szCs w:val="19"/>
                <w:color w:val="auto"/>
              </w:rPr>
            </w:pPr>
          </w:p>
        </w:tc>
        <w:tc>
          <w:tcPr>
            <w:tcW w:w="120" w:type="dxa"/>
            <w:vAlign w:val="bottom"/>
            <w:tcBorders>
              <w:bottom w:val="single" w:sz="8" w:color="auto"/>
              <w:right w:val="single" w:sz="8" w:color="auto"/>
            </w:tcBorders>
            <w:shd w:val="clear" w:color="auto" w:fill="D9DCE1"/>
          </w:tcPr>
          <w:p>
            <w:pPr>
              <w:spacing w:after="0"/>
              <w:rPr>
                <w:sz w:val="19"/>
                <w:szCs w:val="19"/>
                <w:color w:val="auto"/>
              </w:rPr>
            </w:pPr>
          </w:p>
        </w:tc>
        <w:tc>
          <w:tcPr>
            <w:tcW w:w="220" w:type="dxa"/>
            <w:vAlign w:val="bottom"/>
            <w:tcBorders>
              <w:bottom w:val="single" w:sz="8" w:color="auto"/>
            </w:tcBorders>
            <w:shd w:val="clear" w:color="auto" w:fill="D9DCE1"/>
          </w:tcPr>
          <w:p>
            <w:pPr>
              <w:spacing w:after="0"/>
              <w:rPr>
                <w:sz w:val="19"/>
                <w:szCs w:val="19"/>
                <w:color w:val="auto"/>
              </w:rPr>
            </w:pPr>
          </w:p>
        </w:tc>
        <w:tc>
          <w:tcPr>
            <w:tcW w:w="350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18"/>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Annual Cash</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Motivate and reward near-</w:t>
            </w:r>
          </w:p>
        </w:tc>
        <w:tc>
          <w:tcPr>
            <w:tcW w:w="12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100% performance based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Incentive Awards</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term performance and</w:t>
            </w:r>
          </w:p>
        </w:tc>
        <w:tc>
          <w:tcPr>
            <w:tcW w:w="120" w:type="dxa"/>
            <w:vAlign w:val="bottom"/>
            <w:tcBorders>
              <w:right w:val="single" w:sz="8" w:color="auto"/>
            </w:tcBorders>
          </w:tcPr>
          <w:p>
            <w:pPr>
              <w:spacing w:after="0"/>
              <w:rPr>
                <w:sz w:val="18"/>
                <w:szCs w:val="18"/>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Encourages achievement of objective and</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tcBorders>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vMerge w:val="restart"/>
          </w:tcPr>
          <w:p>
            <w:pPr>
              <w:ind w:left="20"/>
              <w:spacing w:after="0"/>
              <w:rPr>
                <w:sz w:val="20"/>
                <w:szCs w:val="20"/>
                <w:color w:val="auto"/>
              </w:rPr>
            </w:pPr>
            <w:r>
              <w:rPr>
                <w:rFonts w:ascii="Arial" w:cs="Arial" w:eastAsia="Arial" w:hAnsi="Arial"/>
                <w:sz w:val="18"/>
                <w:szCs w:val="18"/>
                <w:color w:val="auto"/>
              </w:rPr>
              <w:t>retention</w:t>
            </w:r>
          </w:p>
        </w:tc>
        <w:tc>
          <w:tcPr>
            <w:tcW w:w="120" w:type="dxa"/>
            <w:vAlign w:val="bottom"/>
            <w:tcBorders>
              <w:right w:val="single" w:sz="8" w:color="auto"/>
            </w:tcBorders>
          </w:tcPr>
          <w:p>
            <w:pPr>
              <w:spacing w:after="0"/>
              <w:rPr>
                <w:sz w:val="9"/>
                <w:szCs w:val="9"/>
                <w:color w:val="auto"/>
              </w:rPr>
            </w:pPr>
          </w:p>
        </w:tc>
        <w:tc>
          <w:tcPr>
            <w:tcW w:w="220" w:type="dxa"/>
            <w:vAlign w:val="bottom"/>
            <w:vMerge w:val="continue"/>
          </w:tcPr>
          <w:p>
            <w:pPr>
              <w:spacing w:after="0"/>
              <w:rPr>
                <w:sz w:val="9"/>
                <w:szCs w:val="9"/>
                <w:color w:val="auto"/>
              </w:rPr>
            </w:pPr>
          </w:p>
        </w:tc>
        <w:tc>
          <w:tcPr>
            <w:tcW w:w="3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00" w:type="dxa"/>
            <w:vAlign w:val="bottom"/>
            <w:tcBorders>
              <w:lef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transparent annual business, ESG and</w:t>
            </w:r>
          </w:p>
        </w:tc>
        <w:tc>
          <w:tcPr>
            <w:tcW w:w="0" w:type="dxa"/>
            <w:vAlign w:val="bottom"/>
          </w:tcPr>
          <w:p>
            <w:pPr>
              <w:spacing w:after="0"/>
              <w:rPr>
                <w:sz w:val="1"/>
                <w:szCs w:val="1"/>
                <w:color w:val="auto"/>
              </w:rPr>
            </w:pPr>
          </w:p>
        </w:tc>
      </w:tr>
      <w:tr>
        <w:trPr>
          <w:trHeight w:val="85"/>
        </w:trPr>
        <w:tc>
          <w:tcPr>
            <w:tcW w:w="1700" w:type="dxa"/>
            <w:vAlign w:val="bottom"/>
            <w:tcBorders>
              <w:lef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individual goals established at beginning</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year</w:t>
            </w:r>
          </w:p>
        </w:tc>
        <w:tc>
          <w:tcPr>
            <w:tcW w:w="0" w:type="dxa"/>
            <w:vAlign w:val="bottom"/>
          </w:tcPr>
          <w:p>
            <w:pPr>
              <w:spacing w:after="0"/>
              <w:rPr>
                <w:sz w:val="1"/>
                <w:szCs w:val="1"/>
                <w:color w:val="auto"/>
              </w:rPr>
            </w:pPr>
          </w:p>
        </w:tc>
      </w:tr>
      <w:tr>
        <w:trPr>
          <w:trHeight w:val="320"/>
        </w:trPr>
        <w:tc>
          <w:tcPr>
            <w:tcW w:w="17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Payout based on formulaic framework</w:t>
            </w:r>
          </w:p>
        </w:tc>
        <w:tc>
          <w:tcPr>
            <w:tcW w:w="0" w:type="dxa"/>
            <w:vAlign w:val="bottom"/>
          </w:tcPr>
          <w:p>
            <w:pPr>
              <w:spacing w:after="0"/>
              <w:rPr>
                <w:sz w:val="1"/>
                <w:szCs w:val="1"/>
                <w:color w:val="auto"/>
              </w:rPr>
            </w:pPr>
          </w:p>
        </w:tc>
      </w:tr>
      <w:tr>
        <w:trPr>
          <w:trHeight w:val="218"/>
        </w:trPr>
        <w:tc>
          <w:tcPr>
            <w:tcW w:w="170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Long-Term Equity</w:t>
            </w: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ind w:left="20"/>
              <w:spacing w:after="0"/>
              <w:rPr>
                <w:sz w:val="20"/>
                <w:szCs w:val="20"/>
                <w:color w:val="auto"/>
              </w:rPr>
            </w:pPr>
            <w:r>
              <w:rPr>
                <w:rFonts w:ascii="Arial" w:cs="Arial" w:eastAsia="Arial" w:hAnsi="Arial"/>
                <w:sz w:val="18"/>
                <w:szCs w:val="18"/>
                <w:color w:val="auto"/>
              </w:rPr>
              <w:t>Motivate and reward long-</w:t>
            </w: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Long-term equity incentives are 50%</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Incentive Awards</w:t>
            </w: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ind w:left="20"/>
              <w:spacing w:after="0"/>
              <w:rPr>
                <w:sz w:val="20"/>
                <w:szCs w:val="20"/>
                <w:color w:val="auto"/>
              </w:rPr>
            </w:pPr>
            <w:r>
              <w:rPr>
                <w:rFonts w:ascii="Arial" w:cs="Arial" w:eastAsia="Arial" w:hAnsi="Arial"/>
                <w:sz w:val="18"/>
                <w:szCs w:val="18"/>
                <w:color w:val="auto"/>
              </w:rPr>
              <w:t>term performance and</w:t>
            </w: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performance-based and 50% time-based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ind w:left="20"/>
              <w:spacing w:after="0"/>
              <w:rPr>
                <w:sz w:val="20"/>
                <w:szCs w:val="20"/>
                <w:color w:val="auto"/>
              </w:rPr>
            </w:pPr>
            <w:r>
              <w:rPr>
                <w:rFonts w:ascii="Arial" w:cs="Arial" w:eastAsia="Arial" w:hAnsi="Arial"/>
                <w:sz w:val="18"/>
                <w:szCs w:val="18"/>
                <w:color w:val="auto"/>
              </w:rPr>
              <w:t>retention and create</w:t>
            </w: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vMerge w:val="restart"/>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rPr>
              <w:t>Performance-based awards earned based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tcBorders>
            <w:shd w:val="clear" w:color="auto" w:fill="D9DCE1"/>
          </w:tcPr>
          <w:p>
            <w:pPr>
              <w:spacing w:after="0"/>
              <w:rPr>
                <w:sz w:val="12"/>
                <w:szCs w:val="12"/>
                <w:color w:val="auto"/>
              </w:rPr>
            </w:pPr>
          </w:p>
        </w:tc>
        <w:tc>
          <w:tcPr>
            <w:tcW w:w="220" w:type="dxa"/>
            <w:vAlign w:val="bottom"/>
            <w:tcBorders>
              <w:right w:val="single" w:sz="8" w:color="auto"/>
            </w:tcBorders>
            <w:shd w:val="clear" w:color="auto" w:fill="D9DCE1"/>
          </w:tcPr>
          <w:p>
            <w:pPr>
              <w:spacing w:after="0"/>
              <w:rPr>
                <w:sz w:val="12"/>
                <w:szCs w:val="12"/>
                <w:color w:val="auto"/>
              </w:rPr>
            </w:pPr>
          </w:p>
        </w:tc>
        <w:tc>
          <w:tcPr>
            <w:tcW w:w="80" w:type="dxa"/>
            <w:vAlign w:val="bottom"/>
            <w:shd w:val="clear" w:color="auto" w:fill="D9DCE1"/>
          </w:tcPr>
          <w:p>
            <w:pPr>
              <w:spacing w:after="0"/>
              <w:rPr>
                <w:sz w:val="12"/>
                <w:szCs w:val="12"/>
                <w:color w:val="auto"/>
              </w:rPr>
            </w:pPr>
          </w:p>
        </w:tc>
        <w:tc>
          <w:tcPr>
            <w:tcW w:w="238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additional alignment with</w:t>
            </w:r>
          </w:p>
        </w:tc>
        <w:tc>
          <w:tcPr>
            <w:tcW w:w="120" w:type="dxa"/>
            <w:vAlign w:val="bottom"/>
            <w:tcBorders>
              <w:right w:val="single" w:sz="8" w:color="auto"/>
            </w:tcBorders>
            <w:shd w:val="clear" w:color="auto" w:fill="D9DCE1"/>
          </w:tcPr>
          <w:p>
            <w:pPr>
              <w:spacing w:after="0"/>
              <w:rPr>
                <w:sz w:val="12"/>
                <w:szCs w:val="12"/>
                <w:color w:val="auto"/>
              </w:rPr>
            </w:pPr>
          </w:p>
        </w:tc>
        <w:tc>
          <w:tcPr>
            <w:tcW w:w="220" w:type="dxa"/>
            <w:vAlign w:val="bottom"/>
            <w:vMerge w:val="continue"/>
            <w:shd w:val="clear" w:color="auto" w:fill="D9DCE1"/>
          </w:tcPr>
          <w:p>
            <w:pPr>
              <w:spacing w:after="0"/>
              <w:rPr>
                <w:sz w:val="12"/>
                <w:szCs w:val="12"/>
                <w:color w:val="auto"/>
              </w:rPr>
            </w:pPr>
          </w:p>
        </w:tc>
        <w:tc>
          <w:tcPr>
            <w:tcW w:w="3500" w:type="dxa"/>
            <w:vAlign w:val="bottom"/>
            <w:tcBorders>
              <w:right w:val="single" w:sz="8" w:color="auto"/>
            </w:tcBorders>
            <w:vMerge w:val="continue"/>
            <w:shd w:val="clear" w:color="auto" w:fill="D9DCE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700" w:type="dxa"/>
            <w:vAlign w:val="bottom"/>
            <w:tcBorders>
              <w:left w:val="single" w:sz="8" w:color="auto"/>
            </w:tcBorders>
            <w:shd w:val="clear" w:color="auto" w:fill="D9DCE1"/>
          </w:tcPr>
          <w:p>
            <w:pPr>
              <w:spacing w:after="0"/>
              <w:rPr>
                <w:sz w:val="5"/>
                <w:szCs w:val="5"/>
                <w:color w:val="auto"/>
              </w:rPr>
            </w:pPr>
          </w:p>
        </w:tc>
        <w:tc>
          <w:tcPr>
            <w:tcW w:w="220" w:type="dxa"/>
            <w:vAlign w:val="bottom"/>
            <w:tcBorders>
              <w:right w:val="single" w:sz="8" w:color="auto"/>
            </w:tcBorders>
            <w:shd w:val="clear" w:color="auto" w:fill="D9DCE1"/>
          </w:tcPr>
          <w:p>
            <w:pPr>
              <w:spacing w:after="0"/>
              <w:rPr>
                <w:sz w:val="5"/>
                <w:szCs w:val="5"/>
                <w:color w:val="auto"/>
              </w:rPr>
            </w:pPr>
          </w:p>
        </w:tc>
        <w:tc>
          <w:tcPr>
            <w:tcW w:w="80" w:type="dxa"/>
            <w:vAlign w:val="bottom"/>
            <w:shd w:val="clear" w:color="auto" w:fill="D9DCE1"/>
          </w:tcPr>
          <w:p>
            <w:pPr>
              <w:spacing w:after="0"/>
              <w:rPr>
                <w:sz w:val="5"/>
                <w:szCs w:val="5"/>
                <w:color w:val="auto"/>
              </w:rPr>
            </w:pPr>
          </w:p>
        </w:tc>
        <w:tc>
          <w:tcPr>
            <w:tcW w:w="2380" w:type="dxa"/>
            <w:vAlign w:val="bottom"/>
            <w:vMerge w:val="continue"/>
            <w:shd w:val="clear" w:color="auto" w:fill="D9DCE1"/>
          </w:tcPr>
          <w:p>
            <w:pPr>
              <w:spacing w:after="0"/>
              <w:rPr>
                <w:sz w:val="5"/>
                <w:szCs w:val="5"/>
                <w:color w:val="auto"/>
              </w:rPr>
            </w:pPr>
          </w:p>
        </w:tc>
        <w:tc>
          <w:tcPr>
            <w:tcW w:w="120" w:type="dxa"/>
            <w:vAlign w:val="bottom"/>
            <w:tcBorders>
              <w:right w:val="single" w:sz="8" w:color="auto"/>
            </w:tcBorders>
            <w:shd w:val="clear" w:color="auto" w:fill="D9DCE1"/>
          </w:tcPr>
          <w:p>
            <w:pPr>
              <w:spacing w:after="0"/>
              <w:rPr>
                <w:sz w:val="5"/>
                <w:szCs w:val="5"/>
                <w:color w:val="auto"/>
              </w:rPr>
            </w:pPr>
          </w:p>
        </w:tc>
        <w:tc>
          <w:tcPr>
            <w:tcW w:w="220" w:type="dxa"/>
            <w:vAlign w:val="bottom"/>
            <w:shd w:val="clear" w:color="auto" w:fill="D9DCE1"/>
          </w:tcPr>
          <w:p>
            <w:pPr>
              <w:spacing w:after="0"/>
              <w:rPr>
                <w:sz w:val="5"/>
                <w:szCs w:val="5"/>
                <w:color w:val="auto"/>
              </w:rPr>
            </w:pPr>
          </w:p>
        </w:tc>
        <w:tc>
          <w:tcPr>
            <w:tcW w:w="350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rPr>
              <w:t>upon performance over cumulative three-</w:t>
            </w:r>
          </w:p>
        </w:tc>
        <w:tc>
          <w:tcPr>
            <w:tcW w:w="0" w:type="dxa"/>
            <w:vAlign w:val="bottom"/>
          </w:tcPr>
          <w:p>
            <w:pPr>
              <w:spacing w:after="0"/>
              <w:rPr>
                <w:sz w:val="1"/>
                <w:szCs w:val="1"/>
                <w:color w:val="auto"/>
              </w:rPr>
            </w:pPr>
          </w:p>
        </w:tc>
      </w:tr>
      <w:tr>
        <w:trPr>
          <w:trHeight w:val="149"/>
        </w:trPr>
        <w:tc>
          <w:tcPr>
            <w:tcW w:w="1700" w:type="dxa"/>
            <w:vAlign w:val="bottom"/>
            <w:tcBorders>
              <w:left w:val="single" w:sz="8" w:color="auto"/>
            </w:tcBorders>
            <w:shd w:val="clear" w:color="auto" w:fill="D9DCE1"/>
          </w:tcPr>
          <w:p>
            <w:pPr>
              <w:spacing w:after="0"/>
              <w:rPr>
                <w:sz w:val="12"/>
                <w:szCs w:val="12"/>
                <w:color w:val="auto"/>
              </w:rPr>
            </w:pPr>
          </w:p>
        </w:tc>
        <w:tc>
          <w:tcPr>
            <w:tcW w:w="220" w:type="dxa"/>
            <w:vAlign w:val="bottom"/>
            <w:tcBorders>
              <w:right w:val="single" w:sz="8" w:color="auto"/>
            </w:tcBorders>
            <w:shd w:val="clear" w:color="auto" w:fill="D9DCE1"/>
          </w:tcPr>
          <w:p>
            <w:pPr>
              <w:spacing w:after="0"/>
              <w:rPr>
                <w:sz w:val="12"/>
                <w:szCs w:val="12"/>
                <w:color w:val="auto"/>
              </w:rPr>
            </w:pPr>
          </w:p>
        </w:tc>
        <w:tc>
          <w:tcPr>
            <w:tcW w:w="80" w:type="dxa"/>
            <w:vAlign w:val="bottom"/>
            <w:shd w:val="clear" w:color="auto" w:fill="D9DCE1"/>
          </w:tcPr>
          <w:p>
            <w:pPr>
              <w:spacing w:after="0"/>
              <w:rPr>
                <w:sz w:val="12"/>
                <w:szCs w:val="12"/>
                <w:color w:val="auto"/>
              </w:rPr>
            </w:pPr>
          </w:p>
        </w:tc>
        <w:tc>
          <w:tcPr>
            <w:tcW w:w="238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investors</w:t>
            </w:r>
          </w:p>
        </w:tc>
        <w:tc>
          <w:tcPr>
            <w:tcW w:w="120" w:type="dxa"/>
            <w:vAlign w:val="bottom"/>
            <w:tcBorders>
              <w:right w:val="single" w:sz="8" w:color="auto"/>
            </w:tcBorders>
            <w:shd w:val="clear" w:color="auto" w:fill="D9DCE1"/>
          </w:tcPr>
          <w:p>
            <w:pPr>
              <w:spacing w:after="0"/>
              <w:rPr>
                <w:sz w:val="12"/>
                <w:szCs w:val="12"/>
                <w:color w:val="auto"/>
              </w:rPr>
            </w:pPr>
          </w:p>
        </w:tc>
        <w:tc>
          <w:tcPr>
            <w:tcW w:w="220" w:type="dxa"/>
            <w:vAlign w:val="bottom"/>
            <w:shd w:val="clear" w:color="auto" w:fill="D9DCE1"/>
          </w:tcPr>
          <w:p>
            <w:pPr>
              <w:spacing w:after="0"/>
              <w:rPr>
                <w:sz w:val="12"/>
                <w:szCs w:val="12"/>
                <w:color w:val="auto"/>
              </w:rPr>
            </w:pPr>
          </w:p>
        </w:tc>
        <w:tc>
          <w:tcPr>
            <w:tcW w:w="3500" w:type="dxa"/>
            <w:vAlign w:val="bottom"/>
            <w:tcBorders>
              <w:right w:val="single" w:sz="8" w:color="auto"/>
            </w:tcBorders>
            <w:vMerge w:val="continue"/>
            <w:shd w:val="clear" w:color="auto" w:fill="D9DCE1"/>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700" w:type="dxa"/>
            <w:vAlign w:val="bottom"/>
            <w:tcBorders>
              <w:left w:val="single" w:sz="8" w:color="auto"/>
            </w:tcBorders>
            <w:shd w:val="clear" w:color="auto" w:fill="D9DCE1"/>
          </w:tcPr>
          <w:p>
            <w:pPr>
              <w:spacing w:after="0"/>
              <w:rPr>
                <w:sz w:val="7"/>
                <w:szCs w:val="7"/>
                <w:color w:val="auto"/>
              </w:rPr>
            </w:pPr>
          </w:p>
        </w:tc>
        <w:tc>
          <w:tcPr>
            <w:tcW w:w="220" w:type="dxa"/>
            <w:vAlign w:val="bottom"/>
            <w:tcBorders>
              <w:right w:val="single" w:sz="8" w:color="auto"/>
            </w:tcBorders>
            <w:shd w:val="clear" w:color="auto" w:fill="D9DCE1"/>
          </w:tcPr>
          <w:p>
            <w:pPr>
              <w:spacing w:after="0"/>
              <w:rPr>
                <w:sz w:val="7"/>
                <w:szCs w:val="7"/>
                <w:color w:val="auto"/>
              </w:rPr>
            </w:pPr>
          </w:p>
        </w:tc>
        <w:tc>
          <w:tcPr>
            <w:tcW w:w="80" w:type="dxa"/>
            <w:vAlign w:val="bottom"/>
            <w:shd w:val="clear" w:color="auto" w:fill="D9DCE1"/>
          </w:tcPr>
          <w:p>
            <w:pPr>
              <w:spacing w:after="0"/>
              <w:rPr>
                <w:sz w:val="7"/>
                <w:szCs w:val="7"/>
                <w:color w:val="auto"/>
              </w:rPr>
            </w:pPr>
          </w:p>
        </w:tc>
        <w:tc>
          <w:tcPr>
            <w:tcW w:w="2380" w:type="dxa"/>
            <w:vAlign w:val="bottom"/>
            <w:vMerge w:val="continue"/>
            <w:shd w:val="clear" w:color="auto" w:fill="D9DCE1"/>
          </w:tcPr>
          <w:p>
            <w:pPr>
              <w:spacing w:after="0"/>
              <w:rPr>
                <w:sz w:val="7"/>
                <w:szCs w:val="7"/>
                <w:color w:val="auto"/>
              </w:rPr>
            </w:pPr>
          </w:p>
        </w:tc>
        <w:tc>
          <w:tcPr>
            <w:tcW w:w="120" w:type="dxa"/>
            <w:vAlign w:val="bottom"/>
            <w:tcBorders>
              <w:right w:val="single" w:sz="8" w:color="auto"/>
            </w:tcBorders>
            <w:shd w:val="clear" w:color="auto" w:fill="D9DCE1"/>
          </w:tcPr>
          <w:p>
            <w:pPr>
              <w:spacing w:after="0"/>
              <w:rPr>
                <w:sz w:val="7"/>
                <w:szCs w:val="7"/>
                <w:color w:val="auto"/>
              </w:rPr>
            </w:pPr>
          </w:p>
        </w:tc>
        <w:tc>
          <w:tcPr>
            <w:tcW w:w="220" w:type="dxa"/>
            <w:vAlign w:val="bottom"/>
            <w:shd w:val="clear" w:color="auto" w:fill="D9DCE1"/>
          </w:tcPr>
          <w:p>
            <w:pPr>
              <w:spacing w:after="0"/>
              <w:rPr>
                <w:sz w:val="7"/>
                <w:szCs w:val="7"/>
                <w:color w:val="auto"/>
              </w:rPr>
            </w:pPr>
          </w:p>
        </w:tc>
        <w:tc>
          <w:tcPr>
            <w:tcW w:w="3500" w:type="dxa"/>
            <w:vAlign w:val="bottom"/>
            <w:tcBorders>
              <w:right w:val="single" w:sz="8" w:color="auto"/>
            </w:tcBorders>
            <w:vMerge w:val="restart"/>
            <w:shd w:val="clear" w:color="auto" w:fill="D9DCE1"/>
          </w:tcPr>
          <w:p>
            <w:pPr>
              <w:ind w:left="60"/>
              <w:spacing w:after="0"/>
              <w:rPr>
                <w:sz w:val="20"/>
                <w:szCs w:val="20"/>
                <w:color w:val="auto"/>
              </w:rPr>
            </w:pPr>
            <w:r>
              <w:rPr>
                <w:rFonts w:ascii="Arial" w:cs="Arial" w:eastAsia="Arial" w:hAnsi="Arial"/>
                <w:sz w:val="18"/>
                <w:szCs w:val="18"/>
                <w:color w:val="auto"/>
              </w:rPr>
              <w:t>year period</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tcBorders>
            <w:shd w:val="clear" w:color="auto" w:fill="D9DCE1"/>
          </w:tcPr>
          <w:p>
            <w:pPr>
              <w:spacing w:after="0"/>
              <w:rPr>
                <w:sz w:val="12"/>
                <w:szCs w:val="12"/>
                <w:color w:val="auto"/>
              </w:rPr>
            </w:pPr>
          </w:p>
        </w:tc>
        <w:tc>
          <w:tcPr>
            <w:tcW w:w="220" w:type="dxa"/>
            <w:vAlign w:val="bottom"/>
            <w:tcBorders>
              <w:right w:val="single" w:sz="8" w:color="auto"/>
            </w:tcBorders>
            <w:shd w:val="clear" w:color="auto" w:fill="D9DCE1"/>
          </w:tcPr>
          <w:p>
            <w:pPr>
              <w:spacing w:after="0"/>
              <w:rPr>
                <w:sz w:val="12"/>
                <w:szCs w:val="12"/>
                <w:color w:val="auto"/>
              </w:rPr>
            </w:pPr>
          </w:p>
        </w:tc>
        <w:tc>
          <w:tcPr>
            <w:tcW w:w="80" w:type="dxa"/>
            <w:vAlign w:val="bottom"/>
            <w:shd w:val="clear" w:color="auto" w:fill="D9DCE1"/>
          </w:tcPr>
          <w:p>
            <w:pPr>
              <w:spacing w:after="0"/>
              <w:rPr>
                <w:sz w:val="12"/>
                <w:szCs w:val="12"/>
                <w:color w:val="auto"/>
              </w:rPr>
            </w:pPr>
          </w:p>
        </w:tc>
        <w:tc>
          <w:tcPr>
            <w:tcW w:w="2380" w:type="dxa"/>
            <w:vAlign w:val="bottom"/>
            <w:shd w:val="clear" w:color="auto" w:fill="D9DCE1"/>
          </w:tcPr>
          <w:p>
            <w:pPr>
              <w:spacing w:after="0"/>
              <w:rPr>
                <w:sz w:val="12"/>
                <w:szCs w:val="12"/>
                <w:color w:val="auto"/>
              </w:rPr>
            </w:pPr>
          </w:p>
        </w:tc>
        <w:tc>
          <w:tcPr>
            <w:tcW w:w="120" w:type="dxa"/>
            <w:vAlign w:val="bottom"/>
            <w:tcBorders>
              <w:right w:val="single" w:sz="8" w:color="auto"/>
            </w:tcBorders>
            <w:shd w:val="clear" w:color="auto" w:fill="D9DCE1"/>
          </w:tcPr>
          <w:p>
            <w:pPr>
              <w:spacing w:after="0"/>
              <w:rPr>
                <w:sz w:val="12"/>
                <w:szCs w:val="12"/>
                <w:color w:val="auto"/>
              </w:rPr>
            </w:pPr>
          </w:p>
        </w:tc>
        <w:tc>
          <w:tcPr>
            <w:tcW w:w="220" w:type="dxa"/>
            <w:vAlign w:val="bottom"/>
            <w:shd w:val="clear" w:color="auto" w:fill="D9DCE1"/>
          </w:tcPr>
          <w:p>
            <w:pPr>
              <w:spacing w:after="0"/>
              <w:rPr>
                <w:sz w:val="12"/>
                <w:szCs w:val="12"/>
                <w:color w:val="auto"/>
              </w:rPr>
            </w:pPr>
          </w:p>
        </w:tc>
        <w:tc>
          <w:tcPr>
            <w:tcW w:w="3500" w:type="dxa"/>
            <w:vAlign w:val="bottom"/>
            <w:tcBorders>
              <w:right w:val="single" w:sz="8" w:color="auto"/>
            </w:tcBorders>
            <w:vMerge w:val="continue"/>
            <w:shd w:val="clear" w:color="auto" w:fill="D9DCE1"/>
          </w:tcPr>
          <w:p>
            <w:pPr>
              <w:spacing w:after="0"/>
              <w:rPr>
                <w:sz w:val="12"/>
                <w:szCs w:val="12"/>
                <w:color w:val="auto"/>
              </w:rPr>
            </w:pPr>
          </w:p>
        </w:tc>
        <w:tc>
          <w:tcPr>
            <w:tcW w:w="0" w:type="dxa"/>
            <w:vAlign w:val="bottom"/>
          </w:tcPr>
          <w:p>
            <w:pPr>
              <w:spacing w:after="0"/>
              <w:rPr>
                <w:sz w:val="1"/>
                <w:szCs w:val="1"/>
                <w:color w:val="auto"/>
              </w:rPr>
            </w:pPr>
          </w:p>
        </w:tc>
      </w:tr>
      <w:tr>
        <w:trPr>
          <w:trHeight w:val="342"/>
        </w:trPr>
        <w:tc>
          <w:tcPr>
            <w:tcW w:w="1700" w:type="dxa"/>
            <w:vAlign w:val="bottom"/>
            <w:tcBorders>
              <w:left w:val="single" w:sz="8" w:color="auto"/>
            </w:tcBorders>
            <w:shd w:val="clear" w:color="auto" w:fill="D9DCE1"/>
          </w:tcPr>
          <w:p>
            <w:pPr>
              <w:spacing w:after="0"/>
              <w:rPr>
                <w:sz w:val="24"/>
                <w:szCs w:val="24"/>
                <w:color w:val="auto"/>
              </w:rPr>
            </w:pPr>
          </w:p>
        </w:tc>
        <w:tc>
          <w:tcPr>
            <w:tcW w:w="22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380" w:type="dxa"/>
            <w:vAlign w:val="bottom"/>
            <w:shd w:val="clear" w:color="auto" w:fill="D9DCE1"/>
          </w:tcPr>
          <w:p>
            <w:pPr>
              <w:spacing w:after="0"/>
              <w:rPr>
                <w:sz w:val="24"/>
                <w:szCs w:val="24"/>
                <w:color w:val="auto"/>
              </w:rPr>
            </w:pPr>
          </w:p>
        </w:tc>
        <w:tc>
          <w:tcPr>
            <w:tcW w:w="120" w:type="dxa"/>
            <w:vAlign w:val="bottom"/>
            <w:tcBorders>
              <w:right w:val="single" w:sz="8" w:color="auto"/>
            </w:tcBorders>
            <w:shd w:val="clear" w:color="auto" w:fill="D9DCE1"/>
          </w:tcPr>
          <w:p>
            <w:pPr>
              <w:spacing w:after="0"/>
              <w:rPr>
                <w:sz w:val="24"/>
                <w:szCs w:val="24"/>
                <w:color w:val="auto"/>
              </w:rPr>
            </w:pPr>
          </w:p>
        </w:tc>
        <w:tc>
          <w:tcPr>
            <w:tcW w:w="372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8"/>
                <w:szCs w:val="18"/>
                <w:color w:val="auto"/>
              </w:rPr>
              <w:t>• Performance metrics include relative TSR</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spacing w:after="0"/>
              <w:rPr>
                <w:sz w:val="18"/>
                <w:szCs w:val="18"/>
                <w:color w:val="auto"/>
              </w:rPr>
            </w:pP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with negative TSR modifier, and</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spacing w:after="0"/>
              <w:rPr>
                <w:sz w:val="18"/>
                <w:szCs w:val="18"/>
                <w:color w:val="auto"/>
              </w:rPr>
            </w:pP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DCF/CUE with leverage modifier</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tcBorders>
            <w:shd w:val="clear" w:color="auto" w:fill="D9DCE1"/>
          </w:tcPr>
          <w:p>
            <w:pPr>
              <w:spacing w:after="0"/>
              <w:rPr>
                <w:sz w:val="20"/>
                <w:szCs w:val="20"/>
                <w:color w:val="auto"/>
              </w:rPr>
            </w:pPr>
          </w:p>
        </w:tc>
        <w:tc>
          <w:tcPr>
            <w:tcW w:w="220" w:type="dxa"/>
            <w:vAlign w:val="bottom"/>
            <w:tcBorders>
              <w:right w:val="single" w:sz="8" w:color="auto"/>
            </w:tcBorders>
            <w:shd w:val="clear" w:color="auto" w:fill="D9DCE1"/>
          </w:tcPr>
          <w:p>
            <w:pPr>
              <w:spacing w:after="0"/>
              <w:rPr>
                <w:sz w:val="20"/>
                <w:szCs w:val="20"/>
                <w:color w:val="auto"/>
              </w:rPr>
            </w:pPr>
          </w:p>
        </w:tc>
        <w:tc>
          <w:tcPr>
            <w:tcW w:w="80" w:type="dxa"/>
            <w:vAlign w:val="bottom"/>
            <w:shd w:val="clear" w:color="auto" w:fill="D9DCE1"/>
          </w:tcPr>
          <w:p>
            <w:pPr>
              <w:spacing w:after="0"/>
              <w:rPr>
                <w:sz w:val="20"/>
                <w:szCs w:val="20"/>
                <w:color w:val="auto"/>
              </w:rPr>
            </w:pPr>
          </w:p>
        </w:tc>
        <w:tc>
          <w:tcPr>
            <w:tcW w:w="2380" w:type="dxa"/>
            <w:vAlign w:val="bottom"/>
            <w:shd w:val="clear" w:color="auto" w:fill="D9DCE1"/>
          </w:tcPr>
          <w:p>
            <w:pPr>
              <w:spacing w:after="0"/>
              <w:rPr>
                <w:sz w:val="20"/>
                <w:szCs w:val="20"/>
                <w:color w:val="auto"/>
              </w:rPr>
            </w:pPr>
          </w:p>
        </w:tc>
        <w:tc>
          <w:tcPr>
            <w:tcW w:w="120" w:type="dxa"/>
            <w:vAlign w:val="bottom"/>
            <w:tcBorders>
              <w:right w:val="single" w:sz="8" w:color="auto"/>
            </w:tcBorders>
            <w:shd w:val="clear" w:color="auto" w:fill="D9DCE1"/>
          </w:tcPr>
          <w:p>
            <w:pPr>
              <w:spacing w:after="0"/>
              <w:rPr>
                <w:sz w:val="20"/>
                <w:szCs w:val="20"/>
                <w:color w:val="auto"/>
              </w:rPr>
            </w:pPr>
          </w:p>
        </w:tc>
        <w:tc>
          <w:tcPr>
            <w:tcW w:w="220" w:type="dxa"/>
            <w:vAlign w:val="bottom"/>
            <w:shd w:val="clear" w:color="auto" w:fill="D9DCE1"/>
          </w:tcPr>
          <w:p>
            <w:pPr>
              <w:spacing w:after="0"/>
              <w:rPr>
                <w:sz w:val="20"/>
                <w:szCs w:val="20"/>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(potential downward adjustment only)</w:t>
            </w:r>
          </w:p>
        </w:tc>
        <w:tc>
          <w:tcPr>
            <w:tcW w:w="0" w:type="dxa"/>
            <w:vAlign w:val="bottom"/>
          </w:tcPr>
          <w:p>
            <w:pPr>
              <w:spacing w:after="0"/>
              <w:rPr>
                <w:sz w:val="1"/>
                <w:szCs w:val="1"/>
                <w:color w:val="auto"/>
              </w:rPr>
            </w:pPr>
          </w:p>
        </w:tc>
      </w:tr>
      <w:tr>
        <w:trPr>
          <w:trHeight w:val="328"/>
        </w:trPr>
        <w:tc>
          <w:tcPr>
            <w:tcW w:w="1700" w:type="dxa"/>
            <w:vAlign w:val="bottom"/>
            <w:tcBorders>
              <w:left w:val="single" w:sz="8" w:color="auto"/>
            </w:tcBorders>
            <w:shd w:val="clear" w:color="auto" w:fill="D9DCE1"/>
          </w:tcPr>
          <w:p>
            <w:pPr>
              <w:spacing w:after="0"/>
              <w:rPr>
                <w:sz w:val="24"/>
                <w:szCs w:val="24"/>
                <w:color w:val="auto"/>
              </w:rPr>
            </w:pPr>
          </w:p>
        </w:tc>
        <w:tc>
          <w:tcPr>
            <w:tcW w:w="220" w:type="dxa"/>
            <w:vAlign w:val="bottom"/>
            <w:tcBorders>
              <w:right w:val="single" w:sz="8" w:color="auto"/>
            </w:tcBorders>
            <w:shd w:val="clear" w:color="auto" w:fill="D9DCE1"/>
          </w:tcPr>
          <w:p>
            <w:pPr>
              <w:spacing w:after="0"/>
              <w:rPr>
                <w:sz w:val="24"/>
                <w:szCs w:val="24"/>
                <w:color w:val="auto"/>
              </w:rPr>
            </w:pPr>
          </w:p>
        </w:tc>
        <w:tc>
          <w:tcPr>
            <w:tcW w:w="80" w:type="dxa"/>
            <w:vAlign w:val="bottom"/>
            <w:shd w:val="clear" w:color="auto" w:fill="D9DCE1"/>
          </w:tcPr>
          <w:p>
            <w:pPr>
              <w:spacing w:after="0"/>
              <w:rPr>
                <w:sz w:val="24"/>
                <w:szCs w:val="24"/>
                <w:color w:val="auto"/>
              </w:rPr>
            </w:pPr>
          </w:p>
        </w:tc>
        <w:tc>
          <w:tcPr>
            <w:tcW w:w="2380" w:type="dxa"/>
            <w:vAlign w:val="bottom"/>
            <w:shd w:val="clear" w:color="auto" w:fill="D9DCE1"/>
          </w:tcPr>
          <w:p>
            <w:pPr>
              <w:spacing w:after="0"/>
              <w:rPr>
                <w:sz w:val="24"/>
                <w:szCs w:val="24"/>
                <w:color w:val="auto"/>
              </w:rPr>
            </w:pPr>
          </w:p>
        </w:tc>
        <w:tc>
          <w:tcPr>
            <w:tcW w:w="120" w:type="dxa"/>
            <w:vAlign w:val="bottom"/>
            <w:tcBorders>
              <w:right w:val="single" w:sz="8" w:color="auto"/>
            </w:tcBorders>
            <w:shd w:val="clear" w:color="auto" w:fill="D9DCE1"/>
          </w:tcPr>
          <w:p>
            <w:pPr>
              <w:spacing w:after="0"/>
              <w:rPr>
                <w:sz w:val="24"/>
                <w:szCs w:val="24"/>
                <w:color w:val="auto"/>
              </w:rPr>
            </w:pPr>
          </w:p>
        </w:tc>
        <w:tc>
          <w:tcPr>
            <w:tcW w:w="3720" w:type="dxa"/>
            <w:vAlign w:val="bottom"/>
            <w:tcBorders>
              <w:right w:val="single" w:sz="8" w:color="auto"/>
            </w:tcBorders>
            <w:gridSpan w:val="2"/>
            <w:shd w:val="clear" w:color="auto" w:fill="D9DCE1"/>
          </w:tcPr>
          <w:p>
            <w:pPr>
              <w:ind w:left="100"/>
              <w:spacing w:after="0"/>
              <w:rPr>
                <w:sz w:val="20"/>
                <w:szCs w:val="20"/>
                <w:color w:val="auto"/>
              </w:rPr>
            </w:pPr>
            <w:r>
              <w:rPr>
                <w:rFonts w:ascii="Arial" w:cs="Arial" w:eastAsia="Arial" w:hAnsi="Arial"/>
                <w:sz w:val="18"/>
                <w:szCs w:val="18"/>
                <w:color w:val="auto"/>
              </w:rPr>
              <w:t>• Distribution Equivalent Rights (“DERs”)</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spacing w:after="0"/>
              <w:rPr>
                <w:sz w:val="18"/>
                <w:szCs w:val="18"/>
                <w:color w:val="auto"/>
              </w:rPr>
            </w:pP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associated with long-term equity awards</w:t>
            </w:r>
          </w:p>
        </w:tc>
        <w:tc>
          <w:tcPr>
            <w:tcW w:w="0" w:type="dxa"/>
            <w:vAlign w:val="bottom"/>
          </w:tcPr>
          <w:p>
            <w:pPr>
              <w:spacing w:after="0"/>
              <w:rPr>
                <w:sz w:val="1"/>
                <w:szCs w:val="1"/>
                <w:color w:val="auto"/>
              </w:rPr>
            </w:pPr>
          </w:p>
        </w:tc>
      </w:tr>
      <w:tr>
        <w:trPr>
          <w:trHeight w:val="216"/>
        </w:trPr>
        <w:tc>
          <w:tcPr>
            <w:tcW w:w="1700" w:type="dxa"/>
            <w:vAlign w:val="bottom"/>
            <w:tcBorders>
              <w:left w:val="single" w:sz="8" w:color="auto"/>
            </w:tcBorders>
            <w:shd w:val="clear" w:color="auto" w:fill="D9DCE1"/>
          </w:tcPr>
          <w:p>
            <w:pPr>
              <w:spacing w:after="0"/>
              <w:rPr>
                <w:sz w:val="18"/>
                <w:szCs w:val="18"/>
                <w:color w:val="auto"/>
              </w:rPr>
            </w:pPr>
          </w:p>
        </w:tc>
        <w:tc>
          <w:tcPr>
            <w:tcW w:w="220" w:type="dxa"/>
            <w:vAlign w:val="bottom"/>
            <w:tcBorders>
              <w:right w:val="single" w:sz="8" w:color="auto"/>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2380" w:type="dxa"/>
            <w:vAlign w:val="bottom"/>
            <w:shd w:val="clear" w:color="auto" w:fill="D9DCE1"/>
          </w:tcPr>
          <w:p>
            <w:pPr>
              <w:spacing w:after="0"/>
              <w:rPr>
                <w:sz w:val="18"/>
                <w:szCs w:val="18"/>
                <w:color w:val="auto"/>
              </w:rPr>
            </w:pPr>
          </w:p>
        </w:tc>
        <w:tc>
          <w:tcPr>
            <w:tcW w:w="120" w:type="dxa"/>
            <w:vAlign w:val="bottom"/>
            <w:tcBorders>
              <w:right w:val="single" w:sz="8" w:color="auto"/>
            </w:tcBorders>
            <w:shd w:val="clear" w:color="auto" w:fill="D9DCE1"/>
          </w:tcPr>
          <w:p>
            <w:pPr>
              <w:spacing w:after="0"/>
              <w:rPr>
                <w:sz w:val="18"/>
                <w:szCs w:val="18"/>
                <w:color w:val="auto"/>
              </w:rPr>
            </w:pPr>
          </w:p>
        </w:tc>
        <w:tc>
          <w:tcPr>
            <w:tcW w:w="220" w:type="dxa"/>
            <w:vAlign w:val="bottom"/>
            <w:shd w:val="clear" w:color="auto" w:fill="D9DCE1"/>
          </w:tcPr>
          <w:p>
            <w:pPr>
              <w:spacing w:after="0"/>
              <w:rPr>
                <w:sz w:val="18"/>
                <w:szCs w:val="18"/>
                <w:color w:val="auto"/>
              </w:rPr>
            </w:pPr>
          </w:p>
        </w:tc>
        <w:tc>
          <w:tcPr>
            <w:tcW w:w="3500" w:type="dxa"/>
            <w:vAlign w:val="bottom"/>
            <w:tcBorders>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provide additional potential motivation and</w:t>
            </w:r>
          </w:p>
        </w:tc>
        <w:tc>
          <w:tcPr>
            <w:tcW w:w="0" w:type="dxa"/>
            <w:vAlign w:val="bottom"/>
          </w:tcPr>
          <w:p>
            <w:pPr>
              <w:spacing w:after="0"/>
              <w:rPr>
                <w:sz w:val="1"/>
                <w:szCs w:val="1"/>
                <w:color w:val="auto"/>
              </w:rPr>
            </w:pPr>
          </w:p>
        </w:tc>
      </w:tr>
      <w:tr>
        <w:trPr>
          <w:trHeight w:val="235"/>
        </w:trPr>
        <w:tc>
          <w:tcPr>
            <w:tcW w:w="1700" w:type="dxa"/>
            <w:vAlign w:val="bottom"/>
            <w:tcBorders>
              <w:left w:val="single" w:sz="8" w:color="auto"/>
              <w:bottom w:val="single" w:sz="8" w:color="auto"/>
            </w:tcBorders>
            <w:shd w:val="clear" w:color="auto" w:fill="D9DCE1"/>
          </w:tcPr>
          <w:p>
            <w:pPr>
              <w:spacing w:after="0"/>
              <w:rPr>
                <w:sz w:val="20"/>
                <w:szCs w:val="20"/>
                <w:color w:val="auto"/>
              </w:rPr>
            </w:pPr>
          </w:p>
        </w:tc>
        <w:tc>
          <w:tcPr>
            <w:tcW w:w="220" w:type="dxa"/>
            <w:vAlign w:val="bottom"/>
            <w:tcBorders>
              <w:bottom w:val="single" w:sz="8" w:color="auto"/>
              <w:right w:val="single" w:sz="8" w:color="auto"/>
            </w:tcBorders>
            <w:shd w:val="clear" w:color="auto" w:fill="D9DCE1"/>
          </w:tcPr>
          <w:p>
            <w:pPr>
              <w:spacing w:after="0"/>
              <w:rPr>
                <w:sz w:val="20"/>
                <w:szCs w:val="20"/>
                <w:color w:val="auto"/>
              </w:rPr>
            </w:pPr>
          </w:p>
        </w:tc>
        <w:tc>
          <w:tcPr>
            <w:tcW w:w="80" w:type="dxa"/>
            <w:vAlign w:val="bottom"/>
            <w:tcBorders>
              <w:bottom w:val="single" w:sz="8" w:color="auto"/>
            </w:tcBorders>
            <w:shd w:val="clear" w:color="auto" w:fill="D9DCE1"/>
          </w:tcPr>
          <w:p>
            <w:pPr>
              <w:spacing w:after="0"/>
              <w:rPr>
                <w:sz w:val="20"/>
                <w:szCs w:val="20"/>
                <w:color w:val="auto"/>
              </w:rPr>
            </w:pPr>
          </w:p>
        </w:tc>
        <w:tc>
          <w:tcPr>
            <w:tcW w:w="2380" w:type="dxa"/>
            <w:vAlign w:val="bottom"/>
            <w:tcBorders>
              <w:bottom w:val="single" w:sz="8" w:color="auto"/>
            </w:tcBorders>
            <w:shd w:val="clear" w:color="auto" w:fill="D9DCE1"/>
          </w:tcPr>
          <w:p>
            <w:pPr>
              <w:spacing w:after="0"/>
              <w:rPr>
                <w:sz w:val="20"/>
                <w:szCs w:val="20"/>
                <w:color w:val="auto"/>
              </w:rPr>
            </w:pPr>
          </w:p>
        </w:tc>
        <w:tc>
          <w:tcPr>
            <w:tcW w:w="120" w:type="dxa"/>
            <w:vAlign w:val="bottom"/>
            <w:tcBorders>
              <w:bottom w:val="single" w:sz="8" w:color="auto"/>
              <w:right w:val="single" w:sz="8" w:color="auto"/>
            </w:tcBorders>
            <w:shd w:val="clear" w:color="auto" w:fill="D9DCE1"/>
          </w:tcPr>
          <w:p>
            <w:pPr>
              <w:spacing w:after="0"/>
              <w:rPr>
                <w:sz w:val="20"/>
                <w:szCs w:val="20"/>
                <w:color w:val="auto"/>
              </w:rPr>
            </w:pPr>
          </w:p>
        </w:tc>
        <w:tc>
          <w:tcPr>
            <w:tcW w:w="220" w:type="dxa"/>
            <w:vAlign w:val="bottom"/>
            <w:tcBorders>
              <w:bottom w:val="single" w:sz="8" w:color="auto"/>
            </w:tcBorders>
            <w:shd w:val="clear" w:color="auto" w:fill="D9DCE1"/>
          </w:tcPr>
          <w:p>
            <w:pPr>
              <w:spacing w:after="0"/>
              <w:rPr>
                <w:sz w:val="20"/>
                <w:szCs w:val="20"/>
                <w:color w:val="auto"/>
              </w:rPr>
            </w:pPr>
          </w:p>
        </w:tc>
        <w:tc>
          <w:tcPr>
            <w:tcW w:w="3500" w:type="dxa"/>
            <w:vAlign w:val="bottom"/>
            <w:tcBorders>
              <w:bottom w:val="single" w:sz="8" w:color="auto"/>
              <w:right w:val="single" w:sz="8" w:color="auto"/>
            </w:tcBorders>
            <w:shd w:val="clear" w:color="auto" w:fill="D9DCE1"/>
          </w:tcPr>
          <w:p>
            <w:pPr>
              <w:ind w:left="60"/>
              <w:spacing w:after="0"/>
              <w:rPr>
                <w:sz w:val="20"/>
                <w:szCs w:val="20"/>
                <w:color w:val="auto"/>
              </w:rPr>
            </w:pPr>
            <w:r>
              <w:rPr>
                <w:rFonts w:ascii="Arial" w:cs="Arial" w:eastAsia="Arial" w:hAnsi="Arial"/>
                <w:sz w:val="18"/>
                <w:szCs w:val="18"/>
                <w:color w:val="auto"/>
              </w:rPr>
              <w:t>alignment with other equity holders</w:t>
            </w:r>
          </w:p>
        </w:tc>
        <w:tc>
          <w:tcPr>
            <w:tcW w:w="0" w:type="dxa"/>
            <w:vAlign w:val="bottom"/>
          </w:tcPr>
          <w:p>
            <w:pPr>
              <w:spacing w:after="0"/>
              <w:rPr>
                <w:sz w:val="1"/>
                <w:szCs w:val="1"/>
                <w:color w:val="auto"/>
              </w:rPr>
            </w:pPr>
          </w:p>
        </w:tc>
      </w:tr>
      <w:tr>
        <w:trPr>
          <w:trHeight w:val="218"/>
        </w:trPr>
        <w:tc>
          <w:tcPr>
            <w:tcW w:w="17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Employee Benefits</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Attract and retain talent</w:t>
            </w:r>
          </w:p>
        </w:tc>
        <w:tc>
          <w:tcPr>
            <w:tcW w:w="120" w:type="dxa"/>
            <w:vAlign w:val="bottom"/>
            <w:tcBorders>
              <w:right w:val="single" w:sz="8" w:color="auto"/>
            </w:tcBorders>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Customary health and welfare benefits for</w:t>
            </w:r>
          </w:p>
        </w:tc>
        <w:tc>
          <w:tcPr>
            <w:tcW w:w="0" w:type="dxa"/>
            <w:vAlign w:val="bottom"/>
          </w:tcPr>
          <w:p>
            <w:pPr>
              <w:spacing w:after="0"/>
              <w:rPr>
                <w:sz w:val="1"/>
                <w:szCs w:val="1"/>
                <w:color w:val="auto"/>
              </w:rPr>
            </w:pPr>
          </w:p>
        </w:tc>
      </w:tr>
      <w:tr>
        <w:trPr>
          <w:trHeight w:val="239"/>
        </w:trPr>
        <w:tc>
          <w:tcPr>
            <w:tcW w:w="17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all U.S. employees, including 401(k) Plan</w:t>
            </w:r>
          </w:p>
        </w:tc>
        <w:tc>
          <w:tcPr>
            <w:tcW w:w="0" w:type="dxa"/>
            <w:vAlign w:val="bottom"/>
          </w:tcPr>
          <w:p>
            <w:pPr>
              <w:spacing w:after="0"/>
              <w:rPr>
                <w:sz w:val="1"/>
                <w:szCs w:val="1"/>
                <w:color w:val="auto"/>
              </w:rPr>
            </w:pPr>
          </w:p>
        </w:tc>
      </w:tr>
      <w:tr>
        <w:trPr>
          <w:trHeight w:val="351"/>
        </w:trPr>
        <w:tc>
          <w:tcPr>
            <w:tcW w:w="170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 No defined benefit or pension plans</w:t>
            </w:r>
          </w:p>
        </w:tc>
        <w:tc>
          <w:tcPr>
            <w:tcW w:w="0" w:type="dxa"/>
            <w:vAlign w:val="bottom"/>
          </w:tcPr>
          <w:p>
            <w:pPr>
              <w:spacing w:after="0"/>
              <w:rPr>
                <w:sz w:val="1"/>
                <w:szCs w:val="1"/>
                <w:color w:val="auto"/>
              </w:rPr>
            </w:pPr>
          </w:p>
        </w:tc>
      </w:tr>
      <w:tr>
        <w:trPr>
          <w:trHeight w:val="293"/>
        </w:trPr>
        <w:tc>
          <w:tcPr>
            <w:tcW w:w="170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No significant perquisites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2023 Independent Benchmark Study of Executive Compensation</w:t>
      </w:r>
    </w:p>
    <w:p>
      <w:pPr>
        <w:spacing w:after="0" w:line="102" w:lineRule="exact"/>
        <w:rPr>
          <w:sz w:val="20"/>
          <w:szCs w:val="20"/>
          <w:color w:val="auto"/>
        </w:rPr>
      </w:pPr>
    </w:p>
    <w:p>
      <w:pPr>
        <w:ind w:left="1260" w:right="639" w:firstLine="360"/>
        <w:spacing w:after="0" w:line="247" w:lineRule="auto"/>
        <w:rPr>
          <w:sz w:val="20"/>
          <w:szCs w:val="20"/>
          <w:color w:val="auto"/>
        </w:rPr>
      </w:pPr>
      <w:r>
        <w:rPr>
          <w:rFonts w:ascii="Arial" w:cs="Arial" w:eastAsia="Arial" w:hAnsi="Arial"/>
          <w:sz w:val="18"/>
          <w:szCs w:val="18"/>
          <w:color w:val="auto"/>
        </w:rPr>
        <w:t>With respect to our 2023 executive compensation program, our Compensation Committee engaged Meridian to provide independent counsel, including a benchmarking review of our executive officer compensation. In connection with its engagement of Meridian, the Compensation Committee evaluated and confirmed Meridian’s independence relative to existing PAA or PAGP relationships or potential conflicts, in line with Nasdaq requirements.</w:t>
      </w:r>
    </w:p>
    <w:p>
      <w:pPr>
        <w:spacing w:after="0" w:line="55" w:lineRule="exact"/>
        <w:rPr>
          <w:sz w:val="20"/>
          <w:szCs w:val="20"/>
          <w:color w:val="auto"/>
        </w:rPr>
      </w:pPr>
    </w:p>
    <w:p>
      <w:pPr>
        <w:ind w:left="1260" w:right="479" w:firstLine="360"/>
        <w:spacing w:after="0" w:line="246" w:lineRule="auto"/>
        <w:rPr>
          <w:sz w:val="20"/>
          <w:szCs w:val="20"/>
          <w:color w:val="auto"/>
        </w:rPr>
      </w:pPr>
      <w:r>
        <w:rPr>
          <w:rFonts w:ascii="Arial" w:cs="Arial" w:eastAsia="Arial" w:hAnsi="Arial"/>
          <w:sz w:val="18"/>
          <w:szCs w:val="18"/>
          <w:color w:val="auto"/>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primary compensation benchmarking peer group for 2023 included 11 companies across a wide range of revenues, asset values and enterprise values that are primarily engaged in the midstream business in the United States (the entities in the benchmarking peer group are listed in the table below).</w:t>
      </w:r>
    </w:p>
    <w:p>
      <w:pPr>
        <w:spacing w:after="0" w:line="54"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8"/>
          <w:szCs w:val="18"/>
          <w:color w:val="auto"/>
        </w:rPr>
        <w:t>Meridian utilized publicly available information to analyze compensation practices of the companies in the benchmarking peer group, including how pay is divided among long-term incentives, annual incentives and base pay. Meridian also compared the amount and structure of compensation for our executive officers to the benchmarking peer group. Meridian’s benchmark study was presented to the Compensation Committee in November 2023.</w:t>
      </w:r>
    </w:p>
    <w:p>
      <w:pPr>
        <w:spacing w:after="0" w:line="52" w:lineRule="exact"/>
        <w:rPr>
          <w:sz w:val="20"/>
          <w:szCs w:val="20"/>
          <w:color w:val="auto"/>
        </w:rPr>
      </w:pPr>
    </w:p>
    <w:p>
      <w:pPr>
        <w:ind w:left="1260" w:right="699" w:firstLine="360"/>
        <w:spacing w:after="0" w:line="247" w:lineRule="auto"/>
        <w:rPr>
          <w:sz w:val="20"/>
          <w:szCs w:val="20"/>
          <w:color w:val="auto"/>
        </w:rPr>
      </w:pPr>
      <w:r>
        <w:rPr>
          <w:rFonts w:ascii="Arial" w:cs="Arial" w:eastAsia="Arial" w:hAnsi="Arial"/>
          <w:sz w:val="18"/>
          <w:szCs w:val="18"/>
          <w:color w:val="auto"/>
        </w:rPr>
        <w:t>To provide a broader context to the Compensation Committee, Meridian also provided the Committee with relevant data from six additional midstream companies, nine upstream companies (used exclusively for pay mix comparison purposes), and relevant survey data (used as a secondary reference for additional context); however, the benchmarking peer group listed in the table below served as the primary source of external comparative information.</w:t>
      </w:r>
    </w:p>
    <w:p>
      <w:pPr>
        <w:spacing w:after="0" w:line="55" w:lineRule="exact"/>
        <w:rPr>
          <w:sz w:val="20"/>
          <w:szCs w:val="20"/>
          <w:color w:val="auto"/>
        </w:rPr>
      </w:pPr>
    </w:p>
    <w:p>
      <w:pPr>
        <w:ind w:left="1260" w:right="1059" w:firstLine="360"/>
        <w:spacing w:after="0" w:line="271" w:lineRule="auto"/>
        <w:rPr>
          <w:sz w:val="20"/>
          <w:szCs w:val="20"/>
          <w:color w:val="auto"/>
        </w:rPr>
      </w:pPr>
      <w:r>
        <w:rPr>
          <w:rFonts w:ascii="Arial" w:cs="Arial" w:eastAsia="Arial" w:hAnsi="Arial"/>
          <w:sz w:val="18"/>
          <w:szCs w:val="18"/>
          <w:color w:val="auto"/>
        </w:rPr>
        <w:t>Meridian’s benchmark study presented to the Compensation Committee in November 2023 included the following summary findings:</w:t>
      </w:r>
    </w:p>
    <w:p>
      <w:pPr>
        <w:spacing w:after="0" w:line="32" w:lineRule="exact"/>
        <w:rPr>
          <w:sz w:val="20"/>
          <w:szCs w:val="20"/>
          <w:color w:val="auto"/>
        </w:rPr>
      </w:pPr>
    </w:p>
    <w:p>
      <w:pPr>
        <w:ind w:left="1800" w:hanging="180"/>
        <w:spacing w:after="0"/>
        <w:tabs>
          <w:tab w:leader="none" w:pos="1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Total target compensation for all NEOs on average falls within the middle range of our peers; and</w:t>
      </w:r>
    </w:p>
    <w:p>
      <w:pPr>
        <w:spacing w:after="0" w:line="115" w:lineRule="exact"/>
        <w:rPr>
          <w:rFonts w:ascii="Arial" w:cs="Arial" w:eastAsia="Arial" w:hAnsi="Arial"/>
          <w:sz w:val="17"/>
          <w:szCs w:val="17"/>
          <w:color w:val="auto"/>
        </w:rPr>
      </w:pPr>
    </w:p>
    <w:p>
      <w:pPr>
        <w:ind w:left="1800" w:hanging="180"/>
        <w:spacing w:after="0"/>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target compensation for the CEO ranks below the median relative to peers.</w:t>
      </w:r>
    </w:p>
    <w:p>
      <w:pPr>
        <w:spacing w:after="0" w:line="90" w:lineRule="exact"/>
        <w:rPr>
          <w:sz w:val="20"/>
          <w:szCs w:val="20"/>
          <w:color w:val="auto"/>
        </w:rPr>
      </w:pPr>
    </w:p>
    <w:p>
      <w:pPr>
        <w:ind w:left="1260" w:right="479" w:firstLine="360"/>
        <w:spacing w:after="0" w:line="282" w:lineRule="auto"/>
        <w:rPr>
          <w:sz w:val="20"/>
          <w:szCs w:val="20"/>
          <w:color w:val="auto"/>
        </w:rPr>
      </w:pPr>
      <w:r>
        <w:rPr>
          <w:rFonts w:ascii="Arial" w:cs="Arial" w:eastAsia="Arial" w:hAnsi="Arial"/>
          <w:sz w:val="17"/>
          <w:szCs w:val="17"/>
          <w:color w:val="auto"/>
        </w:rPr>
        <w:t>For a portion (25%) of the long-term incentive awards granted to our executive officers in 2023, we included relative TSR as a performance metric for the three-year performance period ending June 30, 2026. The entities in our 2023 compensation benchmarking peer group and the entities and indices in our TSR Comparator Peer Group for the 2023 long-term incentive awards include the following:</w:t>
      </w:r>
    </w:p>
    <w:p>
      <w:pPr>
        <w:spacing w:after="0" w:line="79" w:lineRule="exact"/>
        <w:rPr>
          <w:sz w:val="20"/>
          <w:szCs w:val="20"/>
          <w:color w:val="auto"/>
        </w:rPr>
      </w:pPr>
    </w:p>
    <w:tbl>
      <w:tblPr>
        <w:tblLayout w:type="fixed"/>
        <w:tblInd w:w="1270" w:type="dxa"/>
        <w:tblCellMar>
          <w:top w:w="0" w:type="dxa"/>
          <w:left w:w="0" w:type="dxa"/>
          <w:bottom w:w="0" w:type="dxa"/>
          <w:right w:w="0" w:type="dxa"/>
        </w:tblCellMar>
      </w:tblPr>
      <w:tr>
        <w:trPr>
          <w:trHeight w:val="315"/>
        </w:trPr>
        <w:tc>
          <w:tcPr>
            <w:tcW w:w="4080" w:type="dxa"/>
            <w:vAlign w:val="bottom"/>
            <w:tcBorders>
              <w:top w:val="single" w:sz="8" w:color="auto"/>
              <w:left w:val="single" w:sz="8" w:color="auto"/>
            </w:tcBorders>
            <w:shd w:val="clear" w:color="auto" w:fill="424E6A"/>
          </w:tcPr>
          <w:p>
            <w:pPr>
              <w:spacing w:after="0"/>
              <w:rPr>
                <w:sz w:val="24"/>
                <w:szCs w:val="24"/>
                <w:color w:val="auto"/>
              </w:rPr>
            </w:pPr>
          </w:p>
        </w:tc>
        <w:tc>
          <w:tcPr>
            <w:tcW w:w="820" w:type="dxa"/>
            <w:vAlign w:val="bottom"/>
            <w:tcBorders>
              <w:top w:val="single" w:sz="8" w:color="auto"/>
              <w:right w:val="single" w:sz="8" w:color="auto"/>
            </w:tcBorders>
            <w:shd w:val="clear" w:color="auto" w:fill="424E6A"/>
          </w:tcPr>
          <w:p>
            <w:pPr>
              <w:spacing w:after="0"/>
              <w:rPr>
                <w:sz w:val="24"/>
                <w:szCs w:val="24"/>
                <w:color w:val="auto"/>
              </w:rPr>
            </w:pPr>
          </w:p>
        </w:tc>
        <w:tc>
          <w:tcPr>
            <w:tcW w:w="100" w:type="dxa"/>
            <w:vAlign w:val="bottom"/>
            <w:tcBorders>
              <w:top w:val="single" w:sz="8" w:color="auto"/>
            </w:tcBorders>
            <w:shd w:val="clear" w:color="auto" w:fill="424E6A"/>
          </w:tcPr>
          <w:p>
            <w:pPr>
              <w:spacing w:after="0"/>
              <w:rPr>
                <w:sz w:val="24"/>
                <w:szCs w:val="24"/>
                <w:color w:val="auto"/>
              </w:rPr>
            </w:pPr>
          </w:p>
        </w:tc>
        <w:tc>
          <w:tcPr>
            <w:tcW w:w="1400" w:type="dxa"/>
            <w:vAlign w:val="bottom"/>
            <w:tcBorders>
              <w:top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2023 Compensation</w:t>
            </w:r>
          </w:p>
        </w:tc>
        <w:tc>
          <w:tcPr>
            <w:tcW w:w="120" w:type="dxa"/>
            <w:vAlign w:val="bottom"/>
            <w:tcBorders>
              <w:top w:val="single" w:sz="8" w:color="auto"/>
              <w:right w:val="single" w:sz="8" w:color="auto"/>
            </w:tcBorders>
            <w:shd w:val="clear" w:color="auto" w:fill="424E6A"/>
          </w:tcPr>
          <w:p>
            <w:pPr>
              <w:spacing w:after="0"/>
              <w:rPr>
                <w:sz w:val="24"/>
                <w:szCs w:val="24"/>
                <w:color w:val="auto"/>
              </w:rPr>
            </w:pPr>
          </w:p>
        </w:tc>
        <w:tc>
          <w:tcPr>
            <w:tcW w:w="80" w:type="dxa"/>
            <w:vAlign w:val="bottom"/>
            <w:tcBorders>
              <w:top w:val="single" w:sz="8" w:color="auto"/>
            </w:tcBorders>
            <w:shd w:val="clear" w:color="auto" w:fill="424E6A"/>
          </w:tcPr>
          <w:p>
            <w:pPr>
              <w:spacing w:after="0"/>
              <w:rPr>
                <w:sz w:val="24"/>
                <w:szCs w:val="24"/>
                <w:color w:val="auto"/>
              </w:rPr>
            </w:pPr>
          </w:p>
        </w:tc>
        <w:tc>
          <w:tcPr>
            <w:tcW w:w="1620" w:type="dxa"/>
            <w:vAlign w:val="bottom"/>
            <w:tcBorders>
              <w:top w:val="single" w:sz="8" w:color="auto"/>
              <w:right w:val="single" w:sz="8" w:color="auto"/>
            </w:tcBorders>
            <w:shd w:val="clear" w:color="auto" w:fill="424E6A"/>
          </w:tcPr>
          <w:p>
            <w:pPr>
              <w:spacing w:after="0"/>
              <w:rPr>
                <w:sz w:val="24"/>
                <w:szCs w:val="24"/>
                <w:color w:val="auto"/>
              </w:rPr>
            </w:pPr>
          </w:p>
        </w:tc>
      </w:tr>
      <w:tr>
        <w:trPr>
          <w:trHeight w:val="162"/>
        </w:trPr>
        <w:tc>
          <w:tcPr>
            <w:tcW w:w="4080" w:type="dxa"/>
            <w:vAlign w:val="bottom"/>
            <w:tcBorders>
              <w:left w:val="single" w:sz="8" w:color="auto"/>
            </w:tcBorders>
            <w:shd w:val="clear" w:color="auto" w:fill="424E6A"/>
          </w:tcPr>
          <w:p>
            <w:pPr>
              <w:spacing w:after="0"/>
              <w:rPr>
                <w:sz w:val="14"/>
                <w:szCs w:val="14"/>
                <w:color w:val="auto"/>
              </w:rPr>
            </w:pPr>
          </w:p>
        </w:tc>
        <w:tc>
          <w:tcPr>
            <w:tcW w:w="820" w:type="dxa"/>
            <w:vAlign w:val="bottom"/>
            <w:tcBorders>
              <w:right w:val="single" w:sz="8" w:color="auto"/>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Benchmarking</w:t>
            </w:r>
          </w:p>
        </w:tc>
        <w:tc>
          <w:tcPr>
            <w:tcW w:w="120" w:type="dxa"/>
            <w:vAlign w:val="bottom"/>
            <w:tcBorders>
              <w:right w:val="single" w:sz="8" w:color="auto"/>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620" w:type="dxa"/>
            <w:vAlign w:val="bottom"/>
            <w:tcBorders>
              <w:right w:val="single" w:sz="8" w:color="auto"/>
            </w:tcBorders>
            <w:shd w:val="clear" w:color="auto" w:fill="424E6A"/>
          </w:tcPr>
          <w:p>
            <w:pPr>
              <w:jc w:val="center"/>
              <w:ind w:right="48"/>
              <w:spacing w:after="0"/>
              <w:rPr>
                <w:sz w:val="20"/>
                <w:szCs w:val="20"/>
                <w:color w:val="auto"/>
              </w:rPr>
            </w:pPr>
            <w:r>
              <w:rPr>
                <w:rFonts w:ascii="Arial" w:cs="Arial" w:eastAsia="Arial" w:hAnsi="Arial"/>
                <w:sz w:val="14"/>
                <w:szCs w:val="14"/>
                <w:b w:val="1"/>
                <w:bCs w:val="1"/>
                <w:color w:val="FFFFFF"/>
              </w:rPr>
              <w:t>2023 TSR Comparator</w:t>
            </w:r>
          </w:p>
        </w:tc>
      </w:tr>
      <w:tr>
        <w:trPr>
          <w:trHeight w:val="171"/>
        </w:trPr>
        <w:tc>
          <w:tcPr>
            <w:tcW w:w="4080" w:type="dxa"/>
            <w:vAlign w:val="bottom"/>
            <w:tcBorders>
              <w:left w:val="single" w:sz="8" w:color="auto"/>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​Entity/Index Name (Ticker)</w:t>
            </w:r>
          </w:p>
        </w:tc>
        <w:tc>
          <w:tcPr>
            <w:tcW w:w="820" w:type="dxa"/>
            <w:vAlign w:val="bottom"/>
            <w:tcBorders>
              <w:bottom w:val="single" w:sz="8" w:color="auto"/>
              <w:right w:val="single" w:sz="8" w:color="auto"/>
            </w:tcBorders>
            <w:shd w:val="clear" w:color="auto" w:fill="424E6A"/>
          </w:tcPr>
          <w:p>
            <w:pPr>
              <w:ind w:left="7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auto"/>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Peer Group</w:t>
            </w:r>
          </w:p>
        </w:tc>
        <w:tc>
          <w:tcPr>
            <w:tcW w:w="120" w:type="dxa"/>
            <w:vAlign w:val="bottom"/>
            <w:tcBorders>
              <w:bottom w:val="single" w:sz="8" w:color="auto"/>
              <w:right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auto"/>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auto"/>
              <w:right w:val="single" w:sz="8" w:color="auto"/>
            </w:tcBorders>
            <w:shd w:val="clear" w:color="auto" w:fill="424E6A"/>
          </w:tcPr>
          <w:p>
            <w:pPr>
              <w:jc w:val="center"/>
              <w:ind w:right="8"/>
              <w:spacing w:after="0"/>
              <w:rPr>
                <w:sz w:val="20"/>
                <w:szCs w:val="20"/>
                <w:color w:val="auto"/>
              </w:rPr>
            </w:pPr>
            <w:r>
              <w:rPr>
                <w:rFonts w:ascii="Arial" w:cs="Arial" w:eastAsia="Arial" w:hAnsi="Arial"/>
                <w:sz w:val="14"/>
                <w:szCs w:val="14"/>
                <w:b w:val="1"/>
                <w:bCs w:val="1"/>
                <w:color w:val="FFFFFF"/>
              </w:rPr>
              <w:t>Peer Group</w:t>
            </w: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​Energy Transfer LP (ET)</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​Enterprise Products Partners LP (EPD)</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​Kinder Morgan Inc. (KMI)</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​The Williams Companies Inc. (WMB)</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​MPLX LP (MPLX)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​ONEOK Inc. (OKE)</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​Targa Resources Corp. (TRGP)</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​Western Midstream Partners LP (WES)</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​EnLink Midstream LLC (ENLC)</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​Magellan Midstream Partners LP (MMP)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​Equitrans Midstream Corporation (ETRN)</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​Crestwood Equity Partners LP (CEQP)</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​Genesis Energy LP (GEL)</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​NuStar Energy LP (NS)</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r>
        <w:trPr>
          <w:trHeight w:val="250"/>
        </w:trPr>
        <w:tc>
          <w:tcPr>
            <w:tcW w:w="4080" w:type="dxa"/>
            <w:vAlign w:val="bottom"/>
            <w:tcBorders>
              <w:left w:val="single" w:sz="8" w:color="auto"/>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​S&amp;P 500 Index (SPX)</w:t>
            </w:r>
          </w:p>
        </w:tc>
        <w:tc>
          <w:tcPr>
            <w:tcW w:w="820" w:type="dxa"/>
            <w:vAlign w:val="bottom"/>
            <w:tcBorders>
              <w:bottom w:val="single" w:sz="8" w:color="auto"/>
              <w:right w:val="single" w:sz="8" w:color="auto"/>
            </w:tcBorders>
            <w:shd w:val="clear" w:color="auto" w:fill="D9DCE1"/>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D9DCE1"/>
          </w:tcPr>
          <w:p>
            <w:pPr>
              <w:spacing w:after="0"/>
              <w:rPr>
                <w:sz w:val="21"/>
                <w:szCs w:val="21"/>
                <w:color w:val="auto"/>
              </w:rPr>
            </w:pPr>
          </w:p>
        </w:tc>
        <w:tc>
          <w:tcPr>
            <w:tcW w:w="120" w:type="dxa"/>
            <w:vAlign w:val="bottom"/>
            <w:tcBorders>
              <w:bottom w:val="single" w:sz="8" w:color="auto"/>
              <w:right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shd w:val="clear" w:color="auto" w:fill="D9DCE1"/>
          </w:tcPr>
          <w:p>
            <w:pPr>
              <w:spacing w:after="0"/>
              <w:rPr>
                <w:sz w:val="21"/>
                <w:szCs w:val="21"/>
                <w:color w:val="auto"/>
              </w:rPr>
            </w:pPr>
          </w:p>
        </w:tc>
      </w:tr>
      <w:tr>
        <w:trPr>
          <w:trHeight w:val="250"/>
        </w:trPr>
        <w:tc>
          <w:tcPr>
            <w:tcW w:w="40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​Alerian Midstream Energy Index (AMNA)</w:t>
            </w:r>
          </w:p>
        </w:tc>
        <w:tc>
          <w:tcPr>
            <w:tcW w:w="8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right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4383405</wp:posOffset>
            </wp:positionH>
            <wp:positionV relativeFrom="paragraph">
              <wp:posOffset>-2682240</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-2682240</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-2510790</wp:posOffset>
            </wp:positionV>
            <wp:extent cx="68580" cy="685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-2510790</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-2339340</wp:posOffset>
            </wp:positionV>
            <wp:extent cx="685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-2339340</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-2167890</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-2167890</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-1996440</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-1996440</wp:posOffset>
            </wp:positionV>
            <wp:extent cx="68580" cy="685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-1824990</wp:posOffset>
            </wp:positionV>
            <wp:extent cx="6858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-1824990</wp:posOffset>
            </wp:positionV>
            <wp:extent cx="68580" cy="685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-1653540</wp:posOffset>
            </wp:positionV>
            <wp:extent cx="68580" cy="685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-1653540</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-1482090</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-1482090</wp:posOffset>
            </wp:positionV>
            <wp:extent cx="68580" cy="685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-1310640</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-1310640</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-1139190</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-967740</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-796290</wp:posOffset>
            </wp:positionV>
            <wp:extent cx="68580" cy="685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-624840</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-453390</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-281940</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-110490</wp:posOffset>
            </wp:positionV>
            <wp:extent cx="68580"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Additional Information Regarding Compensation Practices and Processes</w:t>
      </w:r>
    </w:p>
    <w:p>
      <w:pPr>
        <w:spacing w:after="0" w:line="156" w:lineRule="exact"/>
        <w:rPr>
          <w:sz w:val="20"/>
          <w:szCs w:val="20"/>
          <w:color w:val="auto"/>
        </w:rPr>
      </w:pPr>
    </w:p>
    <w:p>
      <w:pPr>
        <w:ind w:left="1260" w:right="639" w:firstLine="360"/>
        <w:spacing w:after="0" w:line="271" w:lineRule="auto"/>
        <w:rPr>
          <w:sz w:val="20"/>
          <w:szCs w:val="20"/>
          <w:color w:val="auto"/>
        </w:rPr>
      </w:pPr>
      <w:r>
        <w:rPr>
          <w:rFonts w:ascii="Arial" w:cs="Arial" w:eastAsia="Arial" w:hAnsi="Arial"/>
          <w:sz w:val="18"/>
          <w:szCs w:val="18"/>
          <w:color w:val="auto"/>
        </w:rPr>
        <w:t>Set forth below is additional information regarding our compensation practices and processes as they relate to the elements of our compensation program:</w:t>
      </w:r>
    </w:p>
    <w:p>
      <w:pPr>
        <w:spacing w:after="0" w:line="86"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Historically, we have not made regular annual adjustments to the base salaries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We have made salary adjustments periodically in connection with promotions, the assumption of increased responsibilities or to address changes in competitive market data. Base salaries were not adjusted in 2023.</w:t>
      </w:r>
    </w:p>
    <w:p>
      <w:pPr>
        <w:spacing w:after="0" w:line="103"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Annual cash incentive awards (or bonuses) are determined within</w:t>
      </w:r>
      <w:r>
        <w:rPr>
          <w:rFonts w:ascii="Arial" w:cs="Arial" w:eastAsia="Arial" w:hAnsi="Arial"/>
          <w:sz w:val="18"/>
          <w:szCs w:val="18"/>
          <w:i w:val="1"/>
          <w:iCs w:val="1"/>
          <w:color w:val="auto"/>
        </w:rPr>
        <w:t xml:space="preserve"> </w:t>
      </w:r>
      <w:r>
        <w:rPr>
          <w:rFonts w:ascii="Arial" w:cs="Arial" w:eastAsia="Arial" w:hAnsi="Arial"/>
          <w:sz w:val="18"/>
          <w:szCs w:val="18"/>
          <w:color w:val="auto"/>
        </w:rPr>
        <w:t>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p>
    <w:p>
      <w:pPr>
        <w:spacing w:after="0" w:line="192"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2023 Annual Bonus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1468755</wp:posOffset>
            </wp:positionH>
            <wp:positionV relativeFrom="paragraph">
              <wp:posOffset>128905</wp:posOffset>
            </wp:positionV>
            <wp:extent cx="3874770" cy="21170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47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to the Compensation Committee the results of the formulaic bonus calculations, along with any recommendations for adjustments, for all Named Executive Officers other than himself. In connection with his assessment of Company and individual performance, the CEO also considers various factors, including:</w:t>
      </w:r>
    </w:p>
    <w:p>
      <w:pPr>
        <w:spacing w:after="0" w:line="80" w:lineRule="exact"/>
        <w:rPr>
          <w:sz w:val="20"/>
          <w:szCs w:val="20"/>
          <w:color w:val="auto"/>
        </w:rPr>
      </w:pPr>
    </w:p>
    <w:p>
      <w:pPr>
        <w:ind w:left="1800" w:right="499" w:hanging="180"/>
        <w:spacing w:after="0" w:line="287" w:lineRule="auto"/>
        <w:tabs>
          <w:tab w:leader="none" w:pos="1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or not we achieved the goals established for the year and any notable shortfalls relative to expectations;</w:t>
      </w: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00" w:right="659" w:hanging="180"/>
        <w:spacing w:after="0" w:line="28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difficulty associated with achieving such objectives based on the opportunities and challenges encountered during the year;</w:t>
      </w:r>
    </w:p>
    <w:p>
      <w:pPr>
        <w:spacing w:after="0" w:line="44" w:lineRule="exact"/>
        <w:rPr>
          <w:rFonts w:ascii="Arial" w:cs="Arial" w:eastAsia="Arial" w:hAnsi="Arial"/>
          <w:sz w:val="18"/>
          <w:szCs w:val="18"/>
          <w:color w:val="auto"/>
        </w:rPr>
      </w:pPr>
    </w:p>
    <w:p>
      <w:pPr>
        <w:ind w:left="1800" w:right="419" w:hanging="180"/>
        <w:spacing w:after="0" w:line="28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current year operating and financial performance relative to both public guidance and prior year’s performance;</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transactions or accomplishments for the period not included in the goals for the year;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relative prospects at the end of the year with respect to future growth and performance; and</w:t>
      </w:r>
    </w:p>
    <w:p>
      <w:pPr>
        <w:spacing w:after="0" w:line="117" w:lineRule="exact"/>
        <w:rPr>
          <w:rFonts w:ascii="Arial" w:cs="Arial" w:eastAsia="Arial" w:hAnsi="Arial"/>
          <w:sz w:val="18"/>
          <w:szCs w:val="18"/>
          <w:color w:val="auto"/>
        </w:rPr>
      </w:pPr>
    </w:p>
    <w:p>
      <w:pPr>
        <w:ind w:left="1800" w:right="699" w:hanging="180"/>
        <w:spacing w:after="0" w:line="287" w:lineRule="auto"/>
        <w:tabs>
          <w:tab w:leader="none" w:pos="1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equity price performance and returns during the year and our positioning at the end of the year with respect to our targeted leverage metrics and credit profile.</w:t>
      </w:r>
    </w:p>
    <w:p>
      <w:pPr>
        <w:spacing w:after="0" w:line="85" w:lineRule="exact"/>
        <w:rPr>
          <w:sz w:val="20"/>
          <w:szCs w:val="20"/>
          <w:color w:val="auto"/>
        </w:rPr>
      </w:pPr>
    </w:p>
    <w:p>
      <w:pPr>
        <w:jc w:val="both"/>
        <w:ind w:left="1260" w:right="459" w:firstLine="360"/>
        <w:spacing w:after="0" w:line="268" w:lineRule="auto"/>
        <w:rPr>
          <w:sz w:val="20"/>
          <w:szCs w:val="20"/>
          <w:color w:val="auto"/>
        </w:rPr>
      </w:pPr>
      <w:r>
        <w:rPr>
          <w:rFonts w:ascii="Arial" w:cs="Arial" w:eastAsia="Arial" w:hAnsi="Arial"/>
          <w:sz w:val="18"/>
          <w:szCs w:val="18"/>
          <w:color w:val="auto"/>
        </w:rPr>
        <w:t>The Compensation Committee may adjust the CEO’s recommendations upward or downward in its discretion. The Compensation Committee’s recommendations are then submitted to the Board for final review and approval.</w:t>
      </w:r>
    </w:p>
    <w:p>
      <w:pPr>
        <w:spacing w:after="0" w:line="103"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As noted above, the CEO does not make a recommendation with respect to his own bonus. The Compensation Committee assesses the CEO’s performance and contributions toward meeting the goals and objectives established at the beginning of the year, and then recommends to the Board a total bonus payout for the CEO that it believes to be commensurate with such performance and contributions.</w:t>
      </w:r>
    </w:p>
    <w:p>
      <w:pPr>
        <w:spacing w:after="0" w:line="98" w:lineRule="exact"/>
        <w:rPr>
          <w:sz w:val="20"/>
          <w:szCs w:val="20"/>
          <w:color w:val="auto"/>
        </w:rPr>
      </w:pPr>
    </w:p>
    <w:p>
      <w:pPr>
        <w:ind w:left="1260" w:right="419" w:firstLine="360"/>
        <w:spacing w:after="0" w:line="262"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We use performance and time-based phantom unit grants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Long-Term Incentive Plans to incentivize and retain our executive officers and encourage and reward timely achievement of targeted metrics designed to align the long-term interests of the Named Executive Officers with those of our unitholders.</w:t>
      </w:r>
    </w:p>
    <w:p>
      <w:pPr>
        <w:spacing w:after="0" w:line="17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2023 Annual LTIP Award; Determination of Units for Annual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137795</wp:posOffset>
            </wp:positionV>
            <wp:extent cx="4183380" cy="13284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8338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1260" w:right="639" w:firstLine="360"/>
        <w:spacing w:after="0" w:line="262" w:lineRule="auto"/>
        <w:rPr>
          <w:sz w:val="20"/>
          <w:szCs w:val="20"/>
          <w:color w:val="auto"/>
        </w:rPr>
      </w:pPr>
      <w:r>
        <w:rPr>
          <w:rFonts w:ascii="Arial" w:cs="Arial" w:eastAsia="Arial" w:hAnsi="Arial"/>
          <w:sz w:val="18"/>
          <w:szCs w:val="18"/>
          <w:color w:val="auto"/>
        </w:rPr>
        <w:t>NEOs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p>
    <w:p>
      <w:pPr>
        <w:spacing w:after="0" w:line="109"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three-year period. Phantom unit grants for the Named Executive Officers typically include DERs, and for awards granted in 2023, DERs on the performance-based portion of such awards accrue from the grant date and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2023 Performance Overview and Specific Application of Compensation Elements in 2023</w:t>
      </w:r>
    </w:p>
    <w:p>
      <w:pPr>
        <w:spacing w:after="0" w:line="156"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At the beginning of 2023, we established key quantitative financial, safety and environmental objectives, along with several qualitative goals. These objectives and goals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5212080" cy="46202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4620260"/>
                    </a:xfrm>
                    <a:prstGeom prst="rect">
                      <a:avLst/>
                    </a:prstGeom>
                    <a:noFill/>
                  </pic:spPr>
                </pic:pic>
              </a:graphicData>
            </a:graphic>
          </wp:anchor>
        </w:drawing>
      </w:r>
    </w:p>
    <w:p>
      <w:pPr>
        <w:spacing w:after="0" w:line="169"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FFFFFF"/>
        </w:rPr>
        <w:t>2023 Performance Objectives and Results (all figures rounded)</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Quantitative Goals</w:t>
      </w:r>
    </w:p>
    <w:p>
      <w:pPr>
        <w:spacing w:after="0" w:line="39" w:lineRule="exact"/>
        <w:rPr>
          <w:sz w:val="20"/>
          <w:szCs w:val="20"/>
          <w:color w:val="auto"/>
        </w:rPr>
      </w:pPr>
    </w:p>
    <w:tbl>
      <w:tblPr>
        <w:tblLayout w:type="fixed"/>
        <w:tblInd w:w="1280" w:type="dxa"/>
        <w:tblCellMar>
          <w:top w:w="0" w:type="dxa"/>
          <w:left w:w="0" w:type="dxa"/>
          <w:bottom w:w="0" w:type="dxa"/>
          <w:right w:w="0" w:type="dxa"/>
        </w:tblCellMar>
      </w:tblPr>
      <w:tr>
        <w:trPr>
          <w:trHeight w:val="244"/>
        </w:trPr>
        <w:tc>
          <w:tcPr>
            <w:tcW w:w="2620" w:type="dxa"/>
            <w:vAlign w:val="bottom"/>
            <w:tcBorders>
              <w:top w:val="single" w:sz="8" w:color="424E6A"/>
              <w:bottom w:val="single" w:sz="8" w:color="424E6A"/>
            </w:tcBorders>
          </w:tcPr>
          <w:p>
            <w:pPr>
              <w:ind w:left="1060"/>
              <w:spacing w:after="0"/>
              <w:rPr>
                <w:sz w:val="20"/>
                <w:szCs w:val="20"/>
                <w:color w:val="auto"/>
              </w:rPr>
            </w:pPr>
            <w:r>
              <w:rPr>
                <w:rFonts w:ascii="Arial" w:cs="Arial" w:eastAsia="Arial" w:hAnsi="Arial"/>
                <w:sz w:val="16"/>
                <w:szCs w:val="16"/>
                <w:b w:val="1"/>
                <w:bCs w:val="1"/>
                <w:color w:val="auto"/>
              </w:rPr>
              <w:t>Metrics</w:t>
            </w:r>
          </w:p>
        </w:tc>
        <w:tc>
          <w:tcPr>
            <w:tcW w:w="100" w:type="dxa"/>
            <w:vAlign w:val="bottom"/>
            <w:tcBorders>
              <w:top w:val="single" w:sz="8" w:color="424E6A"/>
              <w:bottom w:val="single" w:sz="8" w:color="424E6A"/>
              <w:right w:val="single" w:sz="8" w:color="424E6A"/>
            </w:tcBorders>
          </w:tcPr>
          <w:p>
            <w:pPr>
              <w:ind w:left="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b w:val="1"/>
                <w:bCs w:val="1"/>
                <w:color w:val="auto"/>
              </w:rPr>
              <w:t>​</w:t>
            </w:r>
          </w:p>
        </w:tc>
        <w:tc>
          <w:tcPr>
            <w:tcW w:w="2180" w:type="dxa"/>
            <w:vAlign w:val="bottom"/>
            <w:tcBorders>
              <w:top w:val="single" w:sz="8" w:color="424E6A"/>
              <w:bottom w:val="single" w:sz="8" w:color="424E6A"/>
            </w:tcBorders>
          </w:tcPr>
          <w:p>
            <w:pPr>
              <w:ind w:left="720"/>
              <w:spacing w:after="0"/>
              <w:rPr>
                <w:sz w:val="20"/>
                <w:szCs w:val="20"/>
                <w:color w:val="auto"/>
              </w:rPr>
            </w:pPr>
            <w:r>
              <w:rPr>
                <w:rFonts w:ascii="Arial" w:cs="Arial" w:eastAsia="Arial" w:hAnsi="Arial"/>
                <w:sz w:val="16"/>
                <w:szCs w:val="16"/>
                <w:b w:val="1"/>
                <w:bCs w:val="1"/>
                <w:color w:val="auto"/>
              </w:rPr>
              <w:t>2023 Goals</w:t>
            </w:r>
          </w:p>
        </w:tc>
        <w:tc>
          <w:tcPr>
            <w:tcW w:w="360" w:type="dxa"/>
            <w:vAlign w:val="bottom"/>
            <w:tcBorders>
              <w:top w:val="single" w:sz="8" w:color="424E6A"/>
              <w:bottom w:val="single" w:sz="8" w:color="424E6A"/>
              <w:right w:val="single" w:sz="8" w:color="424E6A"/>
            </w:tcBorders>
          </w:tcPr>
          <w:p>
            <w:pPr>
              <w:ind w:left="30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424E6A"/>
              <w:bottom w:val="single" w:sz="8" w:color="424E6A"/>
            </w:tcBorders>
          </w:tcPr>
          <w:p>
            <w:pPr>
              <w:ind w:left="40"/>
              <w:spacing w:after="0"/>
              <w:rPr>
                <w:sz w:val="20"/>
                <w:szCs w:val="20"/>
                <w:color w:val="auto"/>
              </w:rPr>
            </w:pPr>
            <w:r>
              <w:rPr>
                <w:rFonts w:ascii="Arial" w:cs="Arial" w:eastAsia="Arial" w:hAnsi="Arial"/>
                <w:sz w:val="16"/>
                <w:szCs w:val="16"/>
                <w:b w:val="1"/>
                <w:bCs w:val="1"/>
                <w:color w:val="auto"/>
              </w:rPr>
              <w:t>​</w:t>
            </w:r>
          </w:p>
        </w:tc>
        <w:tc>
          <w:tcPr>
            <w:tcW w:w="2480" w:type="dxa"/>
            <w:vAlign w:val="bottom"/>
            <w:tcBorders>
              <w:top w:val="single" w:sz="8" w:color="424E6A"/>
              <w:bottom w:val="single" w:sz="8" w:color="424E6A"/>
            </w:tcBorders>
          </w:tcPr>
          <w:p>
            <w:pPr>
              <w:ind w:left="660"/>
              <w:spacing w:after="0"/>
              <w:rPr>
                <w:sz w:val="20"/>
                <w:szCs w:val="20"/>
                <w:color w:val="auto"/>
              </w:rPr>
            </w:pPr>
            <w:r>
              <w:rPr>
                <w:rFonts w:ascii="Arial" w:cs="Arial" w:eastAsia="Arial" w:hAnsi="Arial"/>
                <w:sz w:val="16"/>
                <w:szCs w:val="16"/>
                <w:b w:val="1"/>
                <w:bCs w:val="1"/>
                <w:color w:val="auto"/>
              </w:rPr>
              <w:t>2023 Results</w:t>
            </w:r>
          </w:p>
        </w:tc>
      </w:tr>
      <w:tr>
        <w:trPr>
          <w:trHeight w:val="202"/>
        </w:trPr>
        <w:tc>
          <w:tcPr>
            <w:tcW w:w="2620" w:type="dxa"/>
            <w:vAlign w:val="bottom"/>
          </w:tcPr>
          <w:p>
            <w:pPr>
              <w:ind w:left="60"/>
              <w:spacing w:after="0" w:line="201" w:lineRule="exact"/>
              <w:rPr>
                <w:sz w:val="20"/>
                <w:szCs w:val="20"/>
                <w:color w:val="auto"/>
              </w:rPr>
            </w:pPr>
            <w:r>
              <w:rPr>
                <w:rFonts w:ascii="Arial" w:cs="Arial" w:eastAsia="Arial" w:hAnsi="Arial"/>
                <w:sz w:val="18"/>
                <w:szCs w:val="18"/>
                <w:color w:val="auto"/>
                <w:w w:val="99"/>
              </w:rPr>
              <w:t>Adjusted EBITDA attributable to</w:t>
            </w:r>
          </w:p>
        </w:tc>
        <w:tc>
          <w:tcPr>
            <w:tcW w:w="100" w:type="dxa"/>
            <w:vAlign w:val="bottom"/>
            <w:tcBorders>
              <w:right w:val="single" w:sz="8" w:color="424E6A"/>
            </w:tcBorders>
          </w:tcPr>
          <w:p>
            <w:pPr>
              <w:spacing w:after="0"/>
              <w:rPr>
                <w:sz w:val="17"/>
                <w:szCs w:val="17"/>
                <w:color w:val="auto"/>
              </w:rPr>
            </w:pPr>
          </w:p>
        </w:tc>
        <w:tc>
          <w:tcPr>
            <w:tcW w:w="24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$2.50 billion</w:t>
            </w:r>
          </w:p>
        </w:tc>
        <w:tc>
          <w:tcPr>
            <w:tcW w:w="36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$2.71 billion</w:t>
            </w:r>
          </w:p>
        </w:tc>
      </w:tr>
      <w:tr>
        <w:trPr>
          <w:trHeight w:val="278"/>
        </w:trPr>
        <w:tc>
          <w:tcPr>
            <w:tcW w:w="2620" w:type="dxa"/>
            <w:vAlign w:val="bottom"/>
            <w:tcBorders>
              <w:bottom w:val="single" w:sz="8" w:color="424E6A"/>
            </w:tcBorders>
          </w:tcPr>
          <w:p>
            <w:pPr>
              <w:ind w:left="60"/>
              <w:spacing w:after="0" w:line="278" w:lineRule="exact"/>
              <w:rPr>
                <w:sz w:val="20"/>
                <w:szCs w:val="20"/>
                <w:color w:val="auto"/>
              </w:rPr>
            </w:pPr>
            <w:r>
              <w:rPr>
                <w:rFonts w:ascii="Arial" w:cs="Arial" w:eastAsia="Arial" w:hAnsi="Arial"/>
                <w:sz w:val="32"/>
                <w:szCs w:val="32"/>
                <w:color w:val="auto"/>
                <w:vertAlign w:val="subscript"/>
              </w:rPr>
              <w:t>PAA</w:t>
            </w:r>
            <w:r>
              <w:rPr>
                <w:rFonts w:ascii="Arial" w:cs="Arial" w:eastAsia="Arial" w:hAnsi="Arial"/>
                <w:sz w:val="11"/>
                <w:szCs w:val="11"/>
                <w:color w:val="auto"/>
              </w:rPr>
              <w:t>(1)</w:t>
            </w:r>
          </w:p>
        </w:tc>
        <w:tc>
          <w:tcPr>
            <w:tcW w:w="10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180" w:type="dxa"/>
            <w:vAlign w:val="bottom"/>
            <w:tcBorders>
              <w:bottom w:val="single" w:sz="8" w:color="424E6A"/>
            </w:tcBorders>
          </w:tcPr>
          <w:p>
            <w:pPr>
              <w:spacing w:after="0"/>
              <w:rPr>
                <w:sz w:val="24"/>
                <w:szCs w:val="24"/>
                <w:color w:val="auto"/>
              </w:rPr>
            </w:pPr>
          </w:p>
        </w:tc>
        <w:tc>
          <w:tcPr>
            <w:tcW w:w="36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r>
      <w:tr>
        <w:trPr>
          <w:trHeight w:val="202"/>
        </w:trPr>
        <w:tc>
          <w:tcPr>
            <w:tcW w:w="2620" w:type="dxa"/>
            <w:vAlign w:val="bottom"/>
          </w:tcPr>
          <w:p>
            <w:pPr>
              <w:ind w:left="60"/>
              <w:spacing w:after="0" w:line="201" w:lineRule="exact"/>
              <w:rPr>
                <w:sz w:val="20"/>
                <w:szCs w:val="20"/>
                <w:color w:val="auto"/>
              </w:rPr>
            </w:pPr>
            <w:r>
              <w:rPr>
                <w:rFonts w:ascii="Arial" w:cs="Arial" w:eastAsia="Arial" w:hAnsi="Arial"/>
                <w:sz w:val="18"/>
                <w:szCs w:val="18"/>
                <w:color w:val="auto"/>
              </w:rPr>
              <w:t>Implied DCF per common unit</w:t>
            </w:r>
          </w:p>
        </w:tc>
        <w:tc>
          <w:tcPr>
            <w:tcW w:w="100" w:type="dxa"/>
            <w:vAlign w:val="bottom"/>
            <w:tcBorders>
              <w:right w:val="single" w:sz="8" w:color="424E6A"/>
            </w:tcBorders>
          </w:tcPr>
          <w:p>
            <w:pPr>
              <w:spacing w:after="0"/>
              <w:rPr>
                <w:sz w:val="17"/>
                <w:szCs w:val="17"/>
                <w:color w:val="auto"/>
              </w:rPr>
            </w:pPr>
          </w:p>
        </w:tc>
        <w:tc>
          <w:tcPr>
            <w:tcW w:w="24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$2.33</w:t>
            </w:r>
          </w:p>
        </w:tc>
        <w:tc>
          <w:tcPr>
            <w:tcW w:w="360" w:type="dxa"/>
            <w:vAlign w:val="bottom"/>
            <w:tcBorders>
              <w:right w:val="single" w:sz="8" w:color="424E6A"/>
            </w:tcBorders>
          </w:tcPr>
          <w:p>
            <w:pPr>
              <w:spacing w:after="0"/>
              <w:rPr>
                <w:sz w:val="17"/>
                <w:szCs w:val="17"/>
                <w:color w:val="auto"/>
              </w:rPr>
            </w:pPr>
          </w:p>
        </w:tc>
        <w:tc>
          <w:tcPr>
            <w:tcW w:w="2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$2.46</w:t>
            </w:r>
          </w:p>
        </w:tc>
      </w:tr>
      <w:tr>
        <w:trPr>
          <w:trHeight w:val="278"/>
        </w:trPr>
        <w:tc>
          <w:tcPr>
            <w:tcW w:w="262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and CUE</w:t>
            </w:r>
            <w:r>
              <w:rPr>
                <w:rFonts w:ascii="Arial" w:cs="Arial" w:eastAsia="Arial" w:hAnsi="Arial"/>
                <w:sz w:val="23"/>
                <w:szCs w:val="23"/>
                <w:color w:val="auto"/>
                <w:vertAlign w:val="superscript"/>
              </w:rPr>
              <w:t>(1)</w:t>
            </w:r>
          </w:p>
        </w:tc>
        <w:tc>
          <w:tcPr>
            <w:tcW w:w="10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180" w:type="dxa"/>
            <w:vAlign w:val="bottom"/>
            <w:tcBorders>
              <w:bottom w:val="single" w:sz="8" w:color="424E6A"/>
            </w:tcBorders>
          </w:tcPr>
          <w:p>
            <w:pPr>
              <w:spacing w:after="0"/>
              <w:rPr>
                <w:sz w:val="24"/>
                <w:szCs w:val="24"/>
                <w:color w:val="auto"/>
              </w:rPr>
            </w:pPr>
          </w:p>
        </w:tc>
        <w:tc>
          <w:tcPr>
            <w:tcW w:w="360" w:type="dxa"/>
            <w:vAlign w:val="bottom"/>
            <w:tcBorders>
              <w:bottom w:val="single" w:sz="8" w:color="424E6A"/>
              <w:right w:val="single" w:sz="8" w:color="424E6A"/>
            </w:tcBorders>
          </w:tcPr>
          <w:p>
            <w:pPr>
              <w:spacing w:after="0"/>
              <w:rPr>
                <w:sz w:val="24"/>
                <w:szCs w:val="24"/>
                <w:color w:val="auto"/>
              </w:rPr>
            </w:pPr>
          </w:p>
        </w:tc>
        <w:tc>
          <w:tcPr>
            <w:tcW w:w="220" w:type="dxa"/>
            <w:vAlign w:val="bottom"/>
            <w:tcBorders>
              <w:bottom w:val="single" w:sz="8" w:color="424E6A"/>
            </w:tcBorders>
          </w:tcPr>
          <w:p>
            <w:pPr>
              <w:spacing w:after="0"/>
              <w:rPr>
                <w:sz w:val="24"/>
                <w:szCs w:val="24"/>
                <w:color w:val="auto"/>
              </w:rPr>
            </w:pPr>
          </w:p>
        </w:tc>
        <w:tc>
          <w:tcPr>
            <w:tcW w:w="2480" w:type="dxa"/>
            <w:vAlign w:val="bottom"/>
            <w:tcBorders>
              <w:bottom w:val="single" w:sz="8" w:color="424E6A"/>
            </w:tcBorders>
          </w:tcPr>
          <w:p>
            <w:pPr>
              <w:spacing w:after="0"/>
              <w:rPr>
                <w:sz w:val="24"/>
                <w:szCs w:val="24"/>
                <w:color w:val="auto"/>
              </w:rPr>
            </w:pPr>
          </w:p>
        </w:tc>
      </w:tr>
      <w:tr>
        <w:trPr>
          <w:trHeight w:val="245"/>
        </w:trPr>
        <w:tc>
          <w:tcPr>
            <w:tcW w:w="2620" w:type="dxa"/>
            <w:vAlign w:val="bottom"/>
          </w:tcPr>
          <w:p>
            <w:pPr>
              <w:ind w:left="60"/>
              <w:spacing w:after="0"/>
              <w:rPr>
                <w:sz w:val="20"/>
                <w:szCs w:val="20"/>
                <w:color w:val="auto"/>
              </w:rPr>
            </w:pPr>
            <w:r>
              <w:rPr>
                <w:rFonts w:ascii="Arial" w:cs="Arial" w:eastAsia="Arial" w:hAnsi="Arial"/>
                <w:sz w:val="18"/>
                <w:szCs w:val="18"/>
                <w:color w:val="auto"/>
              </w:rPr>
              <w:t>Safety and Environmental</w:t>
            </w:r>
          </w:p>
        </w:tc>
        <w:tc>
          <w:tcPr>
            <w:tcW w:w="100" w:type="dxa"/>
            <w:vAlign w:val="bottom"/>
            <w:tcBorders>
              <w:right w:val="single" w:sz="8" w:color="424E6A"/>
            </w:tcBorders>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Total Recordable Injury</w:t>
            </w:r>
          </w:p>
        </w:tc>
        <w:tc>
          <w:tcPr>
            <w:tcW w:w="360" w:type="dxa"/>
            <w:vAlign w:val="bottom"/>
            <w:tcBorders>
              <w:right w:val="single" w:sz="8" w:color="424E6A"/>
            </w:tcBorders>
          </w:tcPr>
          <w:p>
            <w:pPr>
              <w:spacing w:after="0"/>
              <w:rPr>
                <w:sz w:val="21"/>
                <w:szCs w:val="21"/>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480" w:type="dxa"/>
            <w:vAlign w:val="bottom"/>
          </w:tcPr>
          <w:p>
            <w:pPr>
              <w:ind w:left="40"/>
              <w:spacing w:after="0"/>
              <w:rPr>
                <w:sz w:val="20"/>
                <w:szCs w:val="20"/>
                <w:color w:val="auto"/>
              </w:rPr>
            </w:pPr>
            <w:r>
              <w:rPr>
                <w:rFonts w:ascii="Arial" w:cs="Arial" w:eastAsia="Arial" w:hAnsi="Arial"/>
                <w:sz w:val="18"/>
                <w:szCs w:val="18"/>
                <w:color w:val="auto"/>
              </w:rPr>
              <w:t>Total Recordable Injury</w:t>
            </w:r>
          </w:p>
        </w:tc>
      </w:tr>
      <w:tr>
        <w:trPr>
          <w:trHeight w:val="239"/>
        </w:trPr>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Rate: 0.25</w:t>
            </w:r>
          </w:p>
        </w:tc>
        <w:tc>
          <w:tcPr>
            <w:tcW w:w="36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Rate: 0.31</w:t>
            </w:r>
          </w:p>
        </w:tc>
      </w:tr>
      <w:tr>
        <w:trPr>
          <w:trHeight w:val="288"/>
        </w:trPr>
        <w:tc>
          <w:tcPr>
            <w:tcW w:w="2620" w:type="dxa"/>
            <w:vAlign w:val="bottom"/>
          </w:tcPr>
          <w:p>
            <w:pPr>
              <w:spacing w:after="0"/>
              <w:rPr>
                <w:sz w:val="24"/>
                <w:szCs w:val="24"/>
                <w:color w:val="auto"/>
              </w:rPr>
            </w:pPr>
          </w:p>
        </w:tc>
        <w:tc>
          <w:tcPr>
            <w:tcW w:w="100" w:type="dxa"/>
            <w:vAlign w:val="bottom"/>
            <w:tcBorders>
              <w:right w:val="single" w:sz="8" w:color="424E6A"/>
            </w:tcBorders>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180" w:type="dxa"/>
            <w:vAlign w:val="bottom"/>
          </w:tcPr>
          <w:p>
            <w:pPr>
              <w:ind w:left="60"/>
              <w:spacing w:after="0"/>
              <w:rPr>
                <w:sz w:val="20"/>
                <w:szCs w:val="20"/>
                <w:color w:val="auto"/>
              </w:rPr>
            </w:pPr>
            <w:r>
              <w:rPr>
                <w:rFonts w:ascii="Arial" w:cs="Arial" w:eastAsia="Arial" w:hAnsi="Arial"/>
                <w:sz w:val="18"/>
                <w:szCs w:val="18"/>
                <w:color w:val="auto"/>
              </w:rPr>
              <w:t>Federally Reportable</w:t>
            </w:r>
          </w:p>
        </w:tc>
        <w:tc>
          <w:tcPr>
            <w:tcW w:w="360" w:type="dxa"/>
            <w:vAlign w:val="bottom"/>
            <w:tcBorders>
              <w:right w:val="single" w:sz="8" w:color="424E6A"/>
            </w:tcBorders>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2480" w:type="dxa"/>
            <w:vAlign w:val="bottom"/>
          </w:tcPr>
          <w:p>
            <w:pPr>
              <w:ind w:left="40"/>
              <w:spacing w:after="0"/>
              <w:rPr>
                <w:sz w:val="20"/>
                <w:szCs w:val="20"/>
                <w:color w:val="auto"/>
              </w:rPr>
            </w:pPr>
            <w:r>
              <w:rPr>
                <w:rFonts w:ascii="Arial" w:cs="Arial" w:eastAsia="Arial" w:hAnsi="Arial"/>
                <w:sz w:val="18"/>
                <w:szCs w:val="18"/>
                <w:color w:val="auto"/>
              </w:rPr>
              <w:t>Federally Reportable</w:t>
            </w:r>
          </w:p>
        </w:tc>
      </w:tr>
      <w:tr>
        <w:trPr>
          <w:trHeight w:val="239"/>
        </w:trPr>
        <w:tc>
          <w:tcPr>
            <w:tcW w:w="2620" w:type="dxa"/>
            <w:vAlign w:val="bottom"/>
          </w:tcPr>
          <w:p>
            <w:pPr>
              <w:spacing w:after="0"/>
              <w:rPr>
                <w:sz w:val="20"/>
                <w:szCs w:val="20"/>
                <w:color w:val="auto"/>
              </w:rPr>
            </w:pPr>
          </w:p>
        </w:tc>
        <w:tc>
          <w:tcPr>
            <w:tcW w:w="10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8"/>
                <w:szCs w:val="18"/>
                <w:color w:val="auto"/>
              </w:rPr>
              <w:t>Releases: 10</w:t>
            </w:r>
          </w:p>
        </w:tc>
        <w:tc>
          <w:tcPr>
            <w:tcW w:w="360" w:type="dxa"/>
            <w:vAlign w:val="bottom"/>
            <w:tcBorders>
              <w:right w:val="single" w:sz="8" w:color="424E6A"/>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Releases: 19</w:t>
            </w:r>
          </w:p>
        </w:tc>
      </w:tr>
      <w:tr>
        <w:trPr>
          <w:trHeight w:val="50"/>
        </w:trPr>
        <w:tc>
          <w:tcPr>
            <w:tcW w:w="262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tcPr>
          <w:p>
            <w:pPr>
              <w:spacing w:after="0"/>
              <w:rPr>
                <w:sz w:val="4"/>
                <w:szCs w:val="4"/>
                <w:color w:val="auto"/>
              </w:rPr>
            </w:pPr>
          </w:p>
        </w:tc>
        <w:tc>
          <w:tcPr>
            <w:tcW w:w="220" w:type="dxa"/>
            <w:vAlign w:val="bottom"/>
            <w:tcBorders>
              <w:bottom w:val="single" w:sz="8" w:color="424E6A"/>
            </w:tcBorders>
          </w:tcPr>
          <w:p>
            <w:pPr>
              <w:spacing w:after="0"/>
              <w:rPr>
                <w:sz w:val="4"/>
                <w:szCs w:val="4"/>
                <w:color w:val="auto"/>
              </w:rPr>
            </w:pPr>
          </w:p>
        </w:tc>
        <w:tc>
          <w:tcPr>
            <w:tcW w:w="2180" w:type="dxa"/>
            <w:vAlign w:val="bottom"/>
            <w:tcBorders>
              <w:bottom w:val="single" w:sz="8" w:color="424E6A"/>
            </w:tcBorders>
          </w:tcPr>
          <w:p>
            <w:pPr>
              <w:spacing w:after="0"/>
              <w:rPr>
                <w:sz w:val="4"/>
                <w:szCs w:val="4"/>
                <w:color w:val="auto"/>
              </w:rPr>
            </w:pPr>
          </w:p>
        </w:tc>
        <w:tc>
          <w:tcPr>
            <w:tcW w:w="360" w:type="dxa"/>
            <w:vAlign w:val="bottom"/>
            <w:tcBorders>
              <w:bottom w:val="single" w:sz="8" w:color="424E6A"/>
              <w:right w:val="single" w:sz="8" w:color="424E6A"/>
            </w:tcBorders>
          </w:tcPr>
          <w:p>
            <w:pPr>
              <w:spacing w:after="0"/>
              <w:rPr>
                <w:sz w:val="4"/>
                <w:szCs w:val="4"/>
                <w:color w:val="auto"/>
              </w:rPr>
            </w:pPr>
          </w:p>
        </w:tc>
        <w:tc>
          <w:tcPr>
            <w:tcW w:w="220" w:type="dxa"/>
            <w:vAlign w:val="bottom"/>
            <w:tcBorders>
              <w:bottom w:val="single" w:sz="8" w:color="424E6A"/>
            </w:tcBorders>
          </w:tcPr>
          <w:p>
            <w:pPr>
              <w:spacing w:after="0"/>
              <w:rPr>
                <w:sz w:val="4"/>
                <w:szCs w:val="4"/>
                <w:color w:val="auto"/>
              </w:rPr>
            </w:pPr>
          </w:p>
        </w:tc>
        <w:tc>
          <w:tcPr>
            <w:tcW w:w="2480" w:type="dxa"/>
            <w:vAlign w:val="bottom"/>
            <w:tcBorders>
              <w:bottom w:val="single" w:sz="8" w:color="424E6A"/>
            </w:tcBorders>
          </w:tcPr>
          <w:p>
            <w:pPr>
              <w:spacing w:after="0"/>
              <w:rPr>
                <w:sz w:val="4"/>
                <w:szCs w:val="4"/>
                <w:color w:val="auto"/>
              </w:rPr>
            </w:pPr>
          </w:p>
        </w:tc>
      </w:tr>
    </w:tbl>
    <w:p>
      <w:pPr>
        <w:ind w:left="1340"/>
        <w:spacing w:after="0"/>
        <w:rPr>
          <w:sz w:val="20"/>
          <w:szCs w:val="20"/>
          <w:color w:val="auto"/>
        </w:rPr>
      </w:pPr>
      <w:r>
        <w:rPr>
          <w:rFonts w:ascii="Arial" w:cs="Arial" w:eastAsia="Arial" w:hAnsi="Arial"/>
          <w:sz w:val="16"/>
          <w:szCs w:val="16"/>
          <w:b w:val="1"/>
          <w:bCs w:val="1"/>
          <w:color w:val="auto"/>
        </w:rPr>
        <w:t>Qualitative Goals</w:t>
      </w:r>
      <w:r>
        <w:rPr>
          <w:rFonts w:ascii="Arial" w:cs="Arial" w:eastAsia="Arial" w:hAnsi="Arial"/>
          <w:sz w:val="17"/>
          <w:szCs w:val="17"/>
          <w:b w:val="1"/>
          <w:bCs w:val="1"/>
          <w:color w:val="auto"/>
        </w:rPr>
        <w:t>​</w:t>
      </w:r>
    </w:p>
    <w:p>
      <w:pPr>
        <w:spacing w:after="0" w:line="110" w:lineRule="exact"/>
        <w:rPr>
          <w:sz w:val="20"/>
          <w:szCs w:val="20"/>
          <w:color w:val="auto"/>
        </w:rPr>
      </w:pPr>
    </w:p>
    <w:p>
      <w:pPr>
        <w:ind w:left="1520" w:right="639" w:hanging="179"/>
        <w:spacing w:after="0" w:line="268" w:lineRule="auto"/>
        <w:tabs>
          <w:tab w:leader="none" w:pos="15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Financial</w:t>
      </w:r>
      <w:r>
        <w:rPr>
          <w:rFonts w:ascii="Arial" w:cs="Arial" w:eastAsia="Arial" w:hAnsi="Arial"/>
          <w:sz w:val="18"/>
          <w:szCs w:val="18"/>
          <w:color w:val="auto"/>
        </w:rPr>
        <w:t>: strengthen financial positioning and flexibility; achieve a leverage ratio of ~3.5x or lower by year end; deliver $579 million of Adjusted Free Cash Flow after Distributions; and increase returns of free cash flow after distributions to unitholders.</w:t>
      </w:r>
    </w:p>
    <w:p>
      <w:pPr>
        <w:spacing w:after="0" w:line="49" w:lineRule="exact"/>
        <w:rPr>
          <w:rFonts w:ascii="Arial" w:cs="Arial" w:eastAsia="Arial" w:hAnsi="Arial"/>
          <w:sz w:val="18"/>
          <w:szCs w:val="18"/>
          <w:color w:val="auto"/>
        </w:rPr>
      </w:pPr>
    </w:p>
    <w:p>
      <w:pPr>
        <w:ind w:left="1520" w:right="639" w:hanging="179"/>
        <w:spacing w:after="0" w:line="262" w:lineRule="auto"/>
        <w:tabs>
          <w:tab w:leader="none" w:pos="15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Investment</w:t>
      </w:r>
      <w:r>
        <w:rPr>
          <w:rFonts w:ascii="Arial" w:cs="Arial" w:eastAsia="Arial" w:hAnsi="Arial"/>
          <w:sz w:val="18"/>
          <w:szCs w:val="18"/>
          <w:color w:val="auto"/>
        </w:rPr>
        <w:t>: maintain capital discipline by completing our capital program and maintaining prudent risk adjusted return hurdles for projects under development; advance key projects, including emerging energy opportunities, that will support future growth and returns; and optimize existing assets.</w:t>
      </w:r>
    </w:p>
    <w:p>
      <w:pPr>
        <w:spacing w:after="0" w:line="54" w:lineRule="exact"/>
        <w:rPr>
          <w:rFonts w:ascii="Arial" w:cs="Arial" w:eastAsia="Arial" w:hAnsi="Arial"/>
          <w:sz w:val="18"/>
          <w:szCs w:val="18"/>
          <w:color w:val="auto"/>
        </w:rPr>
      </w:pPr>
    </w:p>
    <w:p>
      <w:pPr>
        <w:ind w:left="1520" w:right="519" w:hanging="179"/>
        <w:spacing w:after="0" w:line="259" w:lineRule="auto"/>
        <w:tabs>
          <w:tab w:leader="none" w:pos="152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Operations and Management</w:t>
      </w:r>
      <w:r>
        <w:rPr>
          <w:rFonts w:ascii="Arial" w:cs="Arial" w:eastAsia="Arial" w:hAnsi="Arial"/>
          <w:sz w:val="18"/>
          <w:szCs w:val="18"/>
          <w:color w:val="auto"/>
        </w:rPr>
        <w:t>: advance and complete key programs and initiatives, including efforts designed to improve the efficiency and scalability of our operations and accounting processes and information systems; progress sustainability goals; and advance key initiatives related to talent development/management, diversity and inclusion, succession planning, employee wellness and performance management.</w:t>
      </w:r>
    </w:p>
    <w:p>
      <w:pPr>
        <w:spacing w:after="0" w:line="98" w:lineRule="exact"/>
        <w:rPr>
          <w:rFonts w:ascii="Arial" w:cs="Arial" w:eastAsia="Arial" w:hAnsi="Arial"/>
          <w:sz w:val="18"/>
          <w:szCs w:val="18"/>
          <w:color w:val="auto"/>
        </w:rPr>
      </w:pPr>
    </w:p>
    <w:p>
      <w:pPr>
        <w:ind w:left="1980" w:right="519" w:hanging="279"/>
        <w:spacing w:after="0" w:line="259" w:lineRule="auto"/>
        <w:tabs>
          <w:tab w:leader="none" w:pos="1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73 of PAA’s Annual Report on Form 10-K for the year ended December 31, 2023 as filed with the SEC.</w:t>
      </w:r>
    </w:p>
    <w:p>
      <w:pPr>
        <w:spacing w:after="0" w:line="193" w:lineRule="exact"/>
        <w:rPr>
          <w:sz w:val="20"/>
          <w:szCs w:val="20"/>
          <w:color w:val="auto"/>
        </w:rPr>
      </w:pPr>
    </w:p>
    <w:p>
      <w:pPr>
        <w:ind w:left="1260" w:right="879" w:firstLine="360"/>
        <w:spacing w:after="0" w:line="287" w:lineRule="auto"/>
        <w:rPr>
          <w:sz w:val="20"/>
          <w:szCs w:val="20"/>
          <w:color w:val="auto"/>
        </w:rPr>
      </w:pPr>
      <w:r>
        <w:rPr>
          <w:rFonts w:ascii="Arial" w:cs="Arial" w:eastAsia="Arial" w:hAnsi="Arial"/>
          <w:sz w:val="18"/>
          <w:szCs w:val="18"/>
          <w:color w:val="auto"/>
        </w:rPr>
        <w:t>Set forth below are some highlights regarding our 2023 performance relative to our goals and objectives for the year:</w:t>
      </w:r>
    </w:p>
    <w:p>
      <w:pPr>
        <w:spacing w:after="0" w:line="45" w:lineRule="exact"/>
        <w:rPr>
          <w:sz w:val="20"/>
          <w:szCs w:val="20"/>
          <w:color w:val="auto"/>
        </w:rPr>
      </w:pPr>
    </w:p>
    <w:p>
      <w:pPr>
        <w:ind w:left="1800" w:right="979" w:hanging="180"/>
        <w:spacing w:after="0" w:line="28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respect to Adjusted EBITDA attributable to PAA, we exceeded our goal by 8% driven primarily by volume growth, higher commodity prices and operating performance.</w:t>
      </w:r>
    </w:p>
    <w:p>
      <w:pPr>
        <w:spacing w:after="0" w:line="58" w:lineRule="exact"/>
        <w:rPr>
          <w:rFonts w:ascii="Arial" w:cs="Arial" w:eastAsia="Arial" w:hAnsi="Arial"/>
          <w:sz w:val="18"/>
          <w:szCs w:val="18"/>
          <w:color w:val="auto"/>
        </w:rPr>
      </w:pPr>
    </w:p>
    <w:p>
      <w:pPr>
        <w:ind w:left="1800" w:right="539" w:hanging="180"/>
        <w:spacing w:after="0" w:line="28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to the results set forth in the table above, we also reported Adjusted Free Cash Flow after Distributions of approximately $809 million (vs. our goal for the year of $579 million).</w:t>
      </w:r>
    </w:p>
    <w:p>
      <w:pPr>
        <w:spacing w:after="0" w:line="44" w:lineRule="exact"/>
        <w:rPr>
          <w:rFonts w:ascii="Arial" w:cs="Arial" w:eastAsia="Arial" w:hAnsi="Arial"/>
          <w:sz w:val="18"/>
          <w:szCs w:val="18"/>
          <w:color w:val="auto"/>
        </w:rPr>
      </w:pPr>
    </w:p>
    <w:p>
      <w:pPr>
        <w:ind w:left="1800" w:right="579" w:hanging="180"/>
        <w:spacing w:after="0" w:line="268"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reduced our debt by approximately $700 million and returned approximately $750 million to common equity holders via distributions. We exited the year with a leverage ratio of 3.1x and approximately $2.6 billion of committed liquidity.</w:t>
      </w:r>
    </w:p>
    <w:p>
      <w:pPr>
        <w:spacing w:after="0" w:line="62" w:lineRule="exact"/>
        <w:rPr>
          <w:rFonts w:ascii="Arial" w:cs="Arial" w:eastAsia="Arial" w:hAnsi="Arial"/>
          <w:sz w:val="18"/>
          <w:szCs w:val="18"/>
          <w:color w:val="auto"/>
        </w:rPr>
      </w:pPr>
    </w:p>
    <w:p>
      <w:pPr>
        <w:ind w:left="1800" w:right="479" w:hanging="180"/>
        <w:spacing w:after="0" w:line="257" w:lineRule="auto"/>
        <w:tabs>
          <w:tab w:leader="none" w:pos="1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Despite a strong multi-year improvement trend, we did not achieve our annual goals regarding safety and environmental metrics. We experienced 19 federally reportable releases (“FRR”) versus a target of 10 and we had a total recordable injury rate (“TRIR”) of 0.31 versus a target of 0.25. However, excluding non-preventable injuries, the TRIR for 2023 would have been 0.23, or slightly below the target of 0.25. In addition, injury severity and lost workdays were reduced relative to 2022 levels.</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In developing his annual bonus compensation recommendations, our CEO primarily considered the quantitative factors and context described above. Other factors noted by our CEO as being relevant to his assessment of our 2023 performance included the following:</w:t>
      </w:r>
    </w:p>
    <w:p>
      <w:pPr>
        <w:spacing w:after="0" w:line="54"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enhanced our existing assets through the completion of three bolt-on acquisitions;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added additional dedicated acres to the POP JV and extended contracts;</w:t>
      </w:r>
    </w:p>
    <w:p>
      <w:pPr>
        <w:spacing w:after="0" w:line="117" w:lineRule="exact"/>
        <w:rPr>
          <w:rFonts w:ascii="Arial" w:cs="Arial" w:eastAsia="Arial" w:hAnsi="Arial"/>
          <w:sz w:val="18"/>
          <w:szCs w:val="18"/>
          <w:color w:val="auto"/>
        </w:rPr>
      </w:pPr>
    </w:p>
    <w:p>
      <w:pPr>
        <w:ind w:left="1800" w:right="879" w:hanging="180"/>
        <w:spacing w:after="0" w:line="28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continued to advance several debottlenecking projects at our NGL facilities designed to improve efficiencies;</w:t>
      </w:r>
    </w:p>
    <w:p>
      <w:pPr>
        <w:spacing w:after="0" w:line="44" w:lineRule="exact"/>
        <w:rPr>
          <w:rFonts w:ascii="Arial" w:cs="Arial" w:eastAsia="Arial" w:hAnsi="Arial"/>
          <w:sz w:val="18"/>
          <w:szCs w:val="18"/>
          <w:color w:val="auto"/>
        </w:rPr>
      </w:pPr>
    </w:p>
    <w:p>
      <w:pPr>
        <w:ind w:left="1800" w:right="779" w:hanging="180"/>
        <w:spacing w:after="0" w:line="28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completed the sale of our minority interest in the Keyera Ft. Sask JV and a portion of our owned rail car fleet;</w:t>
      </w:r>
    </w:p>
    <w:p>
      <w:pPr>
        <w:spacing w:after="0" w:line="44"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captured efficiency improvements at our Empress straddle plants;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delivered our capital program on time and within budget; and</w:t>
      </w:r>
    </w:p>
    <w:p>
      <w:pPr>
        <w:spacing w:after="0" w:line="117" w:lineRule="exact"/>
        <w:rPr>
          <w:rFonts w:ascii="Arial" w:cs="Arial" w:eastAsia="Arial" w:hAnsi="Arial"/>
          <w:sz w:val="18"/>
          <w:szCs w:val="18"/>
          <w:color w:val="auto"/>
        </w:rPr>
      </w:pPr>
    </w:p>
    <w:p>
      <w:pPr>
        <w:ind w:left="1800" w:right="519" w:hanging="180"/>
        <w:spacing w:after="0" w:line="262"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advanced several emerging energy projects and continued to make meaningful progress on our efforts to improve effectiveness and efficiency in a variety of areas, including employee development and succession planning, internal systems and processes, safety, integrity, environmental stewardship and sustainability.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2023 Compensation Elements</w:t>
      </w:r>
    </w:p>
    <w:p>
      <w:pPr>
        <w:spacing w:after="0" w:line="1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2023, the elements of compensation were applied as described below.</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There were no adjustments to the base salaries of our Named Executive Officers in</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2023. The 2023 annual base salaries for our NEOs were as follows:</w:t>
      </w:r>
    </w:p>
    <w:p>
      <w:pPr>
        <w:spacing w:after="0" w:line="185" w:lineRule="exact"/>
        <w:rPr>
          <w:sz w:val="20"/>
          <w:szCs w:val="20"/>
          <w:color w:val="auto"/>
        </w:rPr>
      </w:pPr>
    </w:p>
    <w:tbl>
      <w:tblPr>
        <w:tblLayout w:type="fixed"/>
        <w:tblInd w:w="1630" w:type="dxa"/>
        <w:tblCellMar>
          <w:top w:w="0" w:type="dxa"/>
          <w:left w:w="0" w:type="dxa"/>
          <w:bottom w:w="0" w:type="dxa"/>
          <w:right w:w="0" w:type="dxa"/>
        </w:tblCellMar>
      </w:tblPr>
      <w:tr>
        <w:trPr>
          <w:trHeight w:val="270"/>
        </w:trPr>
        <w:tc>
          <w:tcPr>
            <w:tcW w:w="52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40" w:type="dxa"/>
            <w:vAlign w:val="bottom"/>
            <w:shd w:val="clear" w:color="auto" w:fill="424E6A"/>
          </w:tcPr>
          <w:p>
            <w:pPr>
              <w:ind w:left="460"/>
              <w:spacing w:after="0"/>
              <w:rPr>
                <w:sz w:val="20"/>
                <w:szCs w:val="20"/>
                <w:color w:val="auto"/>
              </w:rPr>
            </w:pPr>
            <w:r>
              <w:rPr>
                <w:rFonts w:ascii="Arial" w:cs="Arial" w:eastAsia="Arial" w:hAnsi="Arial"/>
                <w:sz w:val="14"/>
                <w:szCs w:val="14"/>
                <w:b w:val="1"/>
                <w:bCs w:val="1"/>
                <w:color w:val="FFFFFF"/>
              </w:rPr>
              <w:t>Named Executive Officer</w:t>
            </w:r>
          </w:p>
        </w:tc>
        <w:tc>
          <w:tcPr>
            <w:tcW w:w="1220" w:type="dxa"/>
            <w:vAlign w:val="bottom"/>
            <w:gridSpan w:val="2"/>
            <w:shd w:val="clear" w:color="auto" w:fill="424E6A"/>
          </w:tcPr>
          <w:p>
            <w:pPr>
              <w:ind w:left="500"/>
              <w:spacing w:after="0"/>
              <w:rPr>
                <w:sz w:val="20"/>
                <w:szCs w:val="20"/>
                <w:color w:val="auto"/>
              </w:rPr>
            </w:pPr>
            <w:r>
              <w:rPr>
                <w:rFonts w:ascii="Arial" w:cs="Arial" w:eastAsia="Arial" w:hAnsi="Arial"/>
                <w:sz w:val="14"/>
                <w:szCs w:val="14"/>
                <w:b w:val="1"/>
                <w:bCs w:val="1"/>
                <w:color w:val="FFFFFF"/>
              </w:rPr>
              <w:t>​ ​</w:t>
            </w:r>
          </w:p>
        </w:tc>
        <w:tc>
          <w:tcPr>
            <w:tcW w:w="24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Annual Base Salary</w:t>
            </w:r>
          </w:p>
        </w:tc>
        <w:tc>
          <w:tcPr>
            <w:tcW w:w="64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6"/>
        </w:trPr>
        <w:tc>
          <w:tcPr>
            <w:tcW w:w="316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$800,000</w:t>
            </w:r>
          </w:p>
        </w:tc>
        <w:tc>
          <w:tcPr>
            <w:tcW w:w="6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6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$550,000</w:t>
            </w:r>
          </w:p>
        </w:tc>
        <w:tc>
          <w:tcPr>
            <w:tcW w:w="6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$600,000</w:t>
            </w:r>
          </w:p>
        </w:tc>
        <w:tc>
          <w:tcPr>
            <w:tcW w:w="6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759" w:firstLine="360"/>
        <w:spacing w:after="0" w:line="268" w:lineRule="auto"/>
        <w:rPr>
          <w:sz w:val="20"/>
          <w:szCs w:val="20"/>
          <w:color w:val="auto"/>
        </w:rPr>
      </w:pPr>
      <w:r>
        <w:rPr>
          <w:rFonts w:ascii="Arial" w:cs="Arial" w:eastAsia="Arial" w:hAnsi="Arial"/>
          <w:sz w:val="18"/>
          <w:szCs w:val="18"/>
          <w:i w:val="1"/>
          <w:iCs w:val="1"/>
          <w:color w:val="auto"/>
        </w:rPr>
        <w:t xml:space="preserve">Annual Cash Incentive Awards. </w:t>
      </w:r>
      <w:r>
        <w:rPr>
          <w:rFonts w:ascii="Arial" w:cs="Arial" w:eastAsia="Arial" w:hAnsi="Arial"/>
          <w:sz w:val="18"/>
          <w:szCs w:val="18"/>
          <w:color w:val="auto"/>
        </w:rPr>
        <w:t>There were no adjustments to the annual bonus targets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in 2023. The 2023 annual bonus targets for our NEOs, expressed as a percentage of base salary, were as follows:</w:t>
      </w:r>
    </w:p>
    <w:p>
      <w:pPr>
        <w:spacing w:after="0" w:line="162" w:lineRule="exact"/>
        <w:rPr>
          <w:sz w:val="20"/>
          <w:szCs w:val="20"/>
          <w:color w:val="auto"/>
        </w:rPr>
      </w:pPr>
    </w:p>
    <w:tbl>
      <w:tblPr>
        <w:tblLayout w:type="fixed"/>
        <w:tblInd w:w="1630" w:type="dxa"/>
        <w:tblCellMar>
          <w:top w:w="0" w:type="dxa"/>
          <w:left w:w="0" w:type="dxa"/>
          <w:bottom w:w="0" w:type="dxa"/>
          <w:right w:w="0" w:type="dxa"/>
        </w:tblCellMar>
      </w:tblPr>
      <w:tr>
        <w:trPr>
          <w:trHeight w:val="207"/>
        </w:trPr>
        <w:tc>
          <w:tcPr>
            <w:tcW w:w="520" w:type="dxa"/>
            <w:vAlign w:val="bottom"/>
            <w:tcBorders>
              <w:left w:val="single" w:sz="8" w:color="424E6A"/>
            </w:tcBorders>
            <w:shd w:val="clear" w:color="auto" w:fill="424E6A"/>
          </w:tcPr>
          <w:p>
            <w:pPr>
              <w:spacing w:after="0"/>
              <w:rPr>
                <w:sz w:val="17"/>
                <w:szCs w:val="17"/>
                <w:color w:val="auto"/>
              </w:rPr>
            </w:pPr>
          </w:p>
        </w:tc>
        <w:tc>
          <w:tcPr>
            <w:tcW w:w="2640" w:type="dxa"/>
            <w:vAlign w:val="bottom"/>
            <w:shd w:val="clear" w:color="auto" w:fill="424E6A"/>
          </w:tcPr>
          <w:p>
            <w:pPr>
              <w:spacing w:after="0"/>
              <w:rPr>
                <w:sz w:val="17"/>
                <w:szCs w:val="17"/>
                <w:color w:val="auto"/>
              </w:rPr>
            </w:pPr>
          </w:p>
        </w:tc>
        <w:tc>
          <w:tcPr>
            <w:tcW w:w="560" w:type="dxa"/>
            <w:vAlign w:val="bottom"/>
            <w:tcBorders>
              <w:right w:val="single" w:sz="8" w:color="424E6A"/>
            </w:tcBorders>
            <w:shd w:val="clear" w:color="auto" w:fill="424E6A"/>
          </w:tcPr>
          <w:p>
            <w:pPr>
              <w:spacing w:after="0"/>
              <w:rPr>
                <w:sz w:val="17"/>
                <w:szCs w:val="17"/>
                <w:color w:val="auto"/>
              </w:rPr>
            </w:pPr>
          </w:p>
        </w:tc>
        <w:tc>
          <w:tcPr>
            <w:tcW w:w="440" w:type="dxa"/>
            <w:vAlign w:val="bottom"/>
            <w:shd w:val="clear" w:color="auto" w:fill="424E6A"/>
          </w:tcPr>
          <w:p>
            <w:pPr>
              <w:spacing w:after="0"/>
              <w:rPr>
                <w:sz w:val="17"/>
                <w:szCs w:val="17"/>
                <w:color w:val="auto"/>
              </w:rPr>
            </w:pPr>
          </w:p>
        </w:tc>
        <w:tc>
          <w:tcPr>
            <w:tcW w:w="2900" w:type="dxa"/>
            <w:vAlign w:val="bottom"/>
            <w:shd w:val="clear" w:color="auto" w:fill="424E6A"/>
          </w:tcPr>
          <w:p>
            <w:pPr>
              <w:ind w:left="720"/>
              <w:spacing w:after="0"/>
              <w:rPr>
                <w:sz w:val="20"/>
                <w:szCs w:val="20"/>
                <w:color w:val="auto"/>
              </w:rPr>
            </w:pPr>
            <w:r>
              <w:rPr>
                <w:rFonts w:ascii="Arial" w:cs="Arial" w:eastAsia="Arial" w:hAnsi="Arial"/>
                <w:sz w:val="14"/>
                <w:szCs w:val="14"/>
                <w:b w:val="1"/>
                <w:bCs w:val="1"/>
                <w:color w:val="FFFFFF"/>
              </w:rPr>
              <w:t>Annual Bonus Target</w:t>
            </w:r>
          </w:p>
        </w:tc>
        <w:tc>
          <w:tcPr>
            <w:tcW w:w="420" w:type="dxa"/>
            <w:vAlign w:val="bottom"/>
            <w:tcBorders>
              <w:right w:val="single" w:sz="8" w:color="424E6A"/>
            </w:tcBorders>
            <w:shd w:val="clear" w:color="auto" w:fill="424E6A"/>
          </w:tcPr>
          <w:p>
            <w:pPr>
              <w:spacing w:after="0"/>
              <w:rPr>
                <w:sz w:val="17"/>
                <w:szCs w:val="17"/>
                <w:color w:val="auto"/>
              </w:rPr>
            </w:pPr>
          </w:p>
        </w:tc>
      </w:tr>
      <w:tr>
        <w:trPr>
          <w:trHeight w:val="212"/>
        </w:trPr>
        <w:tc>
          <w:tcPr>
            <w:tcW w:w="52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40" w:type="dxa"/>
            <w:vAlign w:val="bottom"/>
            <w:shd w:val="clear" w:color="auto" w:fill="424E6A"/>
          </w:tcPr>
          <w:p>
            <w:pPr>
              <w:ind w:left="460"/>
              <w:spacing w:after="0"/>
              <w:rPr>
                <w:sz w:val="20"/>
                <w:szCs w:val="20"/>
                <w:color w:val="auto"/>
              </w:rPr>
            </w:pPr>
            <w:r>
              <w:rPr>
                <w:rFonts w:ascii="Arial" w:cs="Arial" w:eastAsia="Arial" w:hAnsi="Arial"/>
                <w:sz w:val="14"/>
                <w:szCs w:val="14"/>
                <w:b w:val="1"/>
                <w:bCs w:val="1"/>
                <w:color w:val="FFFFFF"/>
              </w:rPr>
              <w:t>Named Executive Officer</w:t>
            </w:r>
          </w:p>
        </w:tc>
        <w:tc>
          <w:tcPr>
            <w:tcW w:w="1000" w:type="dxa"/>
            <w:vAlign w:val="bottom"/>
            <w:gridSpan w:val="2"/>
            <w:shd w:val="clear" w:color="auto" w:fill="424E6A"/>
          </w:tcPr>
          <w:p>
            <w:pPr>
              <w:ind w:left="500"/>
              <w:spacing w:after="0"/>
              <w:rPr>
                <w:sz w:val="20"/>
                <w:szCs w:val="20"/>
                <w:color w:val="auto"/>
              </w:rPr>
            </w:pPr>
            <w:r>
              <w:rPr>
                <w:rFonts w:ascii="Arial" w:cs="Arial" w:eastAsia="Arial" w:hAnsi="Arial"/>
                <w:sz w:val="14"/>
                <w:szCs w:val="14"/>
                <w:b w:val="1"/>
                <w:bCs w:val="1"/>
                <w:color w:val="FFFFFF"/>
              </w:rPr>
              <w:t>​ ​</w:t>
            </w:r>
          </w:p>
        </w:tc>
        <w:tc>
          <w:tcPr>
            <w:tcW w:w="2900" w:type="dxa"/>
            <w:vAlign w:val="bottom"/>
            <w:shd w:val="clear" w:color="auto" w:fill="424E6A"/>
          </w:tcPr>
          <w:p>
            <w:pPr>
              <w:ind w:left="340"/>
              <w:spacing w:after="0"/>
              <w:rPr>
                <w:sz w:val="20"/>
                <w:szCs w:val="20"/>
                <w:color w:val="auto"/>
              </w:rPr>
            </w:pPr>
            <w:r>
              <w:rPr>
                <w:rFonts w:ascii="Arial" w:cs="Arial" w:eastAsia="Arial" w:hAnsi="Arial"/>
                <w:sz w:val="14"/>
                <w:szCs w:val="14"/>
                <w:b w:val="1"/>
                <w:bCs w:val="1"/>
                <w:color w:val="FFFFFF"/>
              </w:rPr>
              <w:t>(as a Percentage of Base Salary)</w:t>
            </w:r>
          </w:p>
        </w:tc>
        <w:tc>
          <w:tcPr>
            <w:tcW w:w="42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57"/>
        </w:trPr>
        <w:tc>
          <w:tcPr>
            <w:tcW w:w="3160" w:type="dxa"/>
            <w:vAlign w:val="bottom"/>
            <w:tcBorders>
              <w:left w:val="single" w:sz="8" w:color="424E6A"/>
              <w:bottom w:val="single" w:sz="8" w:color="424E6A"/>
            </w:tcBorders>
            <w:gridSpan w:val="2"/>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shd w:val="clear" w:color="auto" w:fill="D9DCE1"/>
          </w:tcPr>
          <w:p>
            <w:pPr>
              <w:ind w:left="1280"/>
              <w:spacing w:after="0"/>
              <w:rPr>
                <w:sz w:val="20"/>
                <w:szCs w:val="20"/>
                <w:color w:val="auto"/>
              </w:rPr>
            </w:pPr>
            <w:r>
              <w:rPr>
                <w:rFonts w:ascii="Arial" w:cs="Arial" w:eastAsia="Arial" w:hAnsi="Arial"/>
                <w:sz w:val="18"/>
                <w:szCs w:val="18"/>
                <w:color w:val="auto"/>
              </w:rPr>
              <w:t>​250%</w:t>
            </w:r>
          </w:p>
        </w:tc>
        <w:tc>
          <w:tcPr>
            <w:tcW w:w="4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tcPr>
          <w:p>
            <w:pPr>
              <w:ind w:left="1280"/>
              <w:spacing w:after="0"/>
              <w:rPr>
                <w:sz w:val="20"/>
                <w:szCs w:val="20"/>
                <w:color w:val="auto"/>
              </w:rPr>
            </w:pPr>
            <w:r>
              <w:rPr>
                <w:rFonts w:ascii="Arial" w:cs="Arial" w:eastAsia="Arial" w:hAnsi="Arial"/>
                <w:sz w:val="18"/>
                <w:szCs w:val="18"/>
                <w:color w:val="auto"/>
              </w:rPr>
              <w:t>​200%</w:t>
            </w:r>
          </w:p>
        </w:tc>
        <w:tc>
          <w:tcPr>
            <w:tcW w:w="4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shd w:val="clear" w:color="auto" w:fill="D9DCE1"/>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560" w:type="dxa"/>
            <w:vAlign w:val="bottom"/>
            <w:tcBorders>
              <w:bottom w:val="single" w:sz="8" w:color="424E6A"/>
              <w:right w:val="single" w:sz="8" w:color="424E6A"/>
            </w:tcBorders>
            <w:shd w:val="clear" w:color="auto" w:fill="D9DCE1"/>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shd w:val="clear" w:color="auto" w:fill="D9DCE1"/>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left w:val="single" w:sz="8" w:color="424E6A"/>
              <w:bottom w:val="single" w:sz="8" w:color="424E6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560" w:type="dxa"/>
            <w:vAlign w:val="bottom"/>
            <w:tcBorders>
              <w:bottom w:val="single" w:sz="8" w:color="424E6A"/>
              <w:right w:val="single" w:sz="8" w:color="424E6A"/>
            </w:tcBorders>
          </w:tcPr>
          <w:p>
            <w:pPr>
              <w:ind w:left="5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424E6A"/>
            </w:tcBorders>
          </w:tcPr>
          <w:p>
            <w:pPr>
              <w:ind w:left="1280"/>
              <w:spacing w:after="0"/>
              <w:rPr>
                <w:sz w:val="20"/>
                <w:szCs w:val="20"/>
                <w:color w:val="auto"/>
              </w:rPr>
            </w:pPr>
            <w:r>
              <w:rPr>
                <w:rFonts w:ascii="Arial" w:cs="Arial" w:eastAsia="Arial" w:hAnsi="Arial"/>
                <w:sz w:val="18"/>
                <w:szCs w:val="18"/>
                <w:color w:val="auto"/>
              </w:rPr>
              <w:t>​150%</w:t>
            </w:r>
          </w:p>
        </w:tc>
        <w:tc>
          <w:tcPr>
            <w:tcW w:w="4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goals (and weightings) for 2023 cash incentive awards established at the beginning of the year were company performance (60% overall weighting allocated among Adjusted EBITDA attributable to PAA (40%), DCF per common unit and CUE (40%) and safety/environmental (20%)) and individual performance (40% weighting). The minimum and maximum payout levels of 0% and 200%, respectively, for Adjusted EBITDA attributable to PAA and DCF per common unit and CUE were set at 92.5% and 110%, respectively, of the applicable target with linear interpolation between those points. The minimum and maximum payout levels of 0% and 200%, respectively, for safety (TRIR) and environmental (FRR)</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679"/>
        <w:spacing w:after="0" w:line="273" w:lineRule="auto"/>
        <w:rPr>
          <w:sz w:val="20"/>
          <w:szCs w:val="20"/>
          <w:color w:val="auto"/>
        </w:rPr>
      </w:pPr>
      <w:r>
        <w:rPr>
          <w:rFonts w:ascii="Arial" w:cs="Arial" w:eastAsia="Arial" w:hAnsi="Arial"/>
          <w:sz w:val="18"/>
          <w:szCs w:val="18"/>
          <w:color w:val="auto"/>
        </w:rPr>
        <w:t>metrics were set at a range of between 0.28 (min) to 0.22 (max) for TRIR and a range of between 13 (min) and 7 (max) for FRR, in both cases with linear interpolation between those points. Individual performance metric payouts were determined by the Compensation Committee based on its assessment of individual contributions towards our 2023 goals and objectives.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Company Performance (60% weight)</w:t>
      </w:r>
    </w:p>
    <w:p>
      <w:pPr>
        <w:spacing w:after="0" w:line="156" w:lineRule="exact"/>
        <w:rPr>
          <w:sz w:val="20"/>
          <w:szCs w:val="20"/>
          <w:color w:val="auto"/>
        </w:rPr>
      </w:pPr>
    </w:p>
    <w:p>
      <w:pPr>
        <w:ind w:left="1260" w:right="639" w:firstLine="360"/>
        <w:spacing w:after="0" w:line="276" w:lineRule="auto"/>
        <w:rPr>
          <w:sz w:val="20"/>
          <w:szCs w:val="20"/>
          <w:color w:val="auto"/>
        </w:rPr>
      </w:pPr>
      <w:r>
        <w:rPr>
          <w:rFonts w:ascii="Arial" w:cs="Arial" w:eastAsia="Arial" w:hAnsi="Arial"/>
          <w:sz w:val="18"/>
          <w:szCs w:val="18"/>
          <w:color w:val="auto"/>
        </w:rPr>
        <w:t>The tables below reflect the weighting, payout range and actual results for each company performance metric. Individual performance scores and payout calculations are set forth below under “— Individual Performance.”</w:t>
      </w:r>
    </w:p>
    <w:p>
      <w:pPr>
        <w:spacing w:after="0" w:line="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Company Performance Payout Thresholds &amp; Ranges: (interpolate between points)</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335"/>
        </w:trPr>
        <w:tc>
          <w:tcPr>
            <w:tcW w:w="20" w:type="dxa"/>
            <w:vAlign w:val="bottom"/>
            <w:shd w:val="clear" w:color="auto" w:fill="424E6A"/>
          </w:tcPr>
          <w:p>
            <w:pPr>
              <w:spacing w:after="0"/>
              <w:rPr>
                <w:sz w:val="24"/>
                <w:szCs w:val="24"/>
                <w:color w:val="auto"/>
              </w:rPr>
            </w:pPr>
          </w:p>
        </w:tc>
        <w:tc>
          <w:tcPr>
            <w:tcW w:w="2600" w:type="dxa"/>
            <w:vAlign w:val="bottom"/>
            <w:gridSpan w:val="2"/>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(60% weighting)</w:t>
            </w:r>
          </w:p>
        </w:tc>
        <w:tc>
          <w:tcPr>
            <w:tcW w:w="240" w:type="dxa"/>
            <w:vAlign w:val="bottom"/>
            <w:shd w:val="clear" w:color="auto" w:fill="424E6A"/>
          </w:tcPr>
          <w:p>
            <w:pPr>
              <w:spacing w:after="0"/>
              <w:rPr>
                <w:sz w:val="24"/>
                <w:szCs w:val="24"/>
                <w:color w:val="auto"/>
              </w:rPr>
            </w:pPr>
          </w:p>
        </w:tc>
        <w:tc>
          <w:tcPr>
            <w:tcW w:w="860" w:type="dxa"/>
            <w:vAlign w:val="bottom"/>
            <w:shd w:val="clear" w:color="auto" w:fill="424E6A"/>
          </w:tcPr>
          <w:p>
            <w:pPr>
              <w:spacing w:after="0"/>
              <w:rPr>
                <w:sz w:val="24"/>
                <w:szCs w:val="24"/>
                <w:color w:val="auto"/>
              </w:rPr>
            </w:pPr>
          </w:p>
        </w:tc>
        <w:tc>
          <w:tcPr>
            <w:tcW w:w="1180" w:type="dxa"/>
            <w:vAlign w:val="bottom"/>
            <w:gridSpan w:val="4"/>
            <w:shd w:val="clear" w:color="auto" w:fill="424E6A"/>
          </w:tcPr>
          <w:p>
            <w:pPr>
              <w:jc w:val="right"/>
              <w:ind w:right="24"/>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Threshold </w:t>
            </w:r>
            <w:r>
              <w:rPr>
                <w:rFonts w:ascii="Arial" w:cs="Arial" w:eastAsia="Arial" w:hAnsi="Arial"/>
                <w:sz w:val="28"/>
                <w:szCs w:val="28"/>
                <w:b w:val="1"/>
                <w:bCs w:val="1"/>
                <w:color w:val="FFFFFF"/>
                <w:vertAlign w:val="subscript"/>
              </w:rPr>
              <w:t>​ ​</w:t>
            </w:r>
          </w:p>
        </w:tc>
        <w:tc>
          <w:tcPr>
            <w:tcW w:w="560" w:type="dxa"/>
            <w:vAlign w:val="bottom"/>
            <w:gridSpan w:val="3"/>
            <w:shd w:val="clear" w:color="auto" w:fill="424E6A"/>
          </w:tcPr>
          <w:p>
            <w:pPr>
              <w:ind w:left="40"/>
              <w:spacing w:after="0"/>
              <w:rPr>
                <w:sz w:val="20"/>
                <w:szCs w:val="20"/>
                <w:color w:val="auto"/>
              </w:rPr>
            </w:pPr>
            <w:r>
              <w:rPr>
                <w:rFonts w:ascii="Arial" w:cs="Arial" w:eastAsia="Arial" w:hAnsi="Arial"/>
                <w:sz w:val="14"/>
                <w:szCs w:val="14"/>
                <w:b w:val="1"/>
                <w:bCs w:val="1"/>
                <w:color w:val="FFFFFF"/>
              </w:rPr>
              <w:t>Target</w:t>
            </w:r>
          </w:p>
        </w:tc>
        <w:tc>
          <w:tcPr>
            <w:tcW w:w="34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520" w:type="dxa"/>
            <w:vAlign w:val="bottom"/>
            <w:gridSpan w:val="2"/>
            <w:shd w:val="clear" w:color="auto" w:fill="424E6A"/>
          </w:tcPr>
          <w:p>
            <w:pPr>
              <w:jc w:val="right"/>
              <w:ind w:right="90"/>
              <w:spacing w:after="0"/>
              <w:rPr>
                <w:sz w:val="20"/>
                <w:szCs w:val="20"/>
                <w:color w:val="auto"/>
              </w:rPr>
            </w:pPr>
            <w:r>
              <w:rPr>
                <w:rFonts w:ascii="Arial" w:cs="Arial" w:eastAsia="Arial" w:hAnsi="Arial"/>
                <w:sz w:val="14"/>
                <w:szCs w:val="14"/>
                <w:b w:val="1"/>
                <w:bCs w:val="1"/>
                <w:color w:val="FFFFFF"/>
              </w:rPr>
              <w:t>Max</w:t>
            </w:r>
          </w:p>
        </w:tc>
        <w:tc>
          <w:tcPr>
            <w:tcW w:w="120" w:type="dxa"/>
            <w:vAlign w:val="bottom"/>
            <w:tcBorders>
              <w:right w:val="single" w:sz="8" w:color="auto"/>
            </w:tcBorders>
            <w:shd w:val="clear" w:color="auto" w:fill="424E6A"/>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424E6A"/>
          </w:tcPr>
          <w:p>
            <w:pPr>
              <w:spacing w:after="0"/>
              <w:rPr>
                <w:sz w:val="19"/>
                <w:szCs w:val="19"/>
                <w:color w:val="auto"/>
              </w:rPr>
            </w:pPr>
          </w:p>
        </w:tc>
        <w:tc>
          <w:tcPr>
            <w:tcW w:w="140" w:type="dxa"/>
            <w:vAlign w:val="bottom"/>
            <w:shd w:val="clear" w:color="auto" w:fill="D9DCE1"/>
          </w:tcPr>
          <w:p>
            <w:pPr>
              <w:spacing w:after="0"/>
              <w:rPr>
                <w:sz w:val="19"/>
                <w:szCs w:val="19"/>
                <w:color w:val="auto"/>
              </w:rPr>
            </w:pPr>
          </w:p>
        </w:tc>
        <w:tc>
          <w:tcPr>
            <w:tcW w:w="3560" w:type="dxa"/>
            <w:vAlign w:val="bottom"/>
            <w:gridSpan w:val="3"/>
            <w:shd w:val="clear" w:color="auto" w:fill="D9DCE1"/>
          </w:tcPr>
          <w:p>
            <w:pPr>
              <w:ind w:left="160"/>
              <w:spacing w:after="0"/>
              <w:rPr>
                <w:sz w:val="20"/>
                <w:szCs w:val="20"/>
                <w:color w:val="auto"/>
              </w:rPr>
            </w:pPr>
            <w:r>
              <w:rPr>
                <w:rFonts w:ascii="Arial" w:cs="Arial" w:eastAsia="Arial" w:hAnsi="Arial"/>
                <w:sz w:val="18"/>
                <w:szCs w:val="18"/>
                <w:color w:val="auto"/>
              </w:rPr>
              <w:t>Adjusted EBITDA attributable to PAA/DCF</w:t>
            </w:r>
          </w:p>
        </w:tc>
        <w:tc>
          <w:tcPr>
            <w:tcW w:w="240" w:type="dxa"/>
            <w:vAlign w:val="bottom"/>
            <w:shd w:val="clear" w:color="auto" w:fill="D9DCE1"/>
          </w:tcPr>
          <w:p>
            <w:pPr>
              <w:spacing w:after="0"/>
              <w:rPr>
                <w:sz w:val="19"/>
                <w:szCs w:val="19"/>
                <w:color w:val="auto"/>
              </w:rPr>
            </w:pPr>
          </w:p>
        </w:tc>
        <w:tc>
          <w:tcPr>
            <w:tcW w:w="160" w:type="dxa"/>
            <w:vAlign w:val="bottom"/>
            <w:shd w:val="clear" w:color="auto" w:fill="D9DCE1"/>
          </w:tcPr>
          <w:p>
            <w:pPr>
              <w:spacing w:after="0"/>
              <w:rPr>
                <w:sz w:val="19"/>
                <w:szCs w:val="19"/>
                <w:color w:val="auto"/>
              </w:rPr>
            </w:pPr>
          </w:p>
        </w:tc>
        <w:tc>
          <w:tcPr>
            <w:tcW w:w="400" w:type="dxa"/>
            <w:vAlign w:val="bottom"/>
            <w:shd w:val="clear" w:color="auto" w:fill="D9DCE1"/>
          </w:tcPr>
          <w:p>
            <w:pPr>
              <w:spacing w:after="0"/>
              <w:rPr>
                <w:sz w:val="19"/>
                <w:szCs w:val="19"/>
                <w:color w:val="auto"/>
              </w:rPr>
            </w:pPr>
          </w:p>
        </w:tc>
        <w:tc>
          <w:tcPr>
            <w:tcW w:w="380" w:type="dxa"/>
            <w:vAlign w:val="bottom"/>
            <w:shd w:val="clear" w:color="auto" w:fill="D9DCE1"/>
          </w:tcPr>
          <w:p>
            <w:pPr>
              <w:spacing w:after="0"/>
              <w:rPr>
                <w:sz w:val="19"/>
                <w:szCs w:val="19"/>
                <w:color w:val="auto"/>
              </w:rPr>
            </w:pPr>
          </w:p>
        </w:tc>
        <w:tc>
          <w:tcPr>
            <w:tcW w:w="120" w:type="dxa"/>
            <w:vAlign w:val="bottom"/>
            <w:shd w:val="clear" w:color="auto" w:fill="D9DCE1"/>
          </w:tcPr>
          <w:p>
            <w:pPr>
              <w:spacing w:after="0"/>
              <w:rPr>
                <w:sz w:val="19"/>
                <w:szCs w:val="19"/>
                <w:color w:val="auto"/>
              </w:rPr>
            </w:pPr>
          </w:p>
        </w:tc>
        <w:tc>
          <w:tcPr>
            <w:tcW w:w="80" w:type="dxa"/>
            <w:vAlign w:val="bottom"/>
            <w:shd w:val="clear" w:color="auto" w:fill="D9DCE1"/>
          </w:tcPr>
          <w:p>
            <w:pPr>
              <w:spacing w:after="0"/>
              <w:rPr>
                <w:sz w:val="19"/>
                <w:szCs w:val="19"/>
                <w:color w:val="auto"/>
              </w:rPr>
            </w:pPr>
          </w:p>
        </w:tc>
        <w:tc>
          <w:tcPr>
            <w:tcW w:w="360" w:type="dxa"/>
            <w:vAlign w:val="bottom"/>
            <w:shd w:val="clear" w:color="auto" w:fill="D9DCE1"/>
          </w:tcPr>
          <w:p>
            <w:pPr>
              <w:spacing w:after="0"/>
              <w:rPr>
                <w:sz w:val="19"/>
                <w:szCs w:val="19"/>
                <w:color w:val="auto"/>
              </w:rPr>
            </w:pPr>
          </w:p>
        </w:tc>
        <w:tc>
          <w:tcPr>
            <w:tcW w:w="160" w:type="dxa"/>
            <w:vAlign w:val="bottom"/>
            <w:shd w:val="clear" w:color="auto" w:fill="D9DCE1"/>
          </w:tcPr>
          <w:p>
            <w:pPr>
              <w:spacing w:after="0"/>
              <w:rPr>
                <w:sz w:val="19"/>
                <w:szCs w:val="19"/>
                <w:color w:val="auto"/>
              </w:rPr>
            </w:pPr>
          </w:p>
        </w:tc>
        <w:tc>
          <w:tcPr>
            <w:tcW w:w="180" w:type="dxa"/>
            <w:vAlign w:val="bottom"/>
            <w:shd w:val="clear" w:color="auto" w:fill="D9DCE1"/>
          </w:tcPr>
          <w:p>
            <w:pPr>
              <w:spacing w:after="0"/>
              <w:rPr>
                <w:sz w:val="19"/>
                <w:szCs w:val="19"/>
                <w:color w:val="auto"/>
              </w:rPr>
            </w:pPr>
          </w:p>
        </w:tc>
        <w:tc>
          <w:tcPr>
            <w:tcW w:w="80" w:type="dxa"/>
            <w:vAlign w:val="bottom"/>
            <w:shd w:val="clear" w:color="auto" w:fill="D9DCE1"/>
          </w:tcPr>
          <w:p>
            <w:pPr>
              <w:spacing w:after="0"/>
              <w:rPr>
                <w:sz w:val="19"/>
                <w:szCs w:val="19"/>
                <w:color w:val="auto"/>
              </w:rPr>
            </w:pPr>
          </w:p>
        </w:tc>
        <w:tc>
          <w:tcPr>
            <w:tcW w:w="440" w:type="dxa"/>
            <w:vAlign w:val="bottom"/>
            <w:shd w:val="clear" w:color="auto" w:fill="D9DCE1"/>
          </w:tcPr>
          <w:p>
            <w:pPr>
              <w:spacing w:after="0"/>
              <w:rPr>
                <w:sz w:val="19"/>
                <w:szCs w:val="19"/>
                <w:color w:val="auto"/>
              </w:rPr>
            </w:pPr>
          </w:p>
        </w:tc>
        <w:tc>
          <w:tcPr>
            <w:tcW w:w="120" w:type="dxa"/>
            <w:vAlign w:val="bottom"/>
            <w:tcBorders>
              <w:right w:val="single" w:sz="8" w:color="auto"/>
            </w:tcBorders>
            <w:shd w:val="clear" w:color="auto" w:fill="D9DCE1"/>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424E6A"/>
          </w:tcPr>
          <w:p>
            <w:pPr>
              <w:spacing w:after="0"/>
              <w:rPr>
                <w:sz w:val="15"/>
                <w:szCs w:val="15"/>
                <w:color w:val="auto"/>
              </w:rPr>
            </w:pPr>
          </w:p>
        </w:tc>
        <w:tc>
          <w:tcPr>
            <w:tcW w:w="140" w:type="dxa"/>
            <w:vAlign w:val="bottom"/>
            <w:vMerge w:val="restart"/>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460" w:type="dxa"/>
            <w:vAlign w:val="bottom"/>
            <w:shd w:val="clear" w:color="auto" w:fill="D9DCE1"/>
          </w:tcPr>
          <w:p>
            <w:pPr>
              <w:spacing w:after="0"/>
              <w:rPr>
                <w:sz w:val="15"/>
                <w:szCs w:val="15"/>
                <w:color w:val="auto"/>
              </w:rPr>
            </w:pPr>
          </w:p>
        </w:tc>
        <w:tc>
          <w:tcPr>
            <w:tcW w:w="240" w:type="dxa"/>
            <w:vAlign w:val="bottom"/>
            <w:shd w:val="clear" w:color="auto" w:fill="D9DCE1"/>
          </w:tcPr>
          <w:p>
            <w:pPr>
              <w:spacing w:after="0"/>
              <w:rPr>
                <w:sz w:val="15"/>
                <w:szCs w:val="15"/>
                <w:color w:val="auto"/>
              </w:rPr>
            </w:pPr>
          </w:p>
        </w:tc>
        <w:tc>
          <w:tcPr>
            <w:tcW w:w="860" w:type="dxa"/>
            <w:vAlign w:val="bottom"/>
            <w:shd w:val="clear" w:color="auto" w:fill="D9DCE1"/>
          </w:tcPr>
          <w:p>
            <w:pPr>
              <w:jc w:val="right"/>
              <w:spacing w:after="0" w:line="181" w:lineRule="exact"/>
              <w:rPr>
                <w:sz w:val="20"/>
                <w:szCs w:val="20"/>
                <w:color w:val="auto"/>
              </w:rPr>
            </w:pPr>
            <w:r>
              <w:rPr>
                <w:rFonts w:ascii="Arial" w:cs="Arial" w:eastAsia="Arial" w:hAnsi="Arial"/>
                <w:sz w:val="18"/>
                <w:szCs w:val="18"/>
                <w:color w:val="auto"/>
                <w:w w:val="98"/>
              </w:rPr>
              <w:t>(% Target)</w:t>
            </w:r>
          </w:p>
        </w:tc>
        <w:tc>
          <w:tcPr>
            <w:tcW w:w="240" w:type="dxa"/>
            <w:vAlign w:val="bottom"/>
            <w:shd w:val="clear" w:color="auto" w:fill="D9DCE1"/>
          </w:tcPr>
          <w:p>
            <w:pPr>
              <w:spacing w:after="0"/>
              <w:rPr>
                <w:sz w:val="15"/>
                <w:szCs w:val="15"/>
                <w:color w:val="auto"/>
              </w:rPr>
            </w:pPr>
          </w:p>
        </w:tc>
        <w:tc>
          <w:tcPr>
            <w:tcW w:w="940" w:type="dxa"/>
            <w:vAlign w:val="bottom"/>
            <w:gridSpan w:val="3"/>
            <w:shd w:val="clear" w:color="auto" w:fill="D9DCE1"/>
          </w:tcPr>
          <w:p>
            <w:pPr>
              <w:jc w:val="right"/>
              <w:ind w:right="164"/>
              <w:spacing w:after="0" w:line="181" w:lineRule="exact"/>
              <w:rPr>
                <w:sz w:val="20"/>
                <w:szCs w:val="20"/>
                <w:color w:val="auto"/>
              </w:rPr>
            </w:pPr>
            <w:r>
              <w:rPr>
                <w:rFonts w:ascii="Arial" w:cs="Arial" w:eastAsia="Arial" w:hAnsi="Arial"/>
                <w:sz w:val="18"/>
                <w:szCs w:val="18"/>
                <w:color w:val="auto"/>
              </w:rPr>
              <w:t>92.50%</w:t>
            </w:r>
          </w:p>
        </w:tc>
        <w:tc>
          <w:tcPr>
            <w:tcW w:w="120" w:type="dxa"/>
            <w:vAlign w:val="bottom"/>
            <w:shd w:val="clear" w:color="auto" w:fill="D9DCE1"/>
          </w:tcPr>
          <w:p>
            <w:pPr>
              <w:spacing w:after="0"/>
              <w:rPr>
                <w:sz w:val="15"/>
                <w:szCs w:val="15"/>
                <w:color w:val="auto"/>
              </w:rPr>
            </w:pPr>
          </w:p>
        </w:tc>
        <w:tc>
          <w:tcPr>
            <w:tcW w:w="600" w:type="dxa"/>
            <w:vAlign w:val="bottom"/>
            <w:gridSpan w:val="3"/>
            <w:shd w:val="clear" w:color="auto" w:fill="D9DCE1"/>
          </w:tcPr>
          <w:p>
            <w:pPr>
              <w:jc w:val="right"/>
              <w:ind w:right="70"/>
              <w:spacing w:after="0" w:line="181" w:lineRule="exact"/>
              <w:rPr>
                <w:sz w:val="20"/>
                <w:szCs w:val="20"/>
                <w:color w:val="auto"/>
              </w:rPr>
            </w:pPr>
            <w:r>
              <w:rPr>
                <w:rFonts w:ascii="Arial" w:cs="Arial" w:eastAsia="Arial" w:hAnsi="Arial"/>
                <w:sz w:val="18"/>
                <w:szCs w:val="18"/>
                <w:color w:val="auto"/>
                <w:w w:val="95"/>
              </w:rPr>
              <w:t>100%</w:t>
            </w:r>
          </w:p>
        </w:tc>
        <w:tc>
          <w:tcPr>
            <w:tcW w:w="180" w:type="dxa"/>
            <w:vAlign w:val="bottom"/>
            <w:shd w:val="clear" w:color="auto" w:fill="D9DCE1"/>
          </w:tcPr>
          <w:p>
            <w:pPr>
              <w:spacing w:after="0"/>
              <w:rPr>
                <w:sz w:val="15"/>
                <w:szCs w:val="15"/>
                <w:color w:val="auto"/>
              </w:rPr>
            </w:pPr>
          </w:p>
        </w:tc>
        <w:tc>
          <w:tcPr>
            <w:tcW w:w="80" w:type="dxa"/>
            <w:vAlign w:val="bottom"/>
            <w:shd w:val="clear" w:color="auto" w:fill="D9DCE1"/>
          </w:tcPr>
          <w:p>
            <w:pPr>
              <w:spacing w:after="0"/>
              <w:rPr>
                <w:sz w:val="15"/>
                <w:szCs w:val="15"/>
                <w:color w:val="auto"/>
              </w:rPr>
            </w:pPr>
          </w:p>
        </w:tc>
        <w:tc>
          <w:tcPr>
            <w:tcW w:w="560" w:type="dxa"/>
            <w:vAlign w:val="bottom"/>
            <w:tcBorders>
              <w:right w:val="single" w:sz="8" w:color="auto"/>
            </w:tcBorders>
            <w:gridSpan w:val="2"/>
            <w:shd w:val="clear" w:color="auto" w:fill="D9DCE1"/>
          </w:tcPr>
          <w:p>
            <w:pPr>
              <w:jc w:val="right"/>
              <w:ind w:right="22"/>
              <w:spacing w:after="0" w:line="181" w:lineRule="exact"/>
              <w:rPr>
                <w:sz w:val="20"/>
                <w:szCs w:val="20"/>
                <w:color w:val="auto"/>
              </w:rPr>
            </w:pPr>
            <w:r>
              <w:rPr>
                <w:rFonts w:ascii="Arial" w:cs="Arial" w:eastAsia="Arial" w:hAnsi="Arial"/>
                <w:sz w:val="18"/>
                <w:szCs w:val="18"/>
                <w:color w:val="auto"/>
                <w:w w:val="95"/>
              </w:rPr>
              <w:t>110%</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424E6A"/>
            </w:tcBorders>
            <w:shd w:val="clear" w:color="auto" w:fill="424E6A"/>
          </w:tcPr>
          <w:p>
            <w:pPr>
              <w:spacing w:after="0"/>
              <w:rPr>
                <w:sz w:val="7"/>
                <w:szCs w:val="7"/>
                <w:color w:val="auto"/>
              </w:rPr>
            </w:pPr>
          </w:p>
        </w:tc>
        <w:tc>
          <w:tcPr>
            <w:tcW w:w="140" w:type="dxa"/>
            <w:vAlign w:val="bottom"/>
            <w:tcBorders>
              <w:bottom w:val="single" w:sz="8" w:color="424E6A"/>
            </w:tcBorders>
            <w:vMerge w:val="continue"/>
            <w:shd w:val="clear" w:color="auto" w:fill="D9DCE1"/>
          </w:tcPr>
          <w:p>
            <w:pPr>
              <w:spacing w:after="0"/>
              <w:rPr>
                <w:sz w:val="7"/>
                <w:szCs w:val="7"/>
                <w:color w:val="auto"/>
              </w:rPr>
            </w:pPr>
          </w:p>
        </w:tc>
        <w:tc>
          <w:tcPr>
            <w:tcW w:w="2460" w:type="dxa"/>
            <w:vAlign w:val="bottom"/>
            <w:tcBorders>
              <w:bottom w:val="single" w:sz="8" w:color="424E6A"/>
            </w:tcBorders>
            <w:shd w:val="clear" w:color="auto" w:fill="D9DCE1"/>
          </w:tcPr>
          <w:p>
            <w:pPr>
              <w:spacing w:after="0"/>
              <w:rPr>
                <w:sz w:val="7"/>
                <w:szCs w:val="7"/>
                <w:color w:val="auto"/>
              </w:rPr>
            </w:pPr>
          </w:p>
        </w:tc>
        <w:tc>
          <w:tcPr>
            <w:tcW w:w="240" w:type="dxa"/>
            <w:vAlign w:val="bottom"/>
            <w:tcBorders>
              <w:bottom w:val="single" w:sz="8" w:color="424E6A"/>
            </w:tcBorders>
            <w:shd w:val="clear" w:color="auto" w:fill="D9DCE1"/>
          </w:tcPr>
          <w:p>
            <w:pPr>
              <w:spacing w:after="0"/>
              <w:rPr>
                <w:sz w:val="7"/>
                <w:szCs w:val="7"/>
                <w:color w:val="auto"/>
              </w:rPr>
            </w:pPr>
          </w:p>
        </w:tc>
        <w:tc>
          <w:tcPr>
            <w:tcW w:w="860" w:type="dxa"/>
            <w:vAlign w:val="bottom"/>
            <w:tcBorders>
              <w:bottom w:val="single" w:sz="8" w:color="424E6A"/>
            </w:tcBorders>
            <w:shd w:val="clear" w:color="auto" w:fill="D9DCE1"/>
          </w:tcPr>
          <w:p>
            <w:pPr>
              <w:spacing w:after="0"/>
              <w:rPr>
                <w:sz w:val="7"/>
                <w:szCs w:val="7"/>
                <w:color w:val="auto"/>
              </w:rPr>
            </w:pPr>
          </w:p>
        </w:tc>
        <w:tc>
          <w:tcPr>
            <w:tcW w:w="400" w:type="dxa"/>
            <w:vAlign w:val="bottom"/>
            <w:tcBorders>
              <w:bottom w:val="single" w:sz="8" w:color="424E6A"/>
            </w:tcBorders>
            <w:gridSpan w:val="2"/>
            <w:shd w:val="clear" w:color="auto" w:fill="D9DCE1"/>
          </w:tcPr>
          <w:p>
            <w:pPr>
              <w:jc w:val="right"/>
              <w:spacing w:after="0" w:line="81" w:lineRule="exact"/>
              <w:rPr>
                <w:sz w:val="20"/>
                <w:szCs w:val="20"/>
                <w:color w:val="auto"/>
              </w:rPr>
            </w:pPr>
            <w:r>
              <w:rPr>
                <w:rFonts w:ascii="Arial" w:cs="Arial" w:eastAsia="Arial" w:hAnsi="Arial"/>
                <w:sz w:val="9"/>
                <w:szCs w:val="9"/>
                <w:color w:val="auto"/>
              </w:rPr>
              <w:t>​ ​ ​</w:t>
            </w:r>
          </w:p>
        </w:tc>
        <w:tc>
          <w:tcPr>
            <w:tcW w:w="400" w:type="dxa"/>
            <w:vAlign w:val="bottom"/>
            <w:tcBorders>
              <w:bottom w:val="single" w:sz="8" w:color="424E6A"/>
            </w:tcBorders>
            <w:shd w:val="clear" w:color="auto" w:fill="D9DCE1"/>
          </w:tcPr>
          <w:p>
            <w:pPr>
              <w:spacing w:after="0"/>
              <w:rPr>
                <w:sz w:val="7"/>
                <w:szCs w:val="7"/>
                <w:color w:val="auto"/>
              </w:rPr>
            </w:pPr>
          </w:p>
        </w:tc>
        <w:tc>
          <w:tcPr>
            <w:tcW w:w="500" w:type="dxa"/>
            <w:vAlign w:val="bottom"/>
            <w:tcBorders>
              <w:bottom w:val="single" w:sz="8" w:color="424E6A"/>
            </w:tcBorders>
            <w:gridSpan w:val="2"/>
            <w:shd w:val="clear" w:color="auto" w:fill="D9DCE1"/>
          </w:tcPr>
          <w:p>
            <w:pPr>
              <w:ind w:left="80"/>
              <w:spacing w:after="0" w:line="81" w:lineRule="exact"/>
              <w:rPr>
                <w:sz w:val="20"/>
                <w:szCs w:val="20"/>
                <w:color w:val="auto"/>
              </w:rPr>
            </w:pPr>
            <w:r>
              <w:rPr>
                <w:rFonts w:ascii="Arial" w:cs="Arial" w:eastAsia="Arial" w:hAnsi="Arial"/>
                <w:sz w:val="9"/>
                <w:szCs w:val="9"/>
                <w:color w:val="auto"/>
              </w:rPr>
              <w:t>​​ ​  ​</w:t>
            </w:r>
          </w:p>
        </w:tc>
        <w:tc>
          <w:tcPr>
            <w:tcW w:w="80" w:type="dxa"/>
            <w:vAlign w:val="bottom"/>
            <w:tcBorders>
              <w:bottom w:val="single" w:sz="8" w:color="424E6A"/>
            </w:tcBorders>
            <w:shd w:val="clear" w:color="auto" w:fill="D9DCE1"/>
          </w:tcPr>
          <w:p>
            <w:pPr>
              <w:spacing w:after="0"/>
              <w:rPr>
                <w:sz w:val="7"/>
                <w:szCs w:val="7"/>
                <w:color w:val="auto"/>
              </w:rPr>
            </w:pPr>
          </w:p>
        </w:tc>
        <w:tc>
          <w:tcPr>
            <w:tcW w:w="360" w:type="dxa"/>
            <w:vAlign w:val="bottom"/>
            <w:tcBorders>
              <w:bottom w:val="single" w:sz="8" w:color="424E6A"/>
            </w:tcBorders>
            <w:shd w:val="clear" w:color="auto" w:fill="D9DCE1"/>
          </w:tcPr>
          <w:p>
            <w:pPr>
              <w:spacing w:after="0"/>
              <w:rPr>
                <w:sz w:val="7"/>
                <w:szCs w:val="7"/>
                <w:color w:val="auto"/>
              </w:rPr>
            </w:pPr>
          </w:p>
        </w:tc>
        <w:tc>
          <w:tcPr>
            <w:tcW w:w="420" w:type="dxa"/>
            <w:vAlign w:val="bottom"/>
            <w:tcBorders>
              <w:bottom w:val="single" w:sz="8" w:color="424E6A"/>
            </w:tcBorders>
            <w:gridSpan w:val="3"/>
            <w:shd w:val="clear" w:color="auto" w:fill="D9DCE1"/>
          </w:tcPr>
          <w:p>
            <w:pPr>
              <w:ind w:left="20"/>
              <w:spacing w:after="0" w:line="81" w:lineRule="exact"/>
              <w:rPr>
                <w:sz w:val="20"/>
                <w:szCs w:val="20"/>
                <w:color w:val="auto"/>
              </w:rPr>
            </w:pPr>
            <w:r>
              <w:rPr>
                <w:rFonts w:ascii="Arial" w:cs="Arial" w:eastAsia="Arial" w:hAnsi="Arial"/>
                <w:sz w:val="9"/>
                <w:szCs w:val="9"/>
                <w:color w:val="auto"/>
              </w:rPr>
              <w:t>​​ ​  ​</w:t>
            </w:r>
          </w:p>
        </w:tc>
        <w:tc>
          <w:tcPr>
            <w:tcW w:w="440" w:type="dxa"/>
            <w:vAlign w:val="bottom"/>
            <w:tcBorders>
              <w:bottom w:val="single" w:sz="8" w:color="424E6A"/>
            </w:tcBorders>
            <w:shd w:val="clear" w:color="auto" w:fill="D9DCE1"/>
          </w:tcPr>
          <w:p>
            <w:pPr>
              <w:spacing w:after="0"/>
              <w:rPr>
                <w:sz w:val="7"/>
                <w:szCs w:val="7"/>
                <w:color w:val="auto"/>
              </w:rPr>
            </w:pPr>
          </w:p>
        </w:tc>
        <w:tc>
          <w:tcPr>
            <w:tcW w:w="120" w:type="dxa"/>
            <w:vAlign w:val="bottom"/>
            <w:tcBorders>
              <w:bottom w:val="single" w:sz="8" w:color="424E6A"/>
              <w:right w:val="single" w:sz="8" w:color="auto"/>
            </w:tcBorders>
            <w:shd w:val="clear" w:color="auto" w:fill="D9DCE1"/>
          </w:tcPr>
          <w:p>
            <w:pPr>
              <w:ind w:left="20"/>
              <w:spacing w:after="0" w:line="81"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tcPr>
          <w:p>
            <w:pPr>
              <w:spacing w:after="0"/>
              <w:rPr>
                <w:sz w:val="22"/>
                <w:szCs w:val="22"/>
                <w:color w:val="auto"/>
              </w:rPr>
            </w:pPr>
          </w:p>
        </w:tc>
        <w:tc>
          <w:tcPr>
            <w:tcW w:w="1340" w:type="dxa"/>
            <w:vAlign w:val="bottom"/>
            <w:tcBorders>
              <w:bottom w:val="single" w:sz="8" w:color="424E6A"/>
            </w:tcBorders>
            <w:gridSpan w:val="3"/>
          </w:tcPr>
          <w:p>
            <w:pPr>
              <w:jc w:val="right"/>
              <w:spacing w:after="0" w:line="264" w:lineRule="exact"/>
              <w:rPr>
                <w:sz w:val="20"/>
                <w:szCs w:val="20"/>
                <w:color w:val="auto"/>
              </w:rPr>
            </w:pPr>
            <w:r>
              <w:rPr>
                <w:rFonts w:ascii="Arial" w:cs="Arial" w:eastAsia="Arial" w:hAnsi="Arial"/>
                <w:sz w:val="16"/>
                <w:szCs w:val="16"/>
                <w:color w:val="auto"/>
              </w:rPr>
              <w:t xml:space="preserve">Safety (TRIR) </w:t>
            </w:r>
            <w:r>
              <w:rPr>
                <w:rFonts w:ascii="Arial" w:cs="Arial" w:eastAsia="Arial" w:hAnsi="Arial"/>
                <w:sz w:val="30"/>
                <w:szCs w:val="30"/>
                <w:color w:val="auto"/>
                <w:vertAlign w:val="subscript"/>
              </w:rPr>
              <w:t>​ ​</w:t>
            </w:r>
          </w:p>
        </w:tc>
        <w:tc>
          <w:tcPr>
            <w:tcW w:w="560" w:type="dxa"/>
            <w:vAlign w:val="bottom"/>
            <w:tcBorders>
              <w:bottom w:val="single" w:sz="8" w:color="424E6A"/>
            </w:tcBorders>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0.28</w:t>
            </w:r>
          </w:p>
        </w:tc>
        <w:tc>
          <w:tcPr>
            <w:tcW w:w="3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424E6A"/>
            </w:tcBorders>
            <w:gridSpan w:val="3"/>
          </w:tcPr>
          <w:p>
            <w:pPr>
              <w:jc w:val="right"/>
              <w:ind w:right="5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0.25</w:t>
            </w:r>
          </w:p>
        </w:tc>
        <w:tc>
          <w:tcPr>
            <w:tcW w:w="340" w:type="dxa"/>
            <w:vAlign w:val="bottom"/>
            <w:tcBorders>
              <w:bottom w:val="single" w:sz="8" w:color="424E6A"/>
            </w:tcBorders>
            <w:gridSpan w:val="2"/>
          </w:tcPr>
          <w:p>
            <w:pPr>
              <w:ind w:left="20"/>
              <w:spacing w:after="0"/>
              <w:rPr>
                <w:sz w:val="20"/>
                <w:szCs w:val="20"/>
                <w:color w:val="auto"/>
              </w:rPr>
            </w:pPr>
            <w:r>
              <w:rPr>
                <w:rFonts w:ascii="Arial" w:cs="Arial" w:eastAsia="Arial" w:hAnsi="Arial"/>
                <w:sz w:val="18"/>
                <w:szCs w:val="18"/>
                <w:color w:val="auto"/>
              </w:rPr>
              <w:t>​​ ​</w:t>
            </w:r>
          </w:p>
        </w:tc>
        <w:tc>
          <w:tcPr>
            <w:tcW w:w="520" w:type="dxa"/>
            <w:vAlign w:val="bottom"/>
            <w:tcBorders>
              <w:bottom w:val="single" w:sz="8" w:color="424E6A"/>
            </w:tcBorders>
            <w:gridSpan w:val="2"/>
          </w:tcPr>
          <w:p>
            <w:pPr>
              <w:jc w:val="right"/>
              <w:ind w:right="5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0.22</w:t>
            </w:r>
          </w:p>
        </w:tc>
        <w:tc>
          <w:tcPr>
            <w:tcW w:w="120" w:type="dxa"/>
            <w:vAlign w:val="bottom"/>
            <w:tcBorders>
              <w:bottom w:val="single" w:sz="8" w:color="424E6A"/>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800" w:type="dxa"/>
            <w:vAlign w:val="bottom"/>
            <w:tcBorders>
              <w:bottom w:val="single" w:sz="8" w:color="424E6A"/>
            </w:tcBorders>
            <w:gridSpan w:val="4"/>
            <w:shd w:val="clear" w:color="auto" w:fill="D9DCE1"/>
          </w:tcPr>
          <w:p>
            <w:pPr>
              <w:jc w:val="right"/>
              <w:spacing w:after="0" w:line="250" w:lineRule="exact"/>
              <w:rPr>
                <w:sz w:val="20"/>
                <w:szCs w:val="20"/>
                <w:color w:val="auto"/>
              </w:rPr>
            </w:pPr>
            <w:r>
              <w:rPr>
                <w:rFonts w:ascii="Arial" w:cs="Arial" w:eastAsia="Arial" w:hAnsi="Arial"/>
                <w:sz w:val="15"/>
                <w:szCs w:val="15"/>
                <w:color w:val="auto"/>
              </w:rPr>
              <w:t xml:space="preserve">Environmental (FRR) </w:t>
            </w:r>
            <w:r>
              <w:rPr>
                <w:rFonts w:ascii="Arial" w:cs="Arial" w:eastAsia="Arial" w:hAnsi="Arial"/>
                <w:sz w:val="28"/>
                <w:szCs w:val="28"/>
                <w:color w:val="auto"/>
                <w:vertAlign w:val="subscript"/>
              </w:rPr>
              <w:t>​ ​</w:t>
            </w:r>
          </w:p>
        </w:tc>
        <w:tc>
          <w:tcPr>
            <w:tcW w:w="16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2"/>
                <w:szCs w:val="22"/>
                <w:color w:val="auto"/>
              </w:rPr>
            </w:pPr>
          </w:p>
        </w:tc>
        <w:tc>
          <w:tcPr>
            <w:tcW w:w="360" w:type="dxa"/>
            <w:vAlign w:val="bottom"/>
            <w:tcBorders>
              <w:bottom w:val="single" w:sz="8" w:color="424E6A"/>
            </w:tcBorders>
            <w:shd w:val="clear" w:color="auto" w:fill="D9DCE1"/>
          </w:tcPr>
          <w:p>
            <w:pPr>
              <w:jc w:val="right"/>
              <w:ind w:right="56"/>
              <w:spacing w:after="0"/>
              <w:rPr>
                <w:sz w:val="20"/>
                <w:szCs w:val="20"/>
                <w:color w:val="auto"/>
              </w:rPr>
            </w:pPr>
            <w:r>
              <w:rPr>
                <w:rFonts w:ascii="Arial" w:cs="Arial" w:eastAsia="Arial" w:hAnsi="Arial"/>
                <w:sz w:val="18"/>
                <w:szCs w:val="18"/>
                <w:color w:val="auto"/>
                <w:w w:val="99"/>
              </w:rPr>
              <w:t>10</w:t>
            </w:r>
          </w:p>
        </w:tc>
        <w:tc>
          <w:tcPr>
            <w:tcW w:w="34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424E6A"/>
              <w:right w:val="single" w:sz="8" w:color="auto"/>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6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2023 Formulaic Payout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shd w:val="clear" w:color="auto" w:fill="424E6A"/>
          </w:tcPr>
          <w:p>
            <w:pPr>
              <w:spacing w:after="0"/>
              <w:rPr>
                <w:sz w:val="2"/>
                <w:szCs w:val="2"/>
                <w:color w:val="auto"/>
              </w:rPr>
            </w:pPr>
          </w:p>
        </w:tc>
        <w:tc>
          <w:tcPr>
            <w:tcW w:w="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Payout</w:t>
            </w: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vMerge w:val="restart"/>
          </w:tcPr>
          <w:p>
            <w:pPr>
              <w:jc w:val="right"/>
              <w:ind w:right="164"/>
              <w:spacing w:after="0" w:line="196"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2"/>
                <w:szCs w:val="2"/>
                <w:color w:val="auto"/>
              </w:rPr>
            </w:pPr>
          </w:p>
        </w:tc>
        <w:tc>
          <w:tcPr>
            <w:tcW w:w="600" w:type="dxa"/>
            <w:vAlign w:val="bottom"/>
            <w:gridSpan w:val="3"/>
            <w:vMerge w:val="restart"/>
          </w:tcPr>
          <w:p>
            <w:pPr>
              <w:jc w:val="right"/>
              <w:ind w:right="70"/>
              <w:spacing w:after="0" w:line="196" w:lineRule="exact"/>
              <w:rPr>
                <w:sz w:val="20"/>
                <w:szCs w:val="20"/>
                <w:color w:val="auto"/>
              </w:rPr>
            </w:pPr>
            <w:r>
              <w:rPr>
                <w:rFonts w:ascii="Arial" w:cs="Arial" w:eastAsia="Arial" w:hAnsi="Arial"/>
                <w:sz w:val="18"/>
                <w:szCs w:val="18"/>
                <w:color w:val="auto"/>
                <w:w w:val="95"/>
              </w:rPr>
              <w:t>100%</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right w:val="single" w:sz="8" w:color="auto"/>
            </w:tcBorders>
            <w:gridSpan w:val="2"/>
            <w:vMerge w:val="restart"/>
          </w:tcPr>
          <w:p>
            <w:pPr>
              <w:jc w:val="right"/>
              <w:ind w:right="22"/>
              <w:spacing w:after="0" w:line="196" w:lineRule="exact"/>
              <w:rPr>
                <w:sz w:val="20"/>
                <w:szCs w:val="20"/>
                <w:color w:val="auto"/>
              </w:rPr>
            </w:pPr>
            <w:r>
              <w:rPr>
                <w:rFonts w:ascii="Arial" w:cs="Arial" w:eastAsia="Arial" w:hAnsi="Arial"/>
                <w:sz w:val="18"/>
                <w:szCs w:val="18"/>
                <w:color w:val="auto"/>
                <w:w w:val="95"/>
              </w:rPr>
              <w:t>200%</w:t>
            </w:r>
          </w:p>
        </w:tc>
        <w:tc>
          <w:tcPr>
            <w:tcW w:w="60" w:type="dxa"/>
            <w:vAlign w:val="bottom"/>
          </w:tcPr>
          <w:p>
            <w:pPr>
              <w:spacing w:after="0"/>
              <w:rPr>
                <w:sz w:val="2"/>
                <w:szCs w:val="2"/>
                <w:color w:val="auto"/>
              </w:rPr>
            </w:pPr>
          </w:p>
        </w:tc>
        <w:tc>
          <w:tcPr>
            <w:tcW w:w="1620" w:type="dxa"/>
            <w:vAlign w:val="bottom"/>
            <w:gridSpan w:val="4"/>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shd w:val="clear" w:color="auto" w:fill="424E6A"/>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 ​ ​</w:t>
            </w: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Calculation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424E6A"/>
            </w:tcBorders>
            <w:shd w:val="clear" w:color="auto" w:fill="424E6A"/>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2460" w:type="dxa"/>
            <w:vAlign w:val="bottom"/>
            <w:tcBorders>
              <w:bottom w:val="single" w:sz="8" w:color="424E6A"/>
            </w:tcBorders>
          </w:tcPr>
          <w:p>
            <w:pPr>
              <w:spacing w:after="0"/>
              <w:rPr>
                <w:sz w:val="5"/>
                <w:szCs w:val="5"/>
                <w:color w:val="auto"/>
              </w:rPr>
            </w:pPr>
          </w:p>
        </w:tc>
        <w:tc>
          <w:tcPr>
            <w:tcW w:w="240" w:type="dxa"/>
            <w:vAlign w:val="bottom"/>
            <w:tcBorders>
              <w:bottom w:val="single" w:sz="8" w:color="424E6A"/>
            </w:tcBorders>
          </w:tcPr>
          <w:p>
            <w:pPr>
              <w:spacing w:after="0"/>
              <w:rPr>
                <w:sz w:val="5"/>
                <w:szCs w:val="5"/>
                <w:color w:val="auto"/>
              </w:rPr>
            </w:pPr>
          </w:p>
        </w:tc>
        <w:tc>
          <w:tcPr>
            <w:tcW w:w="860" w:type="dxa"/>
            <w:vAlign w:val="bottom"/>
            <w:tcBorders>
              <w:bottom w:val="single" w:sz="8" w:color="424E6A"/>
            </w:tcBorders>
          </w:tcPr>
          <w:p>
            <w:pPr>
              <w:spacing w:after="0"/>
              <w:rPr>
                <w:sz w:val="5"/>
                <w:szCs w:val="5"/>
                <w:color w:val="auto"/>
              </w:rPr>
            </w:pPr>
          </w:p>
        </w:tc>
        <w:tc>
          <w:tcPr>
            <w:tcW w:w="400" w:type="dxa"/>
            <w:vAlign w:val="bottom"/>
            <w:tcBorders>
              <w:bottom w:val="single" w:sz="8" w:color="424E6A"/>
            </w:tcBorders>
            <w:gridSpan w:val="2"/>
            <w:vMerge w:val="continue"/>
          </w:tcPr>
          <w:p>
            <w:pPr>
              <w:spacing w:after="0"/>
              <w:rPr>
                <w:sz w:val="5"/>
                <w:szCs w:val="5"/>
                <w:color w:val="auto"/>
              </w:rPr>
            </w:pPr>
          </w:p>
        </w:tc>
        <w:tc>
          <w:tcPr>
            <w:tcW w:w="400" w:type="dxa"/>
            <w:vAlign w:val="bottom"/>
            <w:tcBorders>
              <w:bottom w:val="single" w:sz="8" w:color="424E6A"/>
            </w:tcBorders>
          </w:tcPr>
          <w:p>
            <w:pPr>
              <w:spacing w:after="0"/>
              <w:rPr>
                <w:sz w:val="5"/>
                <w:szCs w:val="5"/>
                <w:color w:val="auto"/>
              </w:rPr>
            </w:pPr>
          </w:p>
        </w:tc>
        <w:tc>
          <w:tcPr>
            <w:tcW w:w="500" w:type="dxa"/>
            <w:vAlign w:val="bottom"/>
            <w:tcBorders>
              <w:bottom w:val="single" w:sz="8" w:color="424E6A"/>
            </w:tcBorders>
            <w:gridSpan w:val="2"/>
          </w:tcPr>
          <w:p>
            <w:pPr>
              <w:ind w:left="80"/>
              <w:spacing w:after="0" w:line="68" w:lineRule="exact"/>
              <w:rPr>
                <w:sz w:val="20"/>
                <w:szCs w:val="20"/>
                <w:color w:val="auto"/>
              </w:rPr>
            </w:pPr>
            <w:r>
              <w:rPr>
                <w:rFonts w:ascii="Arial" w:cs="Arial" w:eastAsia="Arial" w:hAnsi="Arial"/>
                <w:sz w:val="7"/>
                <w:szCs w:val="7"/>
                <w:color w:val="auto"/>
              </w:rPr>
              <w:t>​​ ​  ​</w:t>
            </w:r>
          </w:p>
        </w:tc>
        <w:tc>
          <w:tcPr>
            <w:tcW w:w="80" w:type="dxa"/>
            <w:vAlign w:val="bottom"/>
            <w:tcBorders>
              <w:bottom w:val="single" w:sz="8" w:color="424E6A"/>
            </w:tcBorders>
          </w:tcPr>
          <w:p>
            <w:pPr>
              <w:spacing w:after="0"/>
              <w:rPr>
                <w:sz w:val="5"/>
                <w:szCs w:val="5"/>
                <w:color w:val="auto"/>
              </w:rPr>
            </w:pPr>
          </w:p>
        </w:tc>
        <w:tc>
          <w:tcPr>
            <w:tcW w:w="360" w:type="dxa"/>
            <w:vAlign w:val="bottom"/>
            <w:tcBorders>
              <w:bottom w:val="single" w:sz="8" w:color="424E6A"/>
            </w:tcBorders>
          </w:tcPr>
          <w:p>
            <w:pPr>
              <w:spacing w:after="0"/>
              <w:rPr>
                <w:sz w:val="5"/>
                <w:szCs w:val="5"/>
                <w:color w:val="auto"/>
              </w:rPr>
            </w:pPr>
          </w:p>
        </w:tc>
        <w:tc>
          <w:tcPr>
            <w:tcW w:w="420" w:type="dxa"/>
            <w:vAlign w:val="bottom"/>
            <w:tcBorders>
              <w:bottom w:val="single" w:sz="8" w:color="424E6A"/>
            </w:tcBorders>
            <w:gridSpan w:val="3"/>
          </w:tcPr>
          <w:p>
            <w:pPr>
              <w:ind w:left="20"/>
              <w:spacing w:after="0" w:line="68" w:lineRule="exact"/>
              <w:rPr>
                <w:sz w:val="20"/>
                <w:szCs w:val="20"/>
                <w:color w:val="auto"/>
              </w:rPr>
            </w:pPr>
            <w:r>
              <w:rPr>
                <w:rFonts w:ascii="Arial" w:cs="Arial" w:eastAsia="Arial" w:hAnsi="Arial"/>
                <w:sz w:val="7"/>
                <w:szCs w:val="7"/>
                <w:color w:val="auto"/>
              </w:rPr>
              <w:t>​​ ​  ​</w:t>
            </w:r>
          </w:p>
        </w:tc>
        <w:tc>
          <w:tcPr>
            <w:tcW w:w="4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auto"/>
            </w:tcBorders>
          </w:tcPr>
          <w:p>
            <w:pPr>
              <w:ind w:left="20"/>
              <w:spacing w:after="0" w:line="68" w:lineRule="exact"/>
              <w:rPr>
                <w:sz w:val="20"/>
                <w:szCs w:val="20"/>
                <w:color w:val="auto"/>
              </w:rPr>
            </w:pPr>
            <w:r>
              <w:rPr>
                <w:rFonts w:ascii="Arial" w:cs="Arial" w:eastAsia="Arial" w:hAnsi="Arial"/>
                <w:sz w:val="7"/>
                <w:szCs w:val="7"/>
                <w:color w:val="auto"/>
              </w:rPr>
              <w:t>​</w:t>
            </w: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280" w:type="dxa"/>
            <w:vAlign w:val="bottom"/>
            <w:gridSpan w:val="6"/>
          </w:tcPr>
          <w:p>
            <w:pPr>
              <w:spacing w:after="0"/>
              <w:rPr>
                <w:sz w:val="11"/>
                <w:szCs w:val="11"/>
                <w:color w:val="auto"/>
              </w:rPr>
            </w:pPr>
          </w:p>
        </w:tc>
        <w:tc>
          <w:tcPr>
            <w:tcW w:w="20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spacing w:after="0"/>
              <w:rPr>
                <w:sz w:val="11"/>
                <w:szCs w:val="11"/>
                <w:color w:val="auto"/>
              </w:rPr>
            </w:pPr>
          </w:p>
        </w:tc>
        <w:tc>
          <w:tcPr>
            <w:tcW w:w="1000" w:type="dxa"/>
            <w:vAlign w:val="bottom"/>
            <w:gridSpan w:val="4"/>
          </w:tcPr>
          <w:p>
            <w:pPr>
              <w:spacing w:after="0"/>
              <w:rPr>
                <w:sz w:val="11"/>
                <w:szCs w:val="11"/>
                <w:color w:val="auto"/>
              </w:rPr>
            </w:pPr>
          </w:p>
        </w:tc>
        <w:tc>
          <w:tcPr>
            <w:tcW w:w="80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424E6A"/>
            </w:tcBorders>
          </w:tcPr>
          <w:p>
            <w:pPr>
              <w:spacing w:after="0"/>
              <w:rPr>
                <w:sz w:val="22"/>
                <w:szCs w:val="22"/>
                <w:color w:val="auto"/>
              </w:rPr>
            </w:pPr>
          </w:p>
        </w:tc>
        <w:tc>
          <w:tcPr>
            <w:tcW w:w="2600" w:type="dxa"/>
            <w:vAlign w:val="bottom"/>
            <w:tcBorders>
              <w:bottom w:val="single" w:sz="8" w:color="424E6A"/>
            </w:tcBorders>
            <w:gridSpan w:val="2"/>
            <w:shd w:val="clear" w:color="auto" w:fill="424E6A"/>
          </w:tcPr>
          <w:p>
            <w:pPr>
              <w:ind w:left="20"/>
              <w:spacing w:after="0" w:line="25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Company Performance Metrics</w:t>
            </w:r>
          </w:p>
        </w:tc>
        <w:tc>
          <w:tcPr>
            <w:tcW w:w="2280" w:type="dxa"/>
            <w:vAlign w:val="bottom"/>
            <w:tcBorders>
              <w:bottom w:val="single" w:sz="8" w:color="424E6A"/>
            </w:tcBorders>
            <w:gridSpan w:val="6"/>
            <w:shd w:val="clear" w:color="auto" w:fill="424E6A"/>
          </w:tcPr>
          <w:p>
            <w:pPr>
              <w:ind w:left="80"/>
              <w:spacing w:after="0" w:line="257"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Weight </w:t>
            </w: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Threshold </w:t>
            </w: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Target</w:t>
            </w:r>
          </w:p>
        </w:tc>
        <w:tc>
          <w:tcPr>
            <w:tcW w:w="200" w:type="dxa"/>
            <w:vAlign w:val="bottom"/>
            <w:tcBorders>
              <w:bottom w:val="single" w:sz="8" w:color="424E6A"/>
            </w:tcBorders>
            <w:gridSpan w:val="2"/>
            <w:shd w:val="clear" w:color="auto" w:fill="424E6A"/>
          </w:tcPr>
          <w:p>
            <w:pPr>
              <w:ind w:left="20"/>
              <w:spacing w:after="0"/>
              <w:rPr>
                <w:sz w:val="20"/>
                <w:szCs w:val="20"/>
                <w:color w:val="auto"/>
              </w:rPr>
            </w:pPr>
            <w:r>
              <w:rPr>
                <w:rFonts w:ascii="Arial" w:cs="Arial" w:eastAsia="Arial" w:hAnsi="Arial"/>
                <w:sz w:val="14"/>
                <w:szCs w:val="14"/>
                <w:b w:val="1"/>
                <w:bCs w:val="1"/>
                <w:color w:val="FFFFFF"/>
              </w:rPr>
              <w:t>​ ​</w:t>
            </w:r>
          </w:p>
        </w:tc>
        <w:tc>
          <w:tcPr>
            <w:tcW w:w="36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Max</w:t>
            </w:r>
          </w:p>
        </w:tc>
        <w:tc>
          <w:tcPr>
            <w:tcW w:w="160" w:type="dxa"/>
            <w:vAlign w:val="bottom"/>
            <w:tcBorders>
              <w:bottom w:val="single" w:sz="8" w:color="424E6A"/>
            </w:tcBorders>
            <w:shd w:val="clear" w:color="auto" w:fill="424E6A"/>
          </w:tcPr>
          <w:p>
            <w:pPr>
              <w:spacing w:after="0"/>
              <w:rPr>
                <w:sz w:val="22"/>
                <w:szCs w:val="22"/>
                <w:color w:val="auto"/>
              </w:rPr>
            </w:pPr>
          </w:p>
        </w:tc>
        <w:tc>
          <w:tcPr>
            <w:tcW w:w="700" w:type="dxa"/>
            <w:vAlign w:val="bottom"/>
            <w:tcBorders>
              <w:bottom w:val="single" w:sz="8" w:color="424E6A"/>
            </w:tcBorders>
            <w:gridSpan w:val="3"/>
            <w:shd w:val="clear" w:color="auto" w:fill="424E6A"/>
          </w:tcPr>
          <w:p>
            <w:pPr>
              <w:jc w:val="right"/>
              <w:spacing w:after="0" w:line="257"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Result</w:t>
            </w:r>
          </w:p>
        </w:tc>
        <w:tc>
          <w:tcPr>
            <w:tcW w:w="1000" w:type="dxa"/>
            <w:vAlign w:val="bottom"/>
            <w:tcBorders>
              <w:bottom w:val="single" w:sz="8" w:color="424E6A"/>
            </w:tcBorders>
            <w:gridSpan w:val="4"/>
            <w:shd w:val="clear" w:color="auto" w:fill="424E6A"/>
          </w:tcPr>
          <w:p>
            <w:pPr>
              <w:ind w:left="40"/>
              <w:spacing w:after="0" w:line="257" w:lineRule="exact"/>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Payout % </w:t>
            </w:r>
            <w:r>
              <w:rPr>
                <w:rFonts w:ascii="Arial" w:cs="Arial" w:eastAsia="Arial" w:hAnsi="Arial"/>
                <w:sz w:val="28"/>
                <w:szCs w:val="28"/>
                <w:b w:val="1"/>
                <w:bCs w:val="1"/>
                <w:color w:val="FFFFFF"/>
                <w:vertAlign w:val="subscript"/>
              </w:rPr>
              <w:t>​</w:t>
            </w:r>
          </w:p>
        </w:tc>
        <w:tc>
          <w:tcPr>
            <w:tcW w:w="800" w:type="dxa"/>
            <w:vAlign w:val="bottom"/>
            <w:tcBorders>
              <w:bottom w:val="single" w:sz="8" w:color="424E6A"/>
            </w:tcBorders>
            <w:gridSpan w:val="2"/>
            <w:shd w:val="clear" w:color="auto" w:fill="424E6A"/>
          </w:tcPr>
          <w:p>
            <w:pPr>
              <w:jc w:val="right"/>
              <w:ind w:right="70"/>
              <w:spacing w:after="0"/>
              <w:rPr>
                <w:sz w:val="20"/>
                <w:szCs w:val="20"/>
                <w:color w:val="auto"/>
              </w:rPr>
            </w:pPr>
            <w:r>
              <w:rPr>
                <w:rFonts w:ascii="Arial" w:cs="Arial" w:eastAsia="Arial" w:hAnsi="Arial"/>
                <w:sz w:val="14"/>
                <w:szCs w:val="14"/>
                <w:b w:val="1"/>
                <w:bCs w:val="1"/>
                <w:color w:val="FFFFFF"/>
              </w:rPr>
              <w:t>Wgtd %</w:t>
            </w:r>
          </w:p>
        </w:tc>
        <w:tc>
          <w:tcPr>
            <w:tcW w:w="100" w:type="dxa"/>
            <w:vAlign w:val="bottom"/>
            <w:tcBorders>
              <w:bottom w:val="single" w:sz="8" w:color="424E6A"/>
              <w:right w:val="single" w:sz="8" w:color="424E6A"/>
            </w:tcBorders>
            <w:shd w:val="clear" w:color="auto" w:fill="424E6A"/>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shd w:val="clear" w:color="auto" w:fill="424E6A"/>
          </w:tcPr>
          <w:p>
            <w:pPr>
              <w:spacing w:after="0"/>
              <w:rPr>
                <w:sz w:val="21"/>
                <w:szCs w:val="21"/>
                <w:color w:val="auto"/>
              </w:rPr>
            </w:pPr>
          </w:p>
        </w:tc>
        <w:tc>
          <w:tcPr>
            <w:tcW w:w="2600" w:type="dxa"/>
            <w:vAlign w:val="bottom"/>
            <w:gridSpan w:val="2"/>
            <w:shd w:val="clear" w:color="auto" w:fill="D9DCE1"/>
          </w:tcPr>
          <w:p>
            <w:pPr>
              <w:ind w:left="40"/>
              <w:spacing w:after="0"/>
              <w:rPr>
                <w:sz w:val="20"/>
                <w:szCs w:val="20"/>
                <w:color w:val="auto"/>
              </w:rPr>
            </w:pPr>
            <w:r>
              <w:rPr>
                <w:rFonts w:ascii="Arial" w:cs="Arial" w:eastAsia="Arial" w:hAnsi="Arial"/>
                <w:sz w:val="18"/>
                <w:szCs w:val="18"/>
                <w:color w:val="auto"/>
                <w:w w:val="99"/>
              </w:rPr>
              <w:t>Adjusted EBITDA attributable to</w:t>
            </w:r>
          </w:p>
        </w:tc>
        <w:tc>
          <w:tcPr>
            <w:tcW w:w="240" w:type="dxa"/>
            <w:vAlign w:val="bottom"/>
            <w:shd w:val="clear" w:color="auto" w:fill="D9DCE1"/>
          </w:tcPr>
          <w:p>
            <w:pPr>
              <w:spacing w:after="0"/>
              <w:rPr>
                <w:sz w:val="21"/>
                <w:szCs w:val="21"/>
                <w:color w:val="auto"/>
              </w:rPr>
            </w:pPr>
          </w:p>
        </w:tc>
        <w:tc>
          <w:tcPr>
            <w:tcW w:w="860" w:type="dxa"/>
            <w:vAlign w:val="bottom"/>
            <w:shd w:val="clear" w:color="auto" w:fill="D9DCE1"/>
          </w:tcPr>
          <w:p>
            <w:pPr>
              <w:spacing w:after="0"/>
              <w:rPr>
                <w:sz w:val="21"/>
                <w:szCs w:val="21"/>
                <w:color w:val="auto"/>
              </w:rPr>
            </w:pPr>
          </w:p>
        </w:tc>
        <w:tc>
          <w:tcPr>
            <w:tcW w:w="240" w:type="dxa"/>
            <w:vAlign w:val="bottom"/>
            <w:shd w:val="clear" w:color="auto" w:fill="D9DCE1"/>
          </w:tcPr>
          <w:p>
            <w:pPr>
              <w:spacing w:after="0"/>
              <w:rPr>
                <w:sz w:val="21"/>
                <w:szCs w:val="21"/>
                <w:color w:val="auto"/>
              </w:rPr>
            </w:pPr>
          </w:p>
        </w:tc>
        <w:tc>
          <w:tcPr>
            <w:tcW w:w="160" w:type="dxa"/>
            <w:vAlign w:val="bottom"/>
            <w:shd w:val="clear" w:color="auto" w:fill="D9DCE1"/>
          </w:tcPr>
          <w:p>
            <w:pPr>
              <w:spacing w:after="0"/>
              <w:rPr>
                <w:sz w:val="21"/>
                <w:szCs w:val="21"/>
                <w:color w:val="auto"/>
              </w:rPr>
            </w:pPr>
          </w:p>
        </w:tc>
        <w:tc>
          <w:tcPr>
            <w:tcW w:w="400" w:type="dxa"/>
            <w:vAlign w:val="bottom"/>
            <w:shd w:val="clear" w:color="auto" w:fill="D9DCE1"/>
          </w:tcPr>
          <w:p>
            <w:pPr>
              <w:spacing w:after="0"/>
              <w:rPr>
                <w:sz w:val="21"/>
                <w:szCs w:val="21"/>
                <w:color w:val="auto"/>
              </w:rPr>
            </w:pPr>
          </w:p>
        </w:tc>
        <w:tc>
          <w:tcPr>
            <w:tcW w:w="380" w:type="dxa"/>
            <w:vAlign w:val="bottom"/>
            <w:shd w:val="clear" w:color="auto" w:fill="D9DCE1"/>
          </w:tcPr>
          <w:p>
            <w:pPr>
              <w:spacing w:after="0"/>
              <w:rPr>
                <w:sz w:val="21"/>
                <w:szCs w:val="21"/>
                <w:color w:val="auto"/>
              </w:rPr>
            </w:pPr>
          </w:p>
        </w:tc>
        <w:tc>
          <w:tcPr>
            <w:tcW w:w="120" w:type="dxa"/>
            <w:vAlign w:val="bottom"/>
            <w:shd w:val="clear" w:color="auto" w:fill="D9DCE1"/>
          </w:tcPr>
          <w:p>
            <w:pPr>
              <w:spacing w:after="0"/>
              <w:rPr>
                <w:sz w:val="21"/>
                <w:szCs w:val="21"/>
                <w:color w:val="auto"/>
              </w:rPr>
            </w:pPr>
          </w:p>
        </w:tc>
        <w:tc>
          <w:tcPr>
            <w:tcW w:w="80" w:type="dxa"/>
            <w:vAlign w:val="bottom"/>
            <w:shd w:val="clear" w:color="auto" w:fill="D9DCE1"/>
          </w:tcPr>
          <w:p>
            <w:pPr>
              <w:spacing w:after="0"/>
              <w:rPr>
                <w:sz w:val="21"/>
                <w:szCs w:val="21"/>
                <w:color w:val="auto"/>
              </w:rPr>
            </w:pPr>
          </w:p>
        </w:tc>
        <w:tc>
          <w:tcPr>
            <w:tcW w:w="360" w:type="dxa"/>
            <w:vAlign w:val="bottom"/>
            <w:shd w:val="clear" w:color="auto" w:fill="D9DCE1"/>
          </w:tcPr>
          <w:p>
            <w:pPr>
              <w:spacing w:after="0"/>
              <w:rPr>
                <w:sz w:val="21"/>
                <w:szCs w:val="21"/>
                <w:color w:val="auto"/>
              </w:rPr>
            </w:pPr>
          </w:p>
        </w:tc>
        <w:tc>
          <w:tcPr>
            <w:tcW w:w="160" w:type="dxa"/>
            <w:vAlign w:val="bottom"/>
            <w:shd w:val="clear" w:color="auto" w:fill="D9DCE1"/>
          </w:tcPr>
          <w:p>
            <w:pPr>
              <w:spacing w:after="0"/>
              <w:rPr>
                <w:sz w:val="21"/>
                <w:szCs w:val="21"/>
                <w:color w:val="auto"/>
              </w:rPr>
            </w:pPr>
          </w:p>
        </w:tc>
        <w:tc>
          <w:tcPr>
            <w:tcW w:w="180" w:type="dxa"/>
            <w:vAlign w:val="bottom"/>
            <w:shd w:val="clear" w:color="auto" w:fill="D9DCE1"/>
          </w:tcPr>
          <w:p>
            <w:pPr>
              <w:spacing w:after="0"/>
              <w:rPr>
                <w:sz w:val="21"/>
                <w:szCs w:val="21"/>
                <w:color w:val="auto"/>
              </w:rPr>
            </w:pPr>
          </w:p>
        </w:tc>
        <w:tc>
          <w:tcPr>
            <w:tcW w:w="80" w:type="dxa"/>
            <w:vAlign w:val="bottom"/>
            <w:shd w:val="clear" w:color="auto" w:fill="D9DCE1"/>
          </w:tcPr>
          <w:p>
            <w:pPr>
              <w:spacing w:after="0"/>
              <w:rPr>
                <w:sz w:val="21"/>
                <w:szCs w:val="21"/>
                <w:color w:val="auto"/>
              </w:rPr>
            </w:pPr>
          </w:p>
        </w:tc>
        <w:tc>
          <w:tcPr>
            <w:tcW w:w="440" w:type="dxa"/>
            <w:vAlign w:val="bottom"/>
            <w:shd w:val="clear" w:color="auto" w:fill="D9DCE1"/>
          </w:tcPr>
          <w:p>
            <w:pPr>
              <w:spacing w:after="0"/>
              <w:rPr>
                <w:sz w:val="21"/>
                <w:szCs w:val="21"/>
                <w:color w:val="auto"/>
              </w:rPr>
            </w:pPr>
          </w:p>
        </w:tc>
        <w:tc>
          <w:tcPr>
            <w:tcW w:w="120" w:type="dxa"/>
            <w:vAlign w:val="bottom"/>
            <w:tcBorders>
              <w:right w:val="single" w:sz="8" w:color="D9DCE1"/>
            </w:tcBorders>
            <w:shd w:val="clear" w:color="auto" w:fill="D9DCE1"/>
          </w:tcPr>
          <w:p>
            <w:pPr>
              <w:spacing w:after="0"/>
              <w:rPr>
                <w:sz w:val="21"/>
                <w:szCs w:val="21"/>
                <w:color w:val="auto"/>
              </w:rPr>
            </w:pPr>
          </w:p>
        </w:tc>
        <w:tc>
          <w:tcPr>
            <w:tcW w:w="60" w:type="dxa"/>
            <w:vAlign w:val="bottom"/>
            <w:shd w:val="clear" w:color="auto" w:fill="D9DCE1"/>
          </w:tcPr>
          <w:p>
            <w:pPr>
              <w:spacing w:after="0"/>
              <w:rPr>
                <w:sz w:val="21"/>
                <w:szCs w:val="21"/>
                <w:color w:val="auto"/>
              </w:rPr>
            </w:pPr>
          </w:p>
        </w:tc>
        <w:tc>
          <w:tcPr>
            <w:tcW w:w="440" w:type="dxa"/>
            <w:vAlign w:val="bottom"/>
            <w:shd w:val="clear" w:color="auto" w:fill="D9DCE1"/>
          </w:tcPr>
          <w:p>
            <w:pPr>
              <w:spacing w:after="0"/>
              <w:rPr>
                <w:sz w:val="21"/>
                <w:szCs w:val="21"/>
                <w:color w:val="auto"/>
              </w:rPr>
            </w:pPr>
          </w:p>
        </w:tc>
        <w:tc>
          <w:tcPr>
            <w:tcW w:w="380" w:type="dxa"/>
            <w:vAlign w:val="bottom"/>
            <w:shd w:val="clear" w:color="auto" w:fill="D9DCE1"/>
          </w:tcPr>
          <w:p>
            <w:pPr>
              <w:spacing w:after="0"/>
              <w:rPr>
                <w:sz w:val="21"/>
                <w:szCs w:val="21"/>
                <w:color w:val="auto"/>
              </w:rPr>
            </w:pPr>
          </w:p>
        </w:tc>
        <w:tc>
          <w:tcPr>
            <w:tcW w:w="420" w:type="dxa"/>
            <w:vAlign w:val="bottom"/>
            <w:shd w:val="clear" w:color="auto" w:fill="D9DCE1"/>
          </w:tcPr>
          <w:p>
            <w:pPr>
              <w:spacing w:after="0"/>
              <w:rPr>
                <w:sz w:val="21"/>
                <w:szCs w:val="21"/>
                <w:color w:val="auto"/>
              </w:rPr>
            </w:pPr>
          </w:p>
        </w:tc>
        <w:tc>
          <w:tcPr>
            <w:tcW w:w="380" w:type="dxa"/>
            <w:vAlign w:val="bottom"/>
            <w:shd w:val="clear" w:color="auto" w:fill="D9DCE1"/>
          </w:tcPr>
          <w:p>
            <w:pPr>
              <w:spacing w:after="0"/>
              <w:rPr>
                <w:sz w:val="21"/>
                <w:szCs w:val="21"/>
                <w:color w:val="auto"/>
              </w:rPr>
            </w:pPr>
          </w:p>
        </w:tc>
        <w:tc>
          <w:tcPr>
            <w:tcW w:w="100" w:type="dxa"/>
            <w:vAlign w:val="bottom"/>
            <w:tcBorders>
              <w:right w:val="single" w:sz="8" w:color="424E6A"/>
            </w:tcBorders>
            <w:shd w:val="clear" w:color="auto" w:fill="D9DCE1"/>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424E6A"/>
            </w:tcBorders>
            <w:shd w:val="clear" w:color="auto" w:fill="424E6A"/>
          </w:tcPr>
          <w:p>
            <w:pPr>
              <w:spacing w:after="0"/>
              <w:rPr>
                <w:sz w:val="24"/>
                <w:szCs w:val="24"/>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shd w:val="clear" w:color="auto" w:fill="D9DCE1"/>
          </w:tcPr>
          <w:p>
            <w:pPr>
              <w:ind w:left="80"/>
              <w:spacing w:after="0" w:line="278" w:lineRule="exact"/>
              <w:rPr>
                <w:sz w:val="20"/>
                <w:szCs w:val="20"/>
                <w:color w:val="auto"/>
              </w:rPr>
            </w:pPr>
            <w:r>
              <w:rPr>
                <w:rFonts w:ascii="Arial" w:cs="Arial" w:eastAsia="Arial" w:hAnsi="Arial"/>
                <w:sz w:val="32"/>
                <w:szCs w:val="32"/>
                <w:color w:val="auto"/>
                <w:vertAlign w:val="subscript"/>
              </w:rPr>
              <w:t>PAA</w:t>
            </w:r>
            <w:r>
              <w:rPr>
                <w:rFonts w:ascii="Arial" w:cs="Arial" w:eastAsia="Arial" w:hAnsi="Arial"/>
                <w:sz w:val="11"/>
                <w:szCs w:val="11"/>
                <w:color w:val="auto"/>
              </w:rPr>
              <w:t>(1)</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424E6A"/>
            </w:tcBorders>
            <w:gridSpan w:val="3"/>
            <w:shd w:val="clear" w:color="auto" w:fill="D9DCE1"/>
          </w:tcPr>
          <w:p>
            <w:pPr>
              <w:ind w:left="100"/>
              <w:spacing w:after="0"/>
              <w:rPr>
                <w:sz w:val="20"/>
                <w:szCs w:val="20"/>
                <w:color w:val="auto"/>
              </w:rPr>
            </w:pPr>
            <w:r>
              <w:rPr>
                <w:rFonts w:ascii="Arial" w:cs="Arial" w:eastAsia="Arial" w:hAnsi="Arial"/>
                <w:sz w:val="18"/>
                <w:szCs w:val="18"/>
                <w:color w:val="auto"/>
              </w:rPr>
              <w:t>​40%​​​ ​$2,313</w:t>
            </w:r>
          </w:p>
        </w:tc>
        <w:tc>
          <w:tcPr>
            <w:tcW w:w="78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​​​​$2,500</w:t>
            </w:r>
          </w:p>
        </w:tc>
        <w:tc>
          <w:tcPr>
            <w:tcW w:w="720" w:type="dxa"/>
            <w:vAlign w:val="bottom"/>
            <w:tcBorders>
              <w:bottom w:val="single" w:sz="8" w:color="424E6A"/>
            </w:tcBorders>
            <w:gridSpan w:val="4"/>
            <w:shd w:val="clear" w:color="auto" w:fill="D9DCE1"/>
          </w:tcPr>
          <w:p>
            <w:pPr>
              <w:ind w:left="20"/>
              <w:spacing w:after="0"/>
              <w:rPr>
                <w:sz w:val="20"/>
                <w:szCs w:val="20"/>
                <w:color w:val="auto"/>
              </w:rPr>
            </w:pPr>
            <w:r>
              <w:rPr>
                <w:rFonts w:ascii="Arial" w:cs="Arial" w:eastAsia="Arial" w:hAnsi="Arial"/>
                <w:sz w:val="18"/>
                <w:szCs w:val="18"/>
                <w:color w:val="auto"/>
              </w:rPr>
              <w:t>​​​$2,750</w:t>
            </w:r>
          </w:p>
        </w:tc>
        <w:tc>
          <w:tcPr>
            <w:tcW w:w="700" w:type="dxa"/>
            <w:vAlign w:val="bottom"/>
            <w:tcBorders>
              <w:bottom w:val="single" w:sz="8" w:color="424E6A"/>
            </w:tcBorders>
            <w:gridSpan w:val="3"/>
            <w:shd w:val="clear" w:color="auto" w:fill="D9DCE1"/>
          </w:tcPr>
          <w:p>
            <w:pPr>
              <w:ind w:left="20"/>
              <w:spacing w:after="0"/>
              <w:rPr>
                <w:sz w:val="20"/>
                <w:szCs w:val="20"/>
                <w:color w:val="auto"/>
              </w:rPr>
            </w:pPr>
            <w:r>
              <w:rPr>
                <w:rFonts w:ascii="Arial" w:cs="Arial" w:eastAsia="Arial" w:hAnsi="Arial"/>
                <w:sz w:val="18"/>
                <w:szCs w:val="18"/>
                <w:color w:val="auto"/>
              </w:rPr>
              <w:t>​​​$2,684</w:t>
            </w:r>
          </w:p>
        </w:tc>
        <w:tc>
          <w:tcPr>
            <w:tcW w:w="18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tcBorders>
            <w:gridSpan w:val="2"/>
            <w:shd w:val="clear" w:color="auto" w:fill="D9DCE1"/>
          </w:tcPr>
          <w:p>
            <w:pPr>
              <w:jc w:val="right"/>
              <w:ind w:right="36"/>
              <w:spacing w:after="0"/>
              <w:rPr>
                <w:sz w:val="20"/>
                <w:szCs w:val="20"/>
                <w:color w:val="auto"/>
              </w:rPr>
            </w:pPr>
            <w:r>
              <w:rPr>
                <w:rFonts w:ascii="Arial" w:cs="Arial" w:eastAsia="Arial" w:hAnsi="Arial"/>
                <w:sz w:val="18"/>
                <w:szCs w:val="18"/>
                <w:color w:val="auto"/>
              </w:rPr>
              <w:t>​174%​​</w:t>
            </w:r>
          </w:p>
        </w:tc>
        <w:tc>
          <w:tcPr>
            <w:tcW w:w="800" w:type="dxa"/>
            <w:vAlign w:val="bottom"/>
            <w:tcBorders>
              <w:bottom w:val="single" w:sz="8" w:color="424E6A"/>
            </w:tcBorders>
            <w:gridSpan w:val="2"/>
            <w:shd w:val="clear" w:color="auto" w:fill="D9DCE1"/>
          </w:tcPr>
          <w:p>
            <w:pPr>
              <w:jc w:val="right"/>
              <w:ind w:right="10"/>
              <w:spacing w:after="0"/>
              <w:rPr>
                <w:sz w:val="20"/>
                <w:szCs w:val="20"/>
                <w:color w:val="auto"/>
              </w:rPr>
            </w:pPr>
            <w:r>
              <w:rPr>
                <w:rFonts w:ascii="Arial" w:cs="Arial" w:eastAsia="Arial" w:hAnsi="Arial"/>
                <w:sz w:val="18"/>
                <w:szCs w:val="18"/>
                <w:color w:val="auto"/>
              </w:rPr>
              <w:t>​ 70%</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shd w:val="clear" w:color="auto" w:fill="424E6A"/>
          </w:tcPr>
          <w:p>
            <w:pPr>
              <w:spacing w:after="0"/>
              <w:rPr>
                <w:sz w:val="21"/>
                <w:szCs w:val="21"/>
                <w:color w:val="auto"/>
              </w:rPr>
            </w:pPr>
          </w:p>
        </w:tc>
        <w:tc>
          <w:tcPr>
            <w:tcW w:w="2600" w:type="dxa"/>
            <w:vAlign w:val="bottom"/>
            <w:gridSpan w:val="2"/>
          </w:tcPr>
          <w:p>
            <w:pPr>
              <w:ind w:left="40"/>
              <w:spacing w:after="0"/>
              <w:rPr>
                <w:sz w:val="20"/>
                <w:szCs w:val="20"/>
                <w:color w:val="auto"/>
              </w:rPr>
            </w:pPr>
            <w:r>
              <w:rPr>
                <w:rFonts w:ascii="Arial" w:cs="Arial" w:eastAsia="Arial" w:hAnsi="Arial"/>
                <w:sz w:val="18"/>
                <w:szCs w:val="18"/>
                <w:color w:val="auto"/>
              </w:rPr>
              <w:t>Implied DCF/Common Unit and</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Borders>
              <w:right w:val="single" w:sz="8" w:color="424E6A"/>
            </w:tcBorders>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Borders>
              <w:bottom w:val="single" w:sz="8" w:color="424E6A"/>
            </w:tcBorders>
            <w:shd w:val="clear" w:color="auto" w:fill="424E6A"/>
          </w:tcPr>
          <w:p>
            <w:pPr>
              <w:spacing w:after="0"/>
              <w:rPr>
                <w:sz w:val="24"/>
                <w:szCs w:val="24"/>
                <w:color w:val="auto"/>
              </w:rPr>
            </w:pP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424E6A"/>
            </w:tcBorders>
          </w:tcPr>
          <w:p>
            <w:pPr>
              <w:ind w:left="80"/>
              <w:spacing w:after="0" w:line="278" w:lineRule="exact"/>
              <w:rPr>
                <w:sz w:val="20"/>
                <w:szCs w:val="20"/>
                <w:color w:val="auto"/>
              </w:rPr>
            </w:pPr>
            <w:r>
              <w:rPr>
                <w:rFonts w:ascii="Arial" w:cs="Arial" w:eastAsia="Arial" w:hAnsi="Arial"/>
                <w:sz w:val="32"/>
                <w:szCs w:val="32"/>
                <w:color w:val="auto"/>
                <w:vertAlign w:val="subscript"/>
              </w:rPr>
              <w:t>CUE</w:t>
            </w:r>
            <w:r>
              <w:rPr>
                <w:rFonts w:ascii="Arial" w:cs="Arial" w:eastAsia="Arial" w:hAnsi="Arial"/>
                <w:sz w:val="11"/>
                <w:szCs w:val="11"/>
                <w:color w:val="auto"/>
              </w:rPr>
              <w:t>(1)</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tcPr>
          <w:p>
            <w:pPr>
              <w:ind w:left="100"/>
              <w:spacing w:after="0"/>
              <w:rPr>
                <w:sz w:val="20"/>
                <w:szCs w:val="20"/>
                <w:color w:val="auto"/>
              </w:rPr>
            </w:pPr>
            <w:r>
              <w:rPr>
                <w:rFonts w:ascii="Arial" w:cs="Arial" w:eastAsia="Arial" w:hAnsi="Arial"/>
                <w:sz w:val="18"/>
                <w:szCs w:val="18"/>
                <w:color w:val="auto"/>
              </w:rPr>
              <w:t>​40%​​​ ​$</w:t>
            </w:r>
          </w:p>
        </w:tc>
        <w:tc>
          <w:tcPr>
            <w:tcW w:w="400" w:type="dxa"/>
            <w:vAlign w:val="bottom"/>
            <w:tcBorders>
              <w:bottom w:val="single" w:sz="8" w:color="424E6A"/>
            </w:tcBorders>
            <w:gridSpan w:val="2"/>
          </w:tcPr>
          <w:p>
            <w:pPr>
              <w:jc w:val="right"/>
              <w:spacing w:after="0"/>
              <w:rPr>
                <w:sz w:val="20"/>
                <w:szCs w:val="20"/>
                <w:color w:val="auto"/>
              </w:rPr>
            </w:pPr>
            <w:r>
              <w:rPr>
                <w:rFonts w:ascii="Arial" w:cs="Arial" w:eastAsia="Arial" w:hAnsi="Arial"/>
                <w:sz w:val="18"/>
                <w:szCs w:val="18"/>
                <w:color w:val="auto"/>
              </w:rPr>
              <w:t>2.16</w:t>
            </w:r>
          </w:p>
        </w:tc>
        <w:tc>
          <w:tcPr>
            <w:tcW w:w="4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w w:val="96"/>
              </w:rPr>
              <w:t>2.33</w:t>
            </w:r>
          </w:p>
        </w:tc>
        <w:tc>
          <w:tcPr>
            <w:tcW w:w="720" w:type="dxa"/>
            <w:vAlign w:val="bottom"/>
            <w:tcBorders>
              <w:bottom w:val="single" w:sz="8" w:color="424E6A"/>
            </w:tcBorders>
            <w:gridSpan w:val="4"/>
          </w:tcPr>
          <w:p>
            <w:pPr>
              <w:ind w:left="20"/>
              <w:spacing w:after="0"/>
              <w:rPr>
                <w:sz w:val="20"/>
                <w:szCs w:val="20"/>
                <w:color w:val="auto"/>
              </w:rPr>
            </w:pPr>
            <w:r>
              <w:rPr>
                <w:rFonts w:ascii="Arial" w:cs="Arial" w:eastAsia="Arial" w:hAnsi="Arial"/>
                <w:sz w:val="18"/>
                <w:szCs w:val="18"/>
                <w:color w:val="auto"/>
              </w:rPr>
              <w:t>​​​$ 2.56</w:t>
            </w:r>
          </w:p>
        </w:tc>
        <w:tc>
          <w:tcPr>
            <w:tcW w:w="260" w:type="dxa"/>
            <w:vAlign w:val="bottom"/>
            <w:tcBorders>
              <w:bottom w:val="single" w:sz="8" w:color="424E6A"/>
            </w:tcBorders>
            <w:gridSpan w:val="2"/>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tcBorders>
            <w:gridSpan w:val="2"/>
          </w:tcPr>
          <w:p>
            <w:pPr>
              <w:jc w:val="right"/>
              <w:ind w:right="36"/>
              <w:spacing w:after="0"/>
              <w:rPr>
                <w:sz w:val="20"/>
                <w:szCs w:val="20"/>
                <w:color w:val="auto"/>
              </w:rPr>
            </w:pPr>
            <w:r>
              <w:rPr>
                <w:rFonts w:ascii="Arial" w:cs="Arial" w:eastAsia="Arial" w:hAnsi="Arial"/>
                <w:sz w:val="18"/>
                <w:szCs w:val="18"/>
                <w:color w:val="auto"/>
              </w:rPr>
              <w:t>​141%​​</w:t>
            </w:r>
          </w:p>
        </w:tc>
        <w:tc>
          <w:tcPr>
            <w:tcW w:w="800" w:type="dxa"/>
            <w:vAlign w:val="bottom"/>
            <w:tcBorders>
              <w:bottom w:val="single" w:sz="8" w:color="424E6A"/>
            </w:tcBorders>
            <w:gridSpan w:val="2"/>
          </w:tcPr>
          <w:p>
            <w:pPr>
              <w:jc w:val="right"/>
              <w:ind w:right="10"/>
              <w:spacing w:after="0"/>
              <w:rPr>
                <w:sz w:val="20"/>
                <w:szCs w:val="20"/>
                <w:color w:val="auto"/>
              </w:rPr>
            </w:pPr>
            <w:r>
              <w:rPr>
                <w:rFonts w:ascii="Arial" w:cs="Arial" w:eastAsia="Arial" w:hAnsi="Arial"/>
                <w:sz w:val="18"/>
                <w:szCs w:val="18"/>
                <w:color w:val="auto"/>
              </w:rPr>
              <w:t>​ 56%</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Borders>
              <w:bottom w:val="single" w:sz="8" w:color="424E6A"/>
            </w:tcBorders>
            <w:shd w:val="clear" w:color="auto" w:fill="424E6A"/>
          </w:tcPr>
          <w:p>
            <w:pPr>
              <w:spacing w:after="0"/>
              <w:rPr>
                <w:sz w:val="24"/>
                <w:szCs w:val="24"/>
                <w:color w:val="auto"/>
              </w:rPr>
            </w:pPr>
          </w:p>
        </w:tc>
        <w:tc>
          <w:tcPr>
            <w:tcW w:w="2600" w:type="dxa"/>
            <w:vAlign w:val="bottom"/>
            <w:tcBorders>
              <w:bottom w:val="single" w:sz="8" w:color="424E6A"/>
            </w:tcBorders>
            <w:gridSpan w:val="2"/>
            <w:shd w:val="clear" w:color="auto" w:fill="D9DCE1"/>
          </w:tcPr>
          <w:p>
            <w:pPr>
              <w:ind w:left="2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Safety (TRIR)</w:t>
            </w:r>
            <w:r>
              <w:rPr>
                <w:rFonts w:ascii="Arial" w:cs="Arial" w:eastAsia="Arial" w:hAnsi="Arial"/>
                <w:sz w:val="21"/>
                <w:szCs w:val="21"/>
                <w:color w:val="auto"/>
                <w:vertAlign w:val="superscript"/>
              </w:rPr>
              <w:t>(2)</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ind w:left="100"/>
              <w:spacing w:after="0" w:line="276" w:lineRule="exact"/>
              <w:rPr>
                <w:sz w:val="20"/>
                <w:szCs w:val="20"/>
                <w:color w:val="auto"/>
              </w:rPr>
            </w:pPr>
            <w:r>
              <w:rPr>
                <w:rFonts w:ascii="Arial" w:cs="Arial" w:eastAsia="Arial" w:hAnsi="Arial"/>
                <w:sz w:val="17"/>
                <w:szCs w:val="17"/>
                <w:color w:val="auto"/>
              </w:rPr>
              <w:t>​</w:t>
            </w:r>
            <w:r>
              <w:rPr>
                <w:rFonts w:ascii="Arial" w:cs="Arial" w:eastAsia="Arial" w:hAnsi="Arial"/>
                <w:sz w:val="32"/>
                <w:szCs w:val="32"/>
                <w:color w:val="auto"/>
                <w:vertAlign w:val="superscript"/>
              </w:rPr>
              <w:t>10%</w:t>
            </w:r>
            <w:r>
              <w:rPr>
                <w:rFonts w:ascii="Arial" w:cs="Arial" w:eastAsia="Arial" w:hAnsi="Arial"/>
                <w:sz w:val="17"/>
                <w:szCs w:val="17"/>
                <w:color w:val="auto"/>
              </w:rPr>
              <w:t>​​​ ​</w:t>
            </w:r>
          </w:p>
        </w:tc>
        <w:tc>
          <w:tcPr>
            <w:tcW w:w="40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0.28</w:t>
            </w:r>
          </w:p>
        </w:tc>
        <w:tc>
          <w:tcPr>
            <w:tcW w:w="4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w w:val="96"/>
              </w:rPr>
              <w:t>0.25</w:t>
            </w:r>
          </w:p>
        </w:tc>
        <w:tc>
          <w:tcPr>
            <w:tcW w:w="20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424E6A"/>
            </w:tcBorders>
            <w:gridSpan w:val="2"/>
            <w:shd w:val="clear" w:color="auto" w:fill="D9DCE1"/>
          </w:tcPr>
          <w:p>
            <w:pPr>
              <w:jc w:val="right"/>
              <w:spacing w:after="0"/>
              <w:rPr>
                <w:sz w:val="20"/>
                <w:szCs w:val="20"/>
                <w:color w:val="auto"/>
              </w:rPr>
            </w:pPr>
            <w:r>
              <w:rPr>
                <w:rFonts w:ascii="Arial" w:cs="Arial" w:eastAsia="Arial" w:hAnsi="Arial"/>
                <w:sz w:val="18"/>
                <w:szCs w:val="18"/>
                <w:color w:val="auto"/>
              </w:rPr>
              <w:t>0.22</w:t>
            </w:r>
          </w:p>
        </w:tc>
        <w:tc>
          <w:tcPr>
            <w:tcW w:w="18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4"/>
                <w:szCs w:val="24"/>
                <w:color w:val="auto"/>
              </w:rPr>
            </w:pPr>
          </w:p>
        </w:tc>
        <w:tc>
          <w:tcPr>
            <w:tcW w:w="44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424E6A"/>
            </w:tcBorders>
            <w:gridSpan w:val="2"/>
            <w:shd w:val="clear" w:color="auto" w:fill="D9DCE1"/>
          </w:tcPr>
          <w:p>
            <w:pPr>
              <w:jc w:val="right"/>
              <w:ind w:right="36"/>
              <w:spacing w:after="0" w:line="276" w:lineRule="exact"/>
              <w:rPr>
                <w:sz w:val="20"/>
                <w:szCs w:val="20"/>
                <w:color w:val="auto"/>
              </w:rPr>
            </w:pPr>
            <w:r>
              <w:rPr>
                <w:rFonts w:ascii="Arial" w:cs="Arial" w:eastAsia="Arial" w:hAnsi="Arial"/>
                <w:sz w:val="17"/>
                <w:szCs w:val="17"/>
                <w:color w:val="auto"/>
              </w:rPr>
              <w:t xml:space="preserve">​ </w:t>
            </w:r>
            <w:r>
              <w:rPr>
                <w:rFonts w:ascii="Arial" w:cs="Arial" w:eastAsia="Arial" w:hAnsi="Arial"/>
                <w:sz w:val="32"/>
                <w:szCs w:val="32"/>
                <w:color w:val="auto"/>
                <w:vertAlign w:val="superscript"/>
              </w:rPr>
              <w:t>50%</w:t>
            </w:r>
            <w:r>
              <w:rPr>
                <w:rFonts w:ascii="Arial" w:cs="Arial" w:eastAsia="Arial" w:hAnsi="Arial"/>
                <w:sz w:val="17"/>
                <w:szCs w:val="17"/>
                <w:color w:val="auto"/>
              </w:rPr>
              <w:t>​​</w:t>
            </w:r>
          </w:p>
        </w:tc>
        <w:tc>
          <w:tcPr>
            <w:tcW w:w="42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shd w:val="clear" w:color="auto" w:fill="D9DCE1"/>
          </w:tcPr>
          <w:p>
            <w:pPr>
              <w:jc w:val="right"/>
              <w:ind w:right="10"/>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2600" w:type="dxa"/>
            <w:vAlign w:val="bottom"/>
            <w:tcBorders>
              <w:bottom w:val="single" w:sz="8" w:color="424E6A"/>
            </w:tcBorders>
            <w:gridSpan w:val="2"/>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Environmental (FRR)</w:t>
            </w:r>
          </w:p>
        </w:tc>
        <w:tc>
          <w:tcPr>
            <w:tcW w:w="2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tcPr>
          <w:p>
            <w:pPr>
              <w:ind w:left="1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w:t>
            </w:r>
            <w:r>
              <w:rPr>
                <w:rFonts w:ascii="Arial" w:cs="Arial" w:eastAsia="Arial" w:hAnsi="Arial"/>
                <w:sz w:val="15"/>
                <w:szCs w:val="15"/>
                <w:color w:val="auto"/>
              </w:rPr>
              <w:t>​​​ ​</w:t>
            </w:r>
          </w:p>
        </w:tc>
        <w:tc>
          <w:tcPr>
            <w:tcW w:w="400" w:type="dxa"/>
            <w:vAlign w:val="bottom"/>
            <w:tcBorders>
              <w:bottom w:val="single" w:sz="8" w:color="424E6A"/>
            </w:tcBorders>
            <w:gridSpan w:val="2"/>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424E6A"/>
            </w:tcBorders>
            <w:gridSpan w:val="2"/>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24E6A"/>
            </w:tcBorders>
          </w:tcPr>
          <w:p>
            <w:pPr>
              <w:spacing w:after="0"/>
              <w:rPr>
                <w:sz w:val="21"/>
                <w:szCs w:val="21"/>
                <w:color w:val="auto"/>
              </w:rPr>
            </w:pPr>
          </w:p>
        </w:tc>
        <w:tc>
          <w:tcPr>
            <w:tcW w:w="1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tcPr>
          <w:p>
            <w:pPr>
              <w:spacing w:after="0"/>
              <w:rPr>
                <w:sz w:val="21"/>
                <w:szCs w:val="21"/>
                <w:color w:val="auto"/>
              </w:rPr>
            </w:pPr>
          </w:p>
        </w:tc>
        <w:tc>
          <w:tcPr>
            <w:tcW w:w="44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0</w:t>
            </w:r>
          </w:p>
        </w:tc>
        <w:tc>
          <w:tcPr>
            <w:tcW w:w="380" w:type="dxa"/>
            <w:vAlign w:val="bottom"/>
            <w:tcBorders>
              <w:bottom w:val="single" w:sz="8" w:color="424E6A"/>
            </w:tcBorders>
          </w:tcPr>
          <w:p>
            <w:pPr>
              <w:jc w:val="right"/>
              <w:ind w:right="36"/>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tcPr>
          <w:p>
            <w:pPr>
              <w:jc w:val="right"/>
              <w:ind w:right="10"/>
              <w:spacing w:after="0"/>
              <w:rPr>
                <w:sz w:val="20"/>
                <w:szCs w:val="20"/>
                <w:color w:val="auto"/>
              </w:rPr>
            </w:pPr>
            <w:r>
              <w:rPr>
                <w:rFonts w:ascii="Arial" w:cs="Arial" w:eastAsia="Arial" w:hAnsi="Arial"/>
                <w:sz w:val="18"/>
                <w:szCs w:val="18"/>
                <w:color w:val="auto"/>
                <w:w w:val="99"/>
              </w:rPr>
              <w:t>0%</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Borders>
              <w:bottom w:val="single" w:sz="8" w:color="424E6A"/>
            </w:tcBorders>
            <w:shd w:val="clear" w:color="auto" w:fill="424E6A"/>
          </w:tcPr>
          <w:p>
            <w:pPr>
              <w:spacing w:after="0"/>
              <w:rPr>
                <w:sz w:val="21"/>
                <w:szCs w:val="21"/>
                <w:color w:val="auto"/>
              </w:rPr>
            </w:pPr>
          </w:p>
        </w:tc>
        <w:tc>
          <w:tcPr>
            <w:tcW w:w="2600" w:type="dxa"/>
            <w:vAlign w:val="bottom"/>
            <w:tcBorders>
              <w:bottom w:val="single" w:sz="8" w:color="424E6A"/>
            </w:tcBorders>
            <w:gridSpan w:val="2"/>
            <w:shd w:val="clear" w:color="auto" w:fill="D9DCE1"/>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Company Performance Subtotal</w:t>
            </w:r>
          </w:p>
        </w:tc>
        <w:tc>
          <w:tcPr>
            <w:tcW w:w="2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ind w:left="100"/>
              <w:spacing w:after="0"/>
              <w:rPr>
                <w:sz w:val="20"/>
                <w:szCs w:val="20"/>
                <w:color w:val="auto"/>
              </w:rPr>
            </w:pPr>
            <w:r>
              <w:rPr>
                <w:rFonts w:ascii="Arial" w:cs="Arial" w:eastAsia="Arial" w:hAnsi="Arial"/>
                <w:sz w:val="18"/>
                <w:szCs w:val="18"/>
                <w:color w:val="auto"/>
              </w:rPr>
              <w:t>​   ​​​ ​</w:t>
            </w:r>
          </w:p>
        </w:tc>
        <w:tc>
          <w:tcPr>
            <w:tcW w:w="240" w:type="dxa"/>
            <w:vAlign w:val="bottom"/>
            <w:tcBorders>
              <w:bottom w:val="single" w:sz="8" w:color="424E6A"/>
            </w:tcBorders>
            <w:shd w:val="clear" w:color="auto" w:fill="D9DCE1"/>
          </w:tcPr>
          <w:p>
            <w:pPr>
              <w:spacing w:after="0"/>
              <w:rPr>
                <w:sz w:val="21"/>
                <w:szCs w:val="21"/>
                <w:color w:val="auto"/>
              </w:rPr>
            </w:pPr>
          </w:p>
        </w:tc>
        <w:tc>
          <w:tcPr>
            <w:tcW w:w="160" w:type="dxa"/>
            <w:vAlign w:val="bottom"/>
            <w:tcBorders>
              <w:bottom w:val="single" w:sz="8" w:color="424E6A"/>
            </w:tcBorders>
            <w:shd w:val="clear" w:color="auto" w:fill="D9DCE1"/>
          </w:tcPr>
          <w:p>
            <w:pPr>
              <w:spacing w:after="0"/>
              <w:rPr>
                <w:sz w:val="21"/>
                <w:szCs w:val="21"/>
                <w:color w:val="auto"/>
              </w:rPr>
            </w:pPr>
          </w:p>
        </w:tc>
        <w:tc>
          <w:tcPr>
            <w:tcW w:w="4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shd w:val="clear" w:color="auto" w:fill="D9DCE1"/>
          </w:tcPr>
          <w:p>
            <w:pPr>
              <w:spacing w:after="0"/>
              <w:rPr>
                <w:sz w:val="21"/>
                <w:szCs w:val="21"/>
                <w:color w:val="auto"/>
              </w:rPr>
            </w:pPr>
          </w:p>
        </w:tc>
        <w:tc>
          <w:tcPr>
            <w:tcW w:w="200" w:type="dxa"/>
            <w:vAlign w:val="bottom"/>
            <w:tcBorders>
              <w:bottom w:val="single" w:sz="8" w:color="424E6A"/>
            </w:tcBorders>
            <w:gridSpan w:val="2"/>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24E6A"/>
            </w:tcBorders>
            <w:shd w:val="clear" w:color="auto" w:fill="D9DCE1"/>
          </w:tcPr>
          <w:p>
            <w:pPr>
              <w:spacing w:after="0"/>
              <w:rPr>
                <w:sz w:val="21"/>
                <w:szCs w:val="21"/>
                <w:color w:val="auto"/>
              </w:rPr>
            </w:pPr>
          </w:p>
        </w:tc>
        <w:tc>
          <w:tcPr>
            <w:tcW w:w="160" w:type="dxa"/>
            <w:vAlign w:val="bottom"/>
            <w:tcBorders>
              <w:bottom w:val="single" w:sz="8" w:color="424E6A"/>
            </w:tcBorders>
            <w:shd w:val="clear" w:color="auto" w:fill="D9DCE1"/>
          </w:tcPr>
          <w:p>
            <w:pPr>
              <w:spacing w:after="0"/>
              <w:rPr>
                <w:sz w:val="21"/>
                <w:szCs w:val="21"/>
                <w:color w:val="auto"/>
              </w:rPr>
            </w:pPr>
          </w:p>
        </w:tc>
        <w:tc>
          <w:tcPr>
            <w:tcW w:w="18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spacing w:after="0"/>
              <w:rPr>
                <w:sz w:val="21"/>
                <w:szCs w:val="21"/>
                <w:color w:val="auto"/>
              </w:rPr>
            </w:pPr>
          </w:p>
        </w:tc>
        <w:tc>
          <w:tcPr>
            <w:tcW w:w="440" w:type="dxa"/>
            <w:vAlign w:val="bottom"/>
            <w:tcBorders>
              <w:bottom w:val="single" w:sz="8" w:color="424E6A"/>
            </w:tcBorders>
            <w:shd w:val="clear" w:color="auto" w:fill="D9DCE1"/>
          </w:tcPr>
          <w:p>
            <w:pPr>
              <w:spacing w:after="0"/>
              <w:rPr>
                <w:sz w:val="21"/>
                <w:szCs w:val="21"/>
                <w:color w:val="auto"/>
              </w:rPr>
            </w:pPr>
          </w:p>
        </w:tc>
        <w:tc>
          <w:tcPr>
            <w:tcW w:w="180" w:type="dxa"/>
            <w:vAlign w:val="bottom"/>
            <w:tcBorders>
              <w:bottom w:val="single" w:sz="8" w:color="424E6A"/>
            </w:tcBorders>
            <w:gridSpan w:val="2"/>
            <w:shd w:val="clear" w:color="auto" w:fill="D9DCE1"/>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424E6A"/>
            </w:tcBorders>
            <w:shd w:val="clear" w:color="auto" w:fill="D9DCE1"/>
          </w:tcPr>
          <w:p>
            <w:pPr>
              <w:jc w:val="right"/>
              <w:ind w:right="176"/>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shd w:val="clear" w:color="auto" w:fill="D9DCE1"/>
          </w:tcPr>
          <w:p>
            <w:pPr>
              <w:jc w:val="right"/>
              <w:ind w:right="36"/>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424E6A"/>
            </w:tcBorders>
            <w:gridSpan w:val="2"/>
            <w:shd w:val="clear" w:color="auto" w:fill="D9DCE1"/>
          </w:tcPr>
          <w:p>
            <w:pPr>
              <w:jc w:val="right"/>
              <w:ind w:right="1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131%</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-1388110</wp:posOffset>
            </wp:positionV>
            <wp:extent cx="3429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150" w:lineRule="exact"/>
        <w:rPr>
          <w:sz w:val="20"/>
          <w:szCs w:val="20"/>
          <w:color w:val="auto"/>
        </w:rPr>
      </w:pPr>
    </w:p>
    <w:p>
      <w:pPr>
        <w:ind w:left="1620" w:right="679" w:hanging="360"/>
        <w:spacing w:after="0" w:line="222"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For purposes of the 2023 annual bonus calculation, Adjusted EBITDA and DCF/CUE were adjusted downward to $2.684 billion and $2.43, respectively, to remove the impact of unplanned interest income.</w:t>
      </w:r>
    </w:p>
    <w:p>
      <w:pPr>
        <w:spacing w:after="0" w:line="72" w:lineRule="exact"/>
        <w:rPr>
          <w:rFonts w:ascii="Arial" w:cs="Arial" w:eastAsia="Arial" w:hAnsi="Arial"/>
          <w:sz w:val="27"/>
          <w:szCs w:val="27"/>
          <w:color w:val="auto"/>
          <w:vertAlign w:val="superscript"/>
        </w:rPr>
      </w:pPr>
    </w:p>
    <w:p>
      <w:pPr>
        <w:ind w:left="1620" w:right="659" w:hanging="360"/>
        <w:spacing w:after="0" w:line="222" w:lineRule="auto"/>
        <w:tabs>
          <w:tab w:leader="none" w:pos="1620" w:val="left"/>
        </w:tabs>
        <w:numPr>
          <w:ilvl w:val="0"/>
          <w:numId w:val="52"/>
        </w:numPr>
        <w:rPr>
          <w:rFonts w:ascii="Arial" w:cs="Arial" w:eastAsia="Arial" w:hAnsi="Arial"/>
          <w:sz w:val="27"/>
          <w:szCs w:val="27"/>
          <w:color w:val="auto"/>
          <w:vertAlign w:val="superscript"/>
        </w:rPr>
      </w:pPr>
      <w:r>
        <w:rPr>
          <w:rFonts w:ascii="Arial" w:cs="Arial" w:eastAsia="Arial" w:hAnsi="Arial"/>
          <w:sz w:val="18"/>
          <w:szCs w:val="18"/>
          <w:color w:val="auto"/>
        </w:rPr>
        <w:t>The Committee approved a 50% discretionary payout for the TRIR metric given that 2023 TRIR would have been 0.23 (same level as 2022) if non-preventable incidents were excluded and that injury severity/lost workdays were down relative to 2022.</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Individual Performance (40% weight)</w:t>
      </w:r>
    </w:p>
    <w:p>
      <w:pPr>
        <w:spacing w:after="0" w:line="142" w:lineRule="exact"/>
        <w:rPr>
          <w:sz w:val="20"/>
          <w:szCs w:val="20"/>
          <w:color w:val="auto"/>
        </w:rPr>
      </w:pPr>
    </w:p>
    <w:p>
      <w:pPr>
        <w:ind w:left="1260" w:right="539" w:firstLine="360"/>
        <w:spacing w:after="0" w:line="267" w:lineRule="auto"/>
        <w:rPr>
          <w:sz w:val="20"/>
          <w:szCs w:val="20"/>
          <w:color w:val="auto"/>
        </w:rPr>
      </w:pPr>
      <w:r>
        <w:rPr>
          <w:rFonts w:ascii="Arial" w:cs="Arial" w:eastAsia="Arial" w:hAnsi="Arial"/>
          <w:sz w:val="18"/>
          <w:szCs w:val="18"/>
          <w:color w:val="auto"/>
        </w:rPr>
        <w:t>As noted above, individual performance accounts for 40% of the annual bonus opportunity for our Named Executive Officers. Each officer’s individual contributions toward satisfaction of company goals and objectives is evaluated and payouts may range from 0-200% of target. During 2023, the executive leadership team executed well in an uncertain and volatile environment allowing Plains to successfully capture multiple upsides in the business and deliver results that exceeded plan. The individual payout scores for our NEOs for 2023 are set forth in the table below and take these factors into account, together with the specific items described for each NEO in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65"/>
        </w:trPr>
        <w:tc>
          <w:tcPr>
            <w:tcW w:w="1460" w:type="dxa"/>
            <w:vAlign w:val="bottom"/>
            <w:tcBorders>
              <w:top w:val="single" w:sz="8" w:color="auto"/>
              <w:left w:val="single" w:sz="8" w:color="auto"/>
              <w:right w:val="single" w:sz="8" w:color="424E6A"/>
            </w:tcBorders>
            <w:vMerge w:val="restart"/>
            <w:shd w:val="clear" w:color="auto" w:fill="424E6A"/>
          </w:tcPr>
          <w:p>
            <w:pPr>
              <w:ind w:left="60"/>
              <w:spacing w:after="0"/>
              <w:rPr>
                <w:sz w:val="20"/>
                <w:szCs w:val="20"/>
                <w:color w:val="auto"/>
              </w:rPr>
            </w:pPr>
            <w:r>
              <w:rPr>
                <w:rFonts w:ascii="Arial" w:cs="Arial" w:eastAsia="Arial" w:hAnsi="Arial"/>
                <w:sz w:val="35"/>
                <w:szCs w:val="35"/>
                <w:b w:val="1"/>
                <w:bCs w:val="1"/>
                <w:color w:val="FFFFFF"/>
                <w:vertAlign w:val="subscript"/>
              </w:rPr>
              <w:t>​</w:t>
            </w:r>
            <w:r>
              <w:rPr>
                <w:rFonts w:ascii="Arial" w:cs="Arial" w:eastAsia="Arial" w:hAnsi="Arial"/>
                <w:sz w:val="18"/>
                <w:szCs w:val="18"/>
                <w:b w:val="1"/>
                <w:bCs w:val="1"/>
                <w:color w:val="FFFFFF"/>
              </w:rPr>
              <w:t>Name</w:t>
            </w:r>
          </w:p>
        </w:tc>
        <w:tc>
          <w:tcPr>
            <w:tcW w:w="200" w:type="dxa"/>
            <w:vAlign w:val="bottom"/>
            <w:tcBorders>
              <w:top w:val="single" w:sz="8" w:color="auto"/>
            </w:tcBorders>
            <w:shd w:val="clear" w:color="auto" w:fill="424E6A"/>
          </w:tcPr>
          <w:p>
            <w:pPr>
              <w:spacing w:after="0"/>
              <w:rPr>
                <w:sz w:val="23"/>
                <w:szCs w:val="23"/>
                <w:color w:val="auto"/>
              </w:rPr>
            </w:pPr>
          </w:p>
        </w:tc>
        <w:tc>
          <w:tcPr>
            <w:tcW w:w="5700" w:type="dxa"/>
            <w:vAlign w:val="bottom"/>
            <w:tcBorders>
              <w:top w:val="single" w:sz="8" w:color="auto"/>
              <w:right w:val="single" w:sz="8" w:color="424E6A"/>
            </w:tcBorders>
            <w:shd w:val="clear" w:color="auto" w:fill="424E6A"/>
          </w:tcPr>
          <w:p>
            <w:pPr>
              <w:spacing w:after="0"/>
              <w:rPr>
                <w:sz w:val="23"/>
                <w:szCs w:val="23"/>
                <w:color w:val="auto"/>
              </w:rPr>
            </w:pPr>
          </w:p>
        </w:tc>
        <w:tc>
          <w:tcPr>
            <w:tcW w:w="860" w:type="dxa"/>
            <w:vAlign w:val="bottom"/>
            <w:tcBorders>
              <w:top w:val="single" w:sz="8" w:color="auto"/>
              <w:right w:val="single" w:sz="8" w:color="auto"/>
            </w:tcBorders>
            <w:shd w:val="clear" w:color="auto" w:fill="424E6A"/>
          </w:tcPr>
          <w:p>
            <w:pPr>
              <w:ind w:left="80"/>
              <w:spacing w:after="0"/>
              <w:rPr>
                <w:sz w:val="20"/>
                <w:szCs w:val="20"/>
                <w:color w:val="auto"/>
              </w:rPr>
            </w:pPr>
            <w:r>
              <w:rPr>
                <w:rFonts w:ascii="Arial" w:cs="Arial" w:eastAsia="Arial" w:hAnsi="Arial"/>
                <w:sz w:val="18"/>
                <w:szCs w:val="18"/>
                <w:b w:val="1"/>
                <w:bCs w:val="1"/>
                <w:color w:val="FFFFFF"/>
              </w:rPr>
              <w:t>Payout</w:t>
            </w:r>
          </w:p>
        </w:tc>
        <w:tc>
          <w:tcPr>
            <w:tcW w:w="0" w:type="dxa"/>
            <w:vAlign w:val="bottom"/>
          </w:tcPr>
          <w:p>
            <w:pPr>
              <w:spacing w:after="0"/>
              <w:rPr>
                <w:sz w:val="1"/>
                <w:szCs w:val="1"/>
                <w:color w:val="auto"/>
              </w:rPr>
            </w:pPr>
          </w:p>
        </w:tc>
      </w:tr>
      <w:tr>
        <w:trPr>
          <w:trHeight w:val="248"/>
        </w:trPr>
        <w:tc>
          <w:tcPr>
            <w:tcW w:w="1460" w:type="dxa"/>
            <w:vAlign w:val="bottom"/>
            <w:tcBorders>
              <w:left w:val="single" w:sz="8" w:color="auto"/>
              <w:bottom w:val="single" w:sz="8" w:color="auto"/>
              <w:right w:val="single" w:sz="8" w:color="424E6A"/>
            </w:tcBorders>
            <w:vMerge w:val="continue"/>
            <w:shd w:val="clear" w:color="auto" w:fill="424E6A"/>
          </w:tcPr>
          <w:p>
            <w:pPr>
              <w:spacing w:after="0"/>
              <w:rPr>
                <w:sz w:val="21"/>
                <w:szCs w:val="21"/>
                <w:color w:val="auto"/>
              </w:rPr>
            </w:pPr>
          </w:p>
        </w:tc>
        <w:tc>
          <w:tcPr>
            <w:tcW w:w="200" w:type="dxa"/>
            <w:vAlign w:val="bottom"/>
            <w:tcBorders>
              <w:bottom w:val="single" w:sz="8" w:color="auto"/>
            </w:tcBorders>
            <w:shd w:val="clear" w:color="auto" w:fill="424E6A"/>
          </w:tcPr>
          <w:p>
            <w:pPr>
              <w:spacing w:after="0"/>
              <w:rPr>
                <w:sz w:val="21"/>
                <w:szCs w:val="21"/>
                <w:color w:val="auto"/>
              </w:rPr>
            </w:pPr>
          </w:p>
        </w:tc>
        <w:tc>
          <w:tcPr>
            <w:tcW w:w="5700" w:type="dxa"/>
            <w:vAlign w:val="bottom"/>
            <w:tcBorders>
              <w:bottom w:val="single" w:sz="8" w:color="auto"/>
              <w:right w:val="single" w:sz="8" w:color="424E6A"/>
            </w:tcBorders>
            <w:shd w:val="clear" w:color="auto" w:fill="424E6A"/>
          </w:tcPr>
          <w:p>
            <w:pPr>
              <w:ind w:left="1280"/>
              <w:spacing w:after="0"/>
              <w:rPr>
                <w:sz w:val="20"/>
                <w:szCs w:val="20"/>
                <w:color w:val="auto"/>
              </w:rPr>
            </w:pPr>
            <w:r>
              <w:rPr>
                <w:rFonts w:ascii="Arial" w:cs="Arial" w:eastAsia="Arial" w:hAnsi="Arial"/>
                <w:sz w:val="18"/>
                <w:szCs w:val="18"/>
                <w:b w:val="1"/>
                <w:bCs w:val="1"/>
                <w:color w:val="FFFFFF"/>
              </w:rPr>
              <w:t>Individual Performance Highlights</w:t>
            </w:r>
          </w:p>
        </w:tc>
        <w:tc>
          <w:tcPr>
            <w:tcW w:w="860" w:type="dxa"/>
            <w:vAlign w:val="bottom"/>
            <w:tcBorders>
              <w:bottom w:val="single" w:sz="8" w:color="auto"/>
              <w:right w:val="single" w:sz="8" w:color="auto"/>
            </w:tcBorders>
            <w:shd w:val="clear" w:color="auto" w:fill="424E6A"/>
          </w:tcPr>
          <w:p>
            <w:pPr>
              <w:ind w:left="140"/>
              <w:spacing w:after="0"/>
              <w:rPr>
                <w:sz w:val="20"/>
                <w:szCs w:val="20"/>
                <w:color w:val="auto"/>
              </w:rPr>
            </w:pPr>
            <w:r>
              <w:rPr>
                <w:rFonts w:ascii="Arial" w:cs="Arial" w:eastAsia="Arial" w:hAnsi="Arial"/>
                <w:sz w:val="18"/>
                <w:szCs w:val="18"/>
                <w:b w:val="1"/>
                <w:bCs w:val="1"/>
                <w:color w:val="FFFFFF"/>
              </w:rPr>
              <w:t>Score</w:t>
            </w:r>
          </w:p>
        </w:tc>
        <w:tc>
          <w:tcPr>
            <w:tcW w:w="0" w:type="dxa"/>
            <w:vAlign w:val="bottom"/>
          </w:tcPr>
          <w:p>
            <w:pPr>
              <w:spacing w:after="0"/>
              <w:rPr>
                <w:sz w:val="1"/>
                <w:szCs w:val="1"/>
                <w:color w:val="auto"/>
              </w:rPr>
            </w:pPr>
          </w:p>
        </w:tc>
      </w:tr>
      <w:tr>
        <w:trPr>
          <w:trHeight w:val="201"/>
        </w:trPr>
        <w:tc>
          <w:tcPr>
            <w:tcW w:w="1460" w:type="dxa"/>
            <w:vAlign w:val="bottom"/>
            <w:tcBorders>
              <w:left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7"/>
                <w:szCs w:val="17"/>
                <w:color w:val="auto"/>
              </w:rPr>
              <w:t>Willie Chiang</w:t>
            </w:r>
          </w:p>
        </w:tc>
        <w:tc>
          <w:tcPr>
            <w:tcW w:w="200" w:type="dxa"/>
            <w:vAlign w:val="bottom"/>
            <w:shd w:val="clear" w:color="auto" w:fill="D9DCE1"/>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Overall leadership, culture and tone setting</w:t>
            </w:r>
          </w:p>
        </w:tc>
        <w:tc>
          <w:tcPr>
            <w:tcW w:w="860" w:type="dxa"/>
            <w:vAlign w:val="bottom"/>
            <w:tcBorders>
              <w:right w:val="single" w:sz="8" w:color="auto"/>
            </w:tcBorders>
            <w:shd w:val="clear" w:color="auto" w:fill="D9DCE1"/>
          </w:tcPr>
          <w:p>
            <w:pPr>
              <w:jc w:val="center"/>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Investor and rating agency engagement/messaging, capital allocation,</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ESG/sustainability</w:t>
            </w:r>
          </w:p>
        </w:tc>
        <w:tc>
          <w:tcPr>
            <w:tcW w:w="860" w:type="dxa"/>
            <w:vAlign w:val="bottom"/>
            <w:tcBorders>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Led strategic positioning for 2024+</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bottom w:val="single" w:sz="8" w:color="auto"/>
              <w:right w:val="single" w:sz="8" w:color="auto"/>
            </w:tcBorders>
            <w:shd w:val="clear" w:color="auto" w:fill="D9DCE1"/>
          </w:tcPr>
          <w:p>
            <w:pPr>
              <w:spacing w:after="0"/>
              <w:rPr>
                <w:sz w:val="19"/>
                <w:szCs w:val="19"/>
                <w:color w:val="auto"/>
              </w:rPr>
            </w:pPr>
          </w:p>
        </w:tc>
        <w:tc>
          <w:tcPr>
            <w:tcW w:w="5900" w:type="dxa"/>
            <w:vAlign w:val="bottom"/>
            <w:tcBorders>
              <w:bottom w:val="single" w:sz="8" w:color="auto"/>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Ongoing Board initiatives, leadership development/succession</w:t>
            </w:r>
          </w:p>
        </w:tc>
        <w:tc>
          <w:tcPr>
            <w:tcW w:w="860" w:type="dxa"/>
            <w:vAlign w:val="bottom"/>
            <w:tcBorders>
              <w:bottom w:val="single" w:sz="8" w:color="auto"/>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Harry Pefanis</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Significant role in key strategic decisions/initiatives</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9"/>
              </w:rPr>
              <w:t>100%*</w:t>
            </w:r>
          </w:p>
        </w:tc>
        <w:tc>
          <w:tcPr>
            <w:tcW w:w="0" w:type="dxa"/>
            <w:vAlign w:val="bottom"/>
          </w:tcPr>
          <w:p>
            <w:pPr>
              <w:spacing w:after="0"/>
              <w:rPr>
                <w:sz w:val="1"/>
                <w:szCs w:val="1"/>
                <w:color w:val="auto"/>
              </w:rPr>
            </w:pPr>
          </w:p>
        </w:tc>
      </w:tr>
      <w:tr>
        <w:trPr>
          <w:trHeight w:val="176"/>
        </w:trPr>
        <w:tc>
          <w:tcPr>
            <w:tcW w:w="1460" w:type="dxa"/>
            <w:vAlign w:val="bottom"/>
            <w:tcBorders>
              <w:left w:val="single" w:sz="8" w:color="auto"/>
              <w:right w:val="single" w:sz="8" w:color="auto"/>
            </w:tcBorders>
          </w:tcPr>
          <w:p>
            <w:pPr>
              <w:spacing w:after="0"/>
              <w:rPr>
                <w:sz w:val="15"/>
                <w:szCs w:val="15"/>
                <w:color w:val="auto"/>
              </w:rPr>
            </w:pPr>
          </w:p>
        </w:tc>
        <w:tc>
          <w:tcPr>
            <w:tcW w:w="5900" w:type="dxa"/>
            <w:vAlign w:val="bottom"/>
            <w:tcBorders>
              <w:right w:val="single" w:sz="8" w:color="auto"/>
            </w:tcBorders>
            <w:gridSpan w:val="2"/>
          </w:tcPr>
          <w:p>
            <w:pPr>
              <w:ind w:left="80"/>
              <w:spacing w:after="0" w:line="176" w:lineRule="exact"/>
              <w:rPr>
                <w:sz w:val="20"/>
                <w:szCs w:val="20"/>
                <w:color w:val="auto"/>
              </w:rPr>
            </w:pPr>
            <w:r>
              <w:rPr>
                <w:rFonts w:ascii="Arial" w:cs="Arial" w:eastAsia="Arial" w:hAnsi="Arial"/>
                <w:sz w:val="17"/>
                <w:szCs w:val="17"/>
                <w:color w:val="auto"/>
              </w:rPr>
              <w:t>• Leadership of long-term efficiency initiative</w:t>
            </w: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Mentored/developed key individuals and provided strategic/tactical advice</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on commercial matters</w:t>
            </w: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Strategic positioning for 2024+</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59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 Develop/maintain/enhance major commercial relationships</w:t>
            </w: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7"/>
                <w:szCs w:val="17"/>
                <w:color w:val="auto"/>
              </w:rPr>
              <w:t>Al Swanson</w:t>
            </w:r>
          </w:p>
        </w:tc>
        <w:tc>
          <w:tcPr>
            <w:tcW w:w="200" w:type="dxa"/>
            <w:vAlign w:val="bottom"/>
            <w:shd w:val="clear" w:color="auto" w:fill="D9DCE1"/>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Finance group leadership in volatile environment</w:t>
            </w:r>
          </w:p>
        </w:tc>
        <w:tc>
          <w:tcPr>
            <w:tcW w:w="860" w:type="dxa"/>
            <w:vAlign w:val="bottom"/>
            <w:tcBorders>
              <w:right w:val="single" w:sz="8" w:color="auto"/>
            </w:tcBorders>
            <w:shd w:val="clear" w:color="auto" w:fill="D9DCE1"/>
          </w:tcPr>
          <w:p>
            <w:pPr>
              <w:jc w:val="center"/>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Driver of organizational focus on maximizing free cash flow and</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200" w:type="dxa"/>
            <w:vAlign w:val="bottom"/>
            <w:shd w:val="clear" w:color="auto" w:fill="D9DCE1"/>
          </w:tcPr>
          <w:p>
            <w:pPr>
              <w:spacing w:after="0"/>
              <w:rPr>
                <w:sz w:val="17"/>
                <w:szCs w:val="17"/>
                <w:color w:val="auto"/>
              </w:rPr>
            </w:pP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maintaining capital discipline, financial flexibility and ample committed</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liquidity</w:t>
            </w:r>
          </w:p>
        </w:tc>
        <w:tc>
          <w:tcPr>
            <w:tcW w:w="860" w:type="dxa"/>
            <w:vAlign w:val="bottom"/>
            <w:tcBorders>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Key role in developing financial strategy for 2024+</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Key role in driving updated capital allocation framework/leverage targets</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460" w:type="dxa"/>
            <w:vAlign w:val="bottom"/>
            <w:tcBorders>
              <w:left w:val="single" w:sz="8" w:color="auto"/>
              <w:bottom w:val="single" w:sz="8" w:color="auto"/>
              <w:right w:val="single" w:sz="8" w:color="auto"/>
            </w:tcBorders>
            <w:shd w:val="clear" w:color="auto" w:fill="D9DCE1"/>
          </w:tcPr>
          <w:p>
            <w:pPr>
              <w:spacing w:after="0"/>
              <w:rPr>
                <w:sz w:val="20"/>
                <w:szCs w:val="20"/>
                <w:color w:val="auto"/>
              </w:rPr>
            </w:pPr>
          </w:p>
        </w:tc>
        <w:tc>
          <w:tcPr>
            <w:tcW w:w="5900" w:type="dxa"/>
            <w:vAlign w:val="bottom"/>
            <w:tcBorders>
              <w:bottom w:val="single" w:sz="8" w:color="auto"/>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Facilitated effort to improve credit ratings</w:t>
            </w:r>
          </w:p>
        </w:tc>
        <w:tc>
          <w:tcPr>
            <w:tcW w:w="860" w:type="dxa"/>
            <w:vAlign w:val="bottom"/>
            <w:tcBorders>
              <w:bottom w:val="single" w:sz="8" w:color="auto"/>
              <w:right w:val="single" w:sz="8" w:color="auto"/>
            </w:tcBorders>
            <w:shd w:val="clear" w:color="auto" w:fill="D9DCE1"/>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Richard McGee</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Legal/Land and HR group oversight/leadership during very active year</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Leadership/oversight of legal efforts in support of key acquisition,</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divestiture, JV and other transactions and key commercial arrangements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Oversight of effort to manage/mitigate Line 901 and other litigation</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exposure and advance positioning for resolution</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Key role in investor engagement effort and various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Board/governance/HR/​compensation initiatives</w:t>
            </w: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60" w:type="dxa"/>
            <w:vAlign w:val="bottom"/>
            <w:tcBorders>
              <w:left w:val="single" w:sz="8" w:color="auto"/>
              <w:right w:val="single" w:sz="8" w:color="auto"/>
            </w:tcBorders>
            <w:shd w:val="clear" w:color="auto" w:fill="D9DCE1"/>
          </w:tcPr>
          <w:p>
            <w:pPr>
              <w:ind w:left="100"/>
              <w:spacing w:after="0"/>
              <w:rPr>
                <w:sz w:val="20"/>
                <w:szCs w:val="20"/>
                <w:color w:val="auto"/>
              </w:rPr>
            </w:pPr>
            <w:r>
              <w:rPr>
                <w:rFonts w:ascii="Arial" w:cs="Arial" w:eastAsia="Arial" w:hAnsi="Arial"/>
                <w:sz w:val="17"/>
                <w:szCs w:val="17"/>
                <w:color w:val="auto"/>
              </w:rPr>
              <w:t>Chris Chandler</w:t>
            </w:r>
          </w:p>
        </w:tc>
        <w:tc>
          <w:tcPr>
            <w:tcW w:w="200" w:type="dxa"/>
            <w:vAlign w:val="bottom"/>
            <w:shd w:val="clear" w:color="auto" w:fill="D9DCE1"/>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Drive operating excellence and continued multi-year trend of HSE and</w:t>
            </w:r>
          </w:p>
        </w:tc>
        <w:tc>
          <w:tcPr>
            <w:tcW w:w="860" w:type="dxa"/>
            <w:vAlign w:val="bottom"/>
            <w:tcBorders>
              <w:right w:val="single" w:sz="8" w:color="auto"/>
            </w:tcBorders>
            <w:shd w:val="clear" w:color="auto" w:fill="D9DCE1"/>
          </w:tcPr>
          <w:p>
            <w:pPr>
              <w:jc w:val="center"/>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200" w:type="dxa"/>
            <w:vAlign w:val="bottom"/>
            <w:shd w:val="clear" w:color="auto" w:fill="D9DCE1"/>
          </w:tcPr>
          <w:p>
            <w:pPr>
              <w:spacing w:after="0"/>
              <w:rPr>
                <w:sz w:val="18"/>
                <w:szCs w:val="18"/>
                <w:color w:val="auto"/>
              </w:rPr>
            </w:pP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reliability improvements</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Operational reliability and successful capital program to capture Permian</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growth</w:t>
            </w:r>
          </w:p>
        </w:tc>
        <w:tc>
          <w:tcPr>
            <w:tcW w:w="860" w:type="dxa"/>
            <w:vAlign w:val="bottom"/>
            <w:tcBorders>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60" w:type="dxa"/>
            <w:vAlign w:val="bottom"/>
            <w:tcBorders>
              <w:left w:val="single" w:sz="8" w:color="auto"/>
              <w:right w:val="single" w:sz="8" w:color="auto"/>
            </w:tcBorders>
            <w:shd w:val="clear" w:color="auto" w:fill="D9DCE1"/>
          </w:tcPr>
          <w:p>
            <w:pPr>
              <w:spacing w:after="0"/>
              <w:rPr>
                <w:sz w:val="15"/>
                <w:szCs w:val="15"/>
                <w:color w:val="auto"/>
              </w:rPr>
            </w:pPr>
          </w:p>
        </w:tc>
        <w:tc>
          <w:tcPr>
            <w:tcW w:w="200" w:type="dxa"/>
            <w:vAlign w:val="bottom"/>
            <w:shd w:val="clear" w:color="auto" w:fill="D9DCE1"/>
          </w:tcPr>
          <w:p>
            <w:pPr>
              <w:ind w:left="80"/>
              <w:spacing w:after="0" w:line="180" w:lineRule="exact"/>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shd w:val="clear" w:color="auto" w:fill="D9DCE1"/>
          </w:tcPr>
          <w:p>
            <w:pPr>
              <w:ind w:left="40"/>
              <w:spacing w:after="0" w:line="180" w:lineRule="exact"/>
              <w:rPr>
                <w:sz w:val="20"/>
                <w:szCs w:val="20"/>
                <w:color w:val="auto"/>
              </w:rPr>
            </w:pPr>
            <w:r>
              <w:rPr>
                <w:rFonts w:ascii="Arial" w:cs="Arial" w:eastAsia="Arial" w:hAnsi="Arial"/>
                <w:sz w:val="17"/>
                <w:szCs w:val="17"/>
                <w:color w:val="auto"/>
              </w:rPr>
              <w:t>Record operations personal and process safety performance</w:t>
            </w:r>
          </w:p>
        </w:tc>
        <w:tc>
          <w:tcPr>
            <w:tcW w:w="860" w:type="dxa"/>
            <w:vAlign w:val="bottom"/>
            <w:tcBorders>
              <w:right w:val="single" w:sz="8" w:color="auto"/>
            </w:tcBorders>
            <w:shd w:val="clear" w:color="auto" w:fill="D9DCE1"/>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200" w:type="dxa"/>
            <w:vAlign w:val="bottom"/>
            <w:shd w:val="clear" w:color="auto" w:fill="D9DCE1"/>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Strong NGL operations performance to capture NGL production and</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shd w:val="clear" w:color="auto" w:fill="D9DCE1"/>
          </w:tcPr>
          <w:p>
            <w:pPr>
              <w:spacing w:after="0"/>
              <w:rPr>
                <w:sz w:val="19"/>
                <w:szCs w:val="19"/>
                <w:color w:val="auto"/>
              </w:rPr>
            </w:pPr>
          </w:p>
        </w:tc>
        <w:tc>
          <w:tcPr>
            <w:tcW w:w="200" w:type="dxa"/>
            <w:vAlign w:val="bottom"/>
            <w:shd w:val="clear" w:color="auto" w:fill="D9DCE1"/>
          </w:tcPr>
          <w:p>
            <w:pPr>
              <w:spacing w:after="0"/>
              <w:rPr>
                <w:sz w:val="19"/>
                <w:szCs w:val="19"/>
                <w:color w:val="auto"/>
              </w:rPr>
            </w:pP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border flows in Canada</w:t>
            </w:r>
          </w:p>
        </w:tc>
        <w:tc>
          <w:tcPr>
            <w:tcW w:w="860" w:type="dxa"/>
            <w:vAlign w:val="bottom"/>
            <w:tcBorders>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Optimization of Empress complex to improve margin, efficiency and yield</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shd w:val="clear" w:color="auto" w:fill="D9DCE1"/>
          </w:tcPr>
          <w:p>
            <w:pPr>
              <w:spacing w:after="0"/>
              <w:rPr>
                <w:sz w:val="17"/>
                <w:szCs w:val="17"/>
                <w:color w:val="auto"/>
              </w:rPr>
            </w:pPr>
          </w:p>
        </w:tc>
        <w:tc>
          <w:tcPr>
            <w:tcW w:w="5900" w:type="dxa"/>
            <w:vAlign w:val="bottom"/>
            <w:tcBorders>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Operations integration of three Permian acquisitions</w:t>
            </w:r>
          </w:p>
        </w:tc>
        <w:tc>
          <w:tcPr>
            <w:tcW w:w="860" w:type="dxa"/>
            <w:vAlign w:val="bottom"/>
            <w:tcBorders>
              <w:right w:val="single" w:sz="8" w:color="auto"/>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shd w:val="clear" w:color="auto" w:fill="D9DCE1"/>
          </w:tcPr>
          <w:p>
            <w:pPr>
              <w:spacing w:after="0"/>
              <w:rPr>
                <w:sz w:val="18"/>
                <w:szCs w:val="18"/>
                <w:color w:val="auto"/>
              </w:rPr>
            </w:pPr>
          </w:p>
        </w:tc>
        <w:tc>
          <w:tcPr>
            <w:tcW w:w="200" w:type="dxa"/>
            <w:vAlign w:val="bottom"/>
            <w:shd w:val="clear" w:color="auto" w:fill="D9DCE1"/>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shd w:val="clear" w:color="auto" w:fill="D9DCE1"/>
          </w:tcPr>
          <w:p>
            <w:pPr>
              <w:ind w:left="40"/>
              <w:spacing w:after="0"/>
              <w:rPr>
                <w:sz w:val="20"/>
                <w:szCs w:val="20"/>
                <w:color w:val="auto"/>
              </w:rPr>
            </w:pPr>
            <w:r>
              <w:rPr>
                <w:rFonts w:ascii="Arial" w:cs="Arial" w:eastAsia="Arial" w:hAnsi="Arial"/>
                <w:sz w:val="17"/>
                <w:szCs w:val="17"/>
                <w:color w:val="auto"/>
              </w:rPr>
              <w:t>Development and sanctioning of PFS Phase 1 Project</w:t>
            </w:r>
          </w:p>
        </w:tc>
        <w:tc>
          <w:tcPr>
            <w:tcW w:w="860" w:type="dxa"/>
            <w:vAlign w:val="bottom"/>
            <w:tcBorders>
              <w:right w:val="single" w:sz="8" w:color="auto"/>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bottom w:val="single" w:sz="8" w:color="auto"/>
              <w:right w:val="single" w:sz="8" w:color="auto"/>
            </w:tcBorders>
            <w:shd w:val="clear" w:color="auto" w:fill="D9DCE1"/>
          </w:tcPr>
          <w:p>
            <w:pPr>
              <w:spacing w:after="0"/>
              <w:rPr>
                <w:sz w:val="19"/>
                <w:szCs w:val="19"/>
                <w:color w:val="auto"/>
              </w:rPr>
            </w:pPr>
          </w:p>
        </w:tc>
        <w:tc>
          <w:tcPr>
            <w:tcW w:w="5900" w:type="dxa"/>
            <w:vAlign w:val="bottom"/>
            <w:tcBorders>
              <w:bottom w:val="single" w:sz="8" w:color="auto"/>
              <w:right w:val="single" w:sz="8" w:color="auto"/>
            </w:tcBorders>
            <w:gridSpan w:val="2"/>
            <w:shd w:val="clear" w:color="auto" w:fill="D9DCE1"/>
          </w:tcPr>
          <w:p>
            <w:pPr>
              <w:ind w:left="80"/>
              <w:spacing w:after="0"/>
              <w:rPr>
                <w:sz w:val="20"/>
                <w:szCs w:val="20"/>
                <w:color w:val="auto"/>
              </w:rPr>
            </w:pPr>
            <w:r>
              <w:rPr>
                <w:rFonts w:ascii="Arial" w:cs="Arial" w:eastAsia="Arial" w:hAnsi="Arial"/>
                <w:sz w:val="17"/>
                <w:szCs w:val="17"/>
                <w:color w:val="auto"/>
              </w:rPr>
              <w:t>• Timely completion of Plains executed scope of Wink to Webster project</w:t>
            </w:r>
          </w:p>
        </w:tc>
        <w:tc>
          <w:tcPr>
            <w:tcW w:w="860" w:type="dxa"/>
            <w:vAlign w:val="bottom"/>
            <w:tcBorders>
              <w:bottom w:val="single" w:sz="8" w:color="auto"/>
              <w:right w:val="single" w:sz="8" w:color="auto"/>
            </w:tcBorders>
            <w:shd w:val="clear" w:color="auto" w:fill="D9DCE1"/>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4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Jeremy Goebel</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Overall commercial organization leadership</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Led key commercial strategies that drove financial overperformance vs.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plan</w:t>
            </w:r>
          </w:p>
        </w:tc>
        <w:tc>
          <w:tcPr>
            <w:tcW w:w="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46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Solid execution enabled capture of unforecasted market opportunities</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Led key business development initiatives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OMOG, LM and Southern Delaware transactions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$310 million in divestitures (KFS and railcar sales)</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Commercial contracting in support of Ft. Sask debottleneck/expansion</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Increased Permian dedicated acreage by ~150,000 acres</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70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 Significant additional volume capture (Permian and elsewhere)</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Drove NGL strategy/execution (including IPL/Co-ed restructuring)</w:t>
            </w: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gridSpan w:val="2"/>
          </w:tcPr>
          <w:p>
            <w:pPr>
              <w:ind w:left="80"/>
              <w:spacing w:after="0"/>
              <w:rPr>
                <w:sz w:val="20"/>
                <w:szCs w:val="20"/>
                <w:color w:val="auto"/>
              </w:rPr>
            </w:pPr>
            <w:r>
              <w:rPr>
                <w:rFonts w:ascii="Arial" w:cs="Arial" w:eastAsia="Arial" w:hAnsi="Arial"/>
                <w:sz w:val="17"/>
                <w:szCs w:val="17"/>
                <w:color w:val="auto"/>
              </w:rPr>
              <w:t>• Oversight of emerging energy effort</w:t>
            </w: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460" w:type="dxa"/>
            <w:vAlign w:val="bottom"/>
            <w:tcBorders>
              <w:left w:val="single" w:sz="8" w:color="auto"/>
              <w:bottom w:val="single" w:sz="8" w:color="auto"/>
              <w:right w:val="single" w:sz="8" w:color="auto"/>
            </w:tcBorders>
          </w:tcPr>
          <w:p>
            <w:pPr>
              <w:spacing w:after="0"/>
              <w:rPr>
                <w:sz w:val="19"/>
                <w:szCs w:val="19"/>
                <w:color w:val="auto"/>
              </w:rPr>
            </w:pPr>
          </w:p>
        </w:tc>
        <w:tc>
          <w:tcPr>
            <w:tcW w:w="590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7"/>
                <w:szCs w:val="17"/>
                <w:color w:val="auto"/>
              </w:rPr>
              <w:t>• Significant role in attractive positioning of business for 2024+</w:t>
            </w: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240" w:right="2699" w:hanging="3980"/>
        <w:spacing w:after="0" w:line="741" w:lineRule="auto"/>
        <w:tabs>
          <w:tab w:leader="none" w:pos="16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Pefanis requested a 100% cap/limit for his individual payout score.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540" w:firstLine="360"/>
        <w:spacing w:after="0" w:line="268" w:lineRule="auto"/>
        <w:rPr>
          <w:sz w:val="20"/>
          <w:szCs w:val="20"/>
          <w:color w:val="auto"/>
        </w:rPr>
      </w:pPr>
      <w:r>
        <w:rPr>
          <w:rFonts w:ascii="Arial" w:cs="Arial" w:eastAsia="Arial" w:hAnsi="Arial"/>
          <w:sz w:val="18"/>
          <w:szCs w:val="18"/>
          <w:color w:val="auto"/>
        </w:rPr>
        <w:t>After applying the individual performance scores set forth in the table above ranging from 100% to 175%, the total formulaic bonus payout calculation for our NEOs ranged from 119% to 149%, as set forth in the table below.</w:t>
      </w:r>
    </w:p>
    <w:p>
      <w:pPr>
        <w:spacing w:after="0" w:line="102" w:lineRule="exact"/>
        <w:rPr>
          <w:sz w:val="20"/>
          <w:szCs w:val="20"/>
          <w:color w:val="auto"/>
        </w:rPr>
      </w:pPr>
    </w:p>
    <w:tbl>
      <w:tblPr>
        <w:tblLayout w:type="fixed"/>
        <w:tblInd w:w="830" w:type="dxa"/>
        <w:tblCellMar>
          <w:top w:w="0" w:type="dxa"/>
          <w:left w:w="0" w:type="dxa"/>
          <w:bottom w:w="0" w:type="dxa"/>
          <w:right w:w="0" w:type="dxa"/>
        </w:tblCellMar>
      </w:tblPr>
      <w:tr>
        <w:trPr>
          <w:trHeight w:val="376"/>
        </w:trPr>
        <w:tc>
          <w:tcPr>
            <w:tcW w:w="1400" w:type="dxa"/>
            <w:vAlign w:val="bottom"/>
            <w:tcBorders>
              <w:left w:val="single" w:sz="8" w:color="424E6A"/>
              <w:bottom w:val="single" w:sz="8" w:color="424E6A"/>
            </w:tcBorders>
            <w:shd w:val="clear" w:color="auto" w:fill="424E6A"/>
          </w:tcPr>
          <w:p>
            <w:pPr>
              <w:spacing w:after="0"/>
              <w:rPr>
                <w:sz w:val="24"/>
                <w:szCs w:val="24"/>
                <w:color w:val="auto"/>
              </w:rPr>
            </w:pPr>
          </w:p>
        </w:tc>
        <w:tc>
          <w:tcPr>
            <w:tcW w:w="1260" w:type="dxa"/>
            <w:vAlign w:val="bottom"/>
            <w:tcBorders>
              <w:bottom w:val="single" w:sz="8" w:color="424E6A"/>
            </w:tcBorders>
            <w:shd w:val="clear" w:color="auto" w:fill="424E6A"/>
          </w:tcPr>
          <w:p>
            <w:pPr>
              <w:spacing w:after="0"/>
              <w:rPr>
                <w:sz w:val="24"/>
                <w:szCs w:val="24"/>
                <w:color w:val="auto"/>
              </w:rPr>
            </w:pPr>
          </w:p>
        </w:tc>
        <w:tc>
          <w:tcPr>
            <w:tcW w:w="10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1940" w:type="dxa"/>
            <w:vAlign w:val="bottom"/>
            <w:tcBorders>
              <w:bottom w:val="single" w:sz="8" w:color="424E6A"/>
            </w:tcBorders>
            <w:gridSpan w:val="3"/>
            <w:shd w:val="clear" w:color="auto" w:fill="424E6A"/>
          </w:tcPr>
          <w:p>
            <w:pPr>
              <w:jc w:val="right"/>
              <w:ind w:right="80"/>
              <w:spacing w:after="0"/>
              <w:rPr>
                <w:sz w:val="20"/>
                <w:szCs w:val="20"/>
                <w:color w:val="auto"/>
              </w:rPr>
            </w:pPr>
            <w:r>
              <w:rPr>
                <w:rFonts w:ascii="Arial" w:cs="Arial" w:eastAsia="Arial" w:hAnsi="Arial"/>
                <w:sz w:val="14"/>
                <w:szCs w:val="14"/>
                <w:b w:val="1"/>
                <w:bCs w:val="1"/>
                <w:color w:val="FFFFFF"/>
              </w:rPr>
              <w:t xml:space="preserve">Company Results    </w:t>
            </w:r>
            <w:r>
              <w:rPr>
                <w:rFonts w:ascii="Arial" w:cs="Arial" w:eastAsia="Arial" w:hAnsi="Arial"/>
                <w:sz w:val="28"/>
                <w:szCs w:val="28"/>
                <w:b w:val="1"/>
                <w:bCs w:val="1"/>
                <w:color w:val="FFFFFF"/>
                <w:vertAlign w:val="subscript"/>
              </w:rPr>
              <w:t>​ ​</w:t>
            </w:r>
          </w:p>
        </w:tc>
        <w:tc>
          <w:tcPr>
            <w:tcW w:w="220" w:type="dxa"/>
            <w:vAlign w:val="bottom"/>
            <w:tcBorders>
              <w:bottom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2100" w:type="dxa"/>
            <w:vAlign w:val="bottom"/>
            <w:tcBorders>
              <w:bottom w:val="single" w:sz="8" w:color="424E6A"/>
            </w:tcBorders>
            <w:gridSpan w:val="3"/>
            <w:shd w:val="clear" w:color="auto" w:fill="424E6A"/>
          </w:tcPr>
          <w:p>
            <w:pPr>
              <w:jc w:val="right"/>
              <w:ind w:right="220"/>
              <w:spacing w:after="0"/>
              <w:rPr>
                <w:sz w:val="20"/>
                <w:szCs w:val="20"/>
                <w:color w:val="auto"/>
              </w:rPr>
            </w:pPr>
            <w:r>
              <w:rPr>
                <w:rFonts w:ascii="Arial" w:cs="Arial" w:eastAsia="Arial" w:hAnsi="Arial"/>
                <w:sz w:val="14"/>
                <w:szCs w:val="14"/>
                <w:b w:val="1"/>
                <w:bCs w:val="1"/>
                <w:color w:val="FFFFFF"/>
              </w:rPr>
              <w:t xml:space="preserve">Individual Results    </w:t>
            </w:r>
            <w:r>
              <w:rPr>
                <w:rFonts w:ascii="Arial" w:cs="Arial" w:eastAsia="Arial" w:hAnsi="Arial"/>
                <w:sz w:val="28"/>
                <w:szCs w:val="28"/>
                <w:b w:val="1"/>
                <w:bCs w:val="1"/>
                <w:color w:val="FFFFFF"/>
                <w:vertAlign w:val="subscript"/>
              </w:rPr>
              <w:t>​ ​</w:t>
            </w:r>
          </w:p>
        </w:tc>
        <w:tc>
          <w:tcPr>
            <w:tcW w:w="100" w:type="dxa"/>
            <w:vAlign w:val="bottom"/>
            <w:tcBorders>
              <w:bottom w:val="single" w:sz="8" w:color="424E6A"/>
            </w:tcBorders>
            <w:shd w:val="clear" w:color="auto" w:fill="424E6A"/>
          </w:tcPr>
          <w:p>
            <w:pPr>
              <w:spacing w:after="0"/>
              <w:rPr>
                <w:sz w:val="24"/>
                <w:szCs w:val="24"/>
                <w:color w:val="auto"/>
              </w:rPr>
            </w:pPr>
          </w:p>
        </w:tc>
        <w:tc>
          <w:tcPr>
            <w:tcW w:w="880" w:type="dxa"/>
            <w:vAlign w:val="bottom"/>
            <w:tcBorders>
              <w:bottom w:val="single" w:sz="8" w:color="424E6A"/>
            </w:tcBorders>
            <w:shd w:val="clear" w:color="auto" w:fill="424E6A"/>
          </w:tcPr>
          <w:p>
            <w:pPr>
              <w:jc w:val="center"/>
              <w:ind w:right="107"/>
              <w:spacing w:after="0"/>
              <w:rPr>
                <w:sz w:val="20"/>
                <w:szCs w:val="20"/>
                <w:color w:val="auto"/>
              </w:rPr>
            </w:pPr>
            <w:r>
              <w:rPr>
                <w:rFonts w:ascii="Arial" w:cs="Arial" w:eastAsia="Arial" w:hAnsi="Arial"/>
                <w:sz w:val="14"/>
                <w:szCs w:val="14"/>
                <w:b w:val="1"/>
                <w:bCs w:val="1"/>
                <w:color w:val="FFFFFF"/>
              </w:rPr>
              <w:t>Percent of</w:t>
            </w:r>
          </w:p>
        </w:tc>
        <w:tc>
          <w:tcPr>
            <w:tcW w:w="1080" w:type="dxa"/>
            <w:vAlign w:val="bottom"/>
            <w:tcBorders>
              <w:bottom w:val="single" w:sz="8" w:color="424E6A"/>
              <w:right w:val="single" w:sz="8" w:color="424E6A"/>
            </w:tcBorders>
            <w:shd w:val="clear" w:color="auto" w:fill="424E6A"/>
          </w:tcPr>
          <w:p>
            <w:pPr>
              <w:spacing w:after="0"/>
              <w:rPr>
                <w:sz w:val="24"/>
                <w:szCs w:val="24"/>
                <w:color w:val="auto"/>
              </w:rPr>
            </w:pPr>
          </w:p>
        </w:tc>
      </w:tr>
      <w:tr>
        <w:trPr>
          <w:trHeight w:val="79"/>
        </w:trPr>
        <w:tc>
          <w:tcPr>
            <w:tcW w:w="1400" w:type="dxa"/>
            <w:vAlign w:val="bottom"/>
            <w:tcBorders>
              <w:top w:val="single" w:sz="8" w:color="424E6A"/>
              <w:left w:val="single" w:sz="8" w:color="424E6A"/>
            </w:tcBorders>
            <w:shd w:val="clear" w:color="auto" w:fill="424E6A"/>
          </w:tcPr>
          <w:p>
            <w:pPr>
              <w:spacing w:after="0"/>
              <w:rPr>
                <w:sz w:val="6"/>
                <w:szCs w:val="6"/>
                <w:color w:val="auto"/>
              </w:rPr>
            </w:pPr>
          </w:p>
        </w:tc>
        <w:tc>
          <w:tcPr>
            <w:tcW w:w="1260" w:type="dxa"/>
            <w:vAlign w:val="bottom"/>
            <w:tcBorders>
              <w:top w:val="single" w:sz="8" w:color="424E6A"/>
            </w:tcBorders>
            <w:shd w:val="clear" w:color="auto" w:fill="424E6A"/>
          </w:tcPr>
          <w:p>
            <w:pPr>
              <w:jc w:val="center"/>
              <w:ind w:left="48"/>
              <w:spacing w:after="0" w:line="79" w:lineRule="exact"/>
              <w:rPr>
                <w:sz w:val="20"/>
                <w:szCs w:val="20"/>
                <w:color w:val="auto"/>
              </w:rPr>
            </w:pPr>
            <w:r>
              <w:rPr>
                <w:rFonts w:ascii="Arial" w:cs="Arial" w:eastAsia="Arial" w:hAnsi="Arial"/>
                <w:sz w:val="9"/>
                <w:szCs w:val="9"/>
                <w:b w:val="1"/>
                <w:bCs w:val="1"/>
                <w:color w:val="FFFFFF"/>
              </w:rPr>
              <w:t>2023 Target</w:t>
            </w:r>
          </w:p>
        </w:tc>
        <w:tc>
          <w:tcPr>
            <w:tcW w:w="100" w:type="dxa"/>
            <w:vAlign w:val="bottom"/>
            <w:tcBorders>
              <w:top w:val="single" w:sz="8" w:color="424E6A"/>
            </w:tcBorders>
            <w:shd w:val="clear" w:color="auto" w:fill="424E6A"/>
          </w:tcPr>
          <w:p>
            <w:pPr>
              <w:spacing w:after="0"/>
              <w:rPr>
                <w:sz w:val="6"/>
                <w:szCs w:val="6"/>
                <w:color w:val="auto"/>
              </w:rPr>
            </w:pPr>
          </w:p>
        </w:tc>
        <w:tc>
          <w:tcPr>
            <w:tcW w:w="1240" w:type="dxa"/>
            <w:vAlign w:val="bottom"/>
            <w:tcBorders>
              <w:top w:val="single" w:sz="8" w:color="auto"/>
            </w:tcBorders>
            <w:shd w:val="clear" w:color="auto" w:fill="424E6A"/>
          </w:tcPr>
          <w:p>
            <w:pPr>
              <w:spacing w:after="0"/>
              <w:rPr>
                <w:sz w:val="6"/>
                <w:szCs w:val="6"/>
                <w:color w:val="auto"/>
              </w:rPr>
            </w:pPr>
          </w:p>
        </w:tc>
        <w:tc>
          <w:tcPr>
            <w:tcW w:w="440" w:type="dxa"/>
            <w:vAlign w:val="bottom"/>
            <w:tcBorders>
              <w:top w:val="single" w:sz="8" w:color="auto"/>
            </w:tcBorders>
            <w:shd w:val="clear" w:color="auto" w:fill="424E6A"/>
          </w:tcPr>
          <w:p>
            <w:pPr>
              <w:spacing w:after="0"/>
              <w:rPr>
                <w:sz w:val="6"/>
                <w:szCs w:val="6"/>
                <w:color w:val="auto"/>
              </w:rPr>
            </w:pPr>
          </w:p>
        </w:tc>
        <w:tc>
          <w:tcPr>
            <w:tcW w:w="260" w:type="dxa"/>
            <w:vAlign w:val="bottom"/>
            <w:tcBorders>
              <w:top w:val="single" w:sz="8" w:color="424E6A"/>
            </w:tcBorders>
            <w:shd w:val="clear" w:color="auto" w:fill="424E6A"/>
          </w:tcPr>
          <w:p>
            <w:pPr>
              <w:spacing w:after="0"/>
              <w:rPr>
                <w:sz w:val="6"/>
                <w:szCs w:val="6"/>
                <w:color w:val="auto"/>
              </w:rPr>
            </w:pPr>
          </w:p>
        </w:tc>
        <w:tc>
          <w:tcPr>
            <w:tcW w:w="220" w:type="dxa"/>
            <w:vAlign w:val="bottom"/>
            <w:tcBorders>
              <w:top w:val="single" w:sz="8" w:color="424E6A"/>
            </w:tcBorders>
            <w:shd w:val="clear" w:color="auto" w:fill="424E6A"/>
          </w:tcPr>
          <w:p>
            <w:pPr>
              <w:spacing w:after="0"/>
              <w:rPr>
                <w:sz w:val="6"/>
                <w:szCs w:val="6"/>
                <w:color w:val="auto"/>
              </w:rPr>
            </w:pPr>
          </w:p>
        </w:tc>
        <w:tc>
          <w:tcPr>
            <w:tcW w:w="1260" w:type="dxa"/>
            <w:vAlign w:val="bottom"/>
            <w:tcBorders>
              <w:top w:val="single" w:sz="8" w:color="auto"/>
            </w:tcBorders>
            <w:shd w:val="clear" w:color="auto" w:fill="424E6A"/>
          </w:tcPr>
          <w:p>
            <w:pPr>
              <w:spacing w:after="0"/>
              <w:rPr>
                <w:sz w:val="6"/>
                <w:szCs w:val="6"/>
                <w:color w:val="auto"/>
              </w:rPr>
            </w:pPr>
          </w:p>
        </w:tc>
        <w:tc>
          <w:tcPr>
            <w:tcW w:w="420" w:type="dxa"/>
            <w:vAlign w:val="bottom"/>
            <w:tcBorders>
              <w:top w:val="single" w:sz="8" w:color="auto"/>
            </w:tcBorders>
            <w:shd w:val="clear" w:color="auto" w:fill="424E6A"/>
          </w:tcPr>
          <w:p>
            <w:pPr>
              <w:spacing w:after="0"/>
              <w:rPr>
                <w:sz w:val="6"/>
                <w:szCs w:val="6"/>
                <w:color w:val="auto"/>
              </w:rPr>
            </w:pPr>
          </w:p>
        </w:tc>
        <w:tc>
          <w:tcPr>
            <w:tcW w:w="420" w:type="dxa"/>
            <w:vAlign w:val="bottom"/>
            <w:tcBorders>
              <w:top w:val="single" w:sz="8" w:color="424E6A"/>
            </w:tcBorders>
            <w:shd w:val="clear" w:color="auto" w:fill="424E6A"/>
          </w:tcPr>
          <w:p>
            <w:pPr>
              <w:spacing w:after="0"/>
              <w:rPr>
                <w:sz w:val="6"/>
                <w:szCs w:val="6"/>
                <w:color w:val="auto"/>
              </w:rPr>
            </w:pPr>
          </w:p>
        </w:tc>
        <w:tc>
          <w:tcPr>
            <w:tcW w:w="100" w:type="dxa"/>
            <w:vAlign w:val="bottom"/>
            <w:tcBorders>
              <w:top w:val="single" w:sz="8" w:color="424E6A"/>
            </w:tcBorders>
            <w:shd w:val="clear" w:color="auto" w:fill="424E6A"/>
          </w:tcPr>
          <w:p>
            <w:pPr>
              <w:spacing w:after="0"/>
              <w:rPr>
                <w:sz w:val="6"/>
                <w:szCs w:val="6"/>
                <w:color w:val="auto"/>
              </w:rPr>
            </w:pPr>
          </w:p>
        </w:tc>
        <w:tc>
          <w:tcPr>
            <w:tcW w:w="880" w:type="dxa"/>
            <w:vAlign w:val="bottom"/>
            <w:tcBorders>
              <w:top w:val="single" w:sz="8" w:color="424E6A"/>
            </w:tcBorders>
            <w:shd w:val="clear" w:color="auto" w:fill="424E6A"/>
          </w:tcPr>
          <w:p>
            <w:pPr>
              <w:jc w:val="center"/>
              <w:ind w:right="107"/>
              <w:spacing w:after="0" w:line="79" w:lineRule="exact"/>
              <w:rPr>
                <w:sz w:val="20"/>
                <w:szCs w:val="20"/>
                <w:color w:val="auto"/>
              </w:rPr>
            </w:pPr>
            <w:r>
              <w:rPr>
                <w:rFonts w:ascii="Arial" w:cs="Arial" w:eastAsia="Arial" w:hAnsi="Arial"/>
                <w:sz w:val="9"/>
                <w:szCs w:val="9"/>
                <w:b w:val="1"/>
                <w:bCs w:val="1"/>
                <w:color w:val="FFFFFF"/>
              </w:rPr>
              <w:t>Target</w:t>
            </w:r>
          </w:p>
        </w:tc>
        <w:tc>
          <w:tcPr>
            <w:tcW w:w="1080" w:type="dxa"/>
            <w:vAlign w:val="bottom"/>
            <w:tcBorders>
              <w:top w:val="single" w:sz="8" w:color="424E6A"/>
              <w:right w:val="single" w:sz="8" w:color="424E6A"/>
            </w:tcBorders>
            <w:shd w:val="clear" w:color="auto" w:fill="424E6A"/>
          </w:tcPr>
          <w:p>
            <w:pPr>
              <w:jc w:val="center"/>
              <w:spacing w:after="0" w:line="79" w:lineRule="exact"/>
              <w:rPr>
                <w:sz w:val="20"/>
                <w:szCs w:val="20"/>
                <w:color w:val="auto"/>
              </w:rPr>
            </w:pPr>
            <w:r>
              <w:rPr>
                <w:rFonts w:ascii="Arial" w:cs="Arial" w:eastAsia="Arial" w:hAnsi="Arial"/>
                <w:sz w:val="9"/>
                <w:szCs w:val="9"/>
                <w:b w:val="1"/>
                <w:bCs w:val="1"/>
                <w:color w:val="FFFFFF"/>
              </w:rPr>
              <w:t>2023 Actual</w:t>
            </w:r>
          </w:p>
        </w:tc>
      </w:tr>
      <w:tr>
        <w:trPr>
          <w:trHeight w:val="162"/>
        </w:trPr>
        <w:tc>
          <w:tcPr>
            <w:tcW w:w="1400" w:type="dxa"/>
            <w:vAlign w:val="bottom"/>
            <w:tcBorders>
              <w:left w:val="single" w:sz="8" w:color="424E6A"/>
            </w:tcBorders>
            <w:shd w:val="clear" w:color="auto" w:fill="424E6A"/>
          </w:tcPr>
          <w:p>
            <w:pPr>
              <w:ind w:left="60"/>
              <w:spacing w:after="0"/>
              <w:rPr>
                <w:sz w:val="20"/>
                <w:szCs w:val="20"/>
                <w:color w:val="auto"/>
              </w:rPr>
            </w:pPr>
            <w:r>
              <w:rPr>
                <w:rFonts w:ascii="Arial" w:cs="Arial" w:eastAsia="Arial" w:hAnsi="Arial"/>
                <w:sz w:val="14"/>
                <w:szCs w:val="14"/>
                <w:b w:val="1"/>
                <w:bCs w:val="1"/>
                <w:color w:val="FFFFFF"/>
              </w:rPr>
              <w:t>Named Executive</w:t>
            </w:r>
          </w:p>
        </w:tc>
        <w:tc>
          <w:tcPr>
            <w:tcW w:w="1260" w:type="dxa"/>
            <w:vAlign w:val="bottom"/>
            <w:shd w:val="clear" w:color="auto" w:fill="424E6A"/>
          </w:tcPr>
          <w:p>
            <w:pPr>
              <w:jc w:val="center"/>
              <w:ind w:left="48"/>
              <w:spacing w:after="0"/>
              <w:rPr>
                <w:sz w:val="20"/>
                <w:szCs w:val="20"/>
                <w:color w:val="auto"/>
              </w:rPr>
            </w:pPr>
            <w:r>
              <w:rPr>
                <w:rFonts w:ascii="Arial" w:cs="Arial" w:eastAsia="Arial" w:hAnsi="Arial"/>
                <w:sz w:val="14"/>
                <w:szCs w:val="14"/>
                <w:b w:val="1"/>
                <w:bCs w:val="1"/>
                <w:color w:val="FFFFFF"/>
              </w:rPr>
              <w:t>Bonus</w:t>
            </w:r>
          </w:p>
        </w:tc>
        <w:tc>
          <w:tcPr>
            <w:tcW w:w="100" w:type="dxa"/>
            <w:vAlign w:val="bottom"/>
            <w:shd w:val="clear" w:color="auto" w:fill="424E6A"/>
          </w:tcPr>
          <w:p>
            <w:pPr>
              <w:spacing w:after="0"/>
              <w:rPr>
                <w:sz w:val="14"/>
                <w:szCs w:val="14"/>
                <w:color w:val="auto"/>
              </w:rPr>
            </w:pPr>
          </w:p>
        </w:tc>
        <w:tc>
          <w:tcPr>
            <w:tcW w:w="12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Company</w:t>
            </w:r>
          </w:p>
        </w:tc>
        <w:tc>
          <w:tcPr>
            <w:tcW w:w="4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126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Individual</w:t>
            </w:r>
          </w:p>
        </w:tc>
        <w:tc>
          <w:tcPr>
            <w:tcW w:w="420" w:type="dxa"/>
            <w:vAlign w:val="bottom"/>
            <w:shd w:val="clear" w:color="auto" w:fill="424E6A"/>
          </w:tcPr>
          <w:p>
            <w:pPr>
              <w:spacing w:after="0"/>
              <w:rPr>
                <w:sz w:val="14"/>
                <w:szCs w:val="14"/>
                <w:color w:val="auto"/>
              </w:rPr>
            </w:pPr>
          </w:p>
        </w:tc>
        <w:tc>
          <w:tcPr>
            <w:tcW w:w="420" w:type="dxa"/>
            <w:vAlign w:val="bottom"/>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87"/>
              <w:spacing w:after="0"/>
              <w:rPr>
                <w:sz w:val="20"/>
                <w:szCs w:val="20"/>
                <w:color w:val="auto"/>
              </w:rPr>
            </w:pPr>
            <w:r>
              <w:rPr>
                <w:rFonts w:ascii="Arial" w:cs="Arial" w:eastAsia="Arial" w:hAnsi="Arial"/>
                <w:sz w:val="14"/>
                <w:szCs w:val="14"/>
                <w:b w:val="1"/>
                <w:bCs w:val="1"/>
                <w:color w:val="FFFFFF"/>
              </w:rPr>
              <w:t>Bonus</w:t>
            </w:r>
          </w:p>
        </w:tc>
        <w:tc>
          <w:tcPr>
            <w:tcW w:w="108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Bonus</w:t>
            </w:r>
          </w:p>
        </w:tc>
      </w:tr>
      <w:tr>
        <w:trPr>
          <w:trHeight w:val="198"/>
        </w:trPr>
        <w:tc>
          <w:tcPr>
            <w:tcW w:w="140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Officer</w:t>
            </w:r>
          </w:p>
        </w:tc>
        <w:tc>
          <w:tcPr>
            <w:tcW w:w="1360" w:type="dxa"/>
            <w:vAlign w:val="bottom"/>
            <w:gridSpan w:val="2"/>
            <w:shd w:val="clear" w:color="auto" w:fill="424E6A"/>
          </w:tcPr>
          <w:p>
            <w:pPr>
              <w:jc w:val="right"/>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Amount   </w:t>
            </w:r>
            <w:r>
              <w:rPr>
                <w:rFonts w:ascii="Arial" w:cs="Arial" w:eastAsia="Arial" w:hAnsi="Arial"/>
                <w:sz w:val="22"/>
                <w:szCs w:val="22"/>
                <w:b w:val="1"/>
                <w:bCs w:val="1"/>
                <w:color w:val="FFFFFF"/>
                <w:vertAlign w:val="subscript"/>
              </w:rPr>
              <w:t>​ ​</w:t>
            </w:r>
          </w:p>
        </w:tc>
        <w:tc>
          <w:tcPr>
            <w:tcW w:w="1940" w:type="dxa"/>
            <w:vAlign w:val="bottom"/>
            <w:gridSpan w:val="3"/>
            <w:shd w:val="clear" w:color="auto" w:fill="424E6A"/>
          </w:tcPr>
          <w:p>
            <w:pPr>
              <w:jc w:val="right"/>
              <w:ind w:right="80"/>
              <w:spacing w:after="0" w:line="199" w:lineRule="exact"/>
              <w:rPr>
                <w:sz w:val="20"/>
                <w:szCs w:val="20"/>
                <w:color w:val="auto"/>
              </w:rPr>
            </w:pPr>
            <w:r>
              <w:rPr>
                <w:rFonts w:ascii="Arial" w:cs="Arial" w:eastAsia="Arial" w:hAnsi="Arial"/>
                <w:sz w:val="12"/>
                <w:szCs w:val="12"/>
                <w:b w:val="1"/>
                <w:bCs w:val="1"/>
                <w:color w:val="FFFFFF"/>
              </w:rPr>
              <w:t xml:space="preserve">Score   </w:t>
            </w: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Weight </w:t>
            </w:r>
            <w:r>
              <w:rPr>
                <w:rFonts w:ascii="Arial" w:cs="Arial" w:eastAsia="Arial" w:hAnsi="Arial"/>
                <w:sz w:val="22"/>
                <w:szCs w:val="22"/>
                <w:b w:val="1"/>
                <w:bCs w:val="1"/>
                <w:color w:val="FFFFFF"/>
                <w:vertAlign w:val="subscript"/>
              </w:rPr>
              <w:t>​ ​</w:t>
            </w:r>
          </w:p>
        </w:tc>
        <w:tc>
          <w:tcPr>
            <w:tcW w:w="2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2100" w:type="dxa"/>
            <w:vAlign w:val="bottom"/>
            <w:gridSpan w:val="3"/>
            <w:shd w:val="clear" w:color="auto" w:fill="424E6A"/>
          </w:tcPr>
          <w:p>
            <w:pPr>
              <w:jc w:val="right"/>
              <w:ind w:right="220"/>
              <w:spacing w:after="0" w:line="199" w:lineRule="exact"/>
              <w:rPr>
                <w:sz w:val="20"/>
                <w:szCs w:val="20"/>
                <w:color w:val="auto"/>
              </w:rPr>
            </w:pPr>
            <w:r>
              <w:rPr>
                <w:rFonts w:ascii="Arial" w:cs="Arial" w:eastAsia="Arial" w:hAnsi="Arial"/>
                <w:sz w:val="12"/>
                <w:szCs w:val="12"/>
                <w:b w:val="1"/>
                <w:bCs w:val="1"/>
                <w:color w:val="FFFFFF"/>
              </w:rPr>
              <w:t xml:space="preserve">Score   </w:t>
            </w: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Weight </w:t>
            </w:r>
            <w:r>
              <w:rPr>
                <w:rFonts w:ascii="Arial" w:cs="Arial" w:eastAsia="Arial" w:hAnsi="Arial"/>
                <w:sz w:val="22"/>
                <w:szCs w:val="22"/>
                <w:b w:val="1"/>
                <w:bCs w:val="1"/>
                <w:color w:val="FFFFFF"/>
                <w:vertAlign w:val="subscript"/>
              </w:rPr>
              <w:t>​ ​</w:t>
            </w:r>
          </w:p>
        </w:tc>
        <w:tc>
          <w:tcPr>
            <w:tcW w:w="100" w:type="dxa"/>
            <w:vAlign w:val="bottom"/>
            <w:shd w:val="clear" w:color="auto" w:fill="424E6A"/>
          </w:tcPr>
          <w:p>
            <w:pPr>
              <w:spacing w:after="0"/>
              <w:rPr>
                <w:sz w:val="17"/>
                <w:szCs w:val="17"/>
                <w:color w:val="auto"/>
              </w:rPr>
            </w:pPr>
          </w:p>
        </w:tc>
        <w:tc>
          <w:tcPr>
            <w:tcW w:w="880" w:type="dxa"/>
            <w:vAlign w:val="bottom"/>
            <w:shd w:val="clear" w:color="auto" w:fill="424E6A"/>
          </w:tcPr>
          <w:p>
            <w:pPr>
              <w:jc w:val="center"/>
              <w:ind w:right="47"/>
              <w:spacing w:after="0"/>
              <w:rPr>
                <w:sz w:val="20"/>
                <w:szCs w:val="20"/>
                <w:color w:val="auto"/>
              </w:rPr>
            </w:pPr>
            <w:r>
              <w:rPr>
                <w:rFonts w:ascii="Arial" w:cs="Arial" w:eastAsia="Arial" w:hAnsi="Arial"/>
                <w:sz w:val="14"/>
                <w:szCs w:val="14"/>
                <w:b w:val="1"/>
                <w:bCs w:val="1"/>
                <w:color w:val="FFFFFF"/>
              </w:rPr>
              <w:t>Earned</w:t>
            </w:r>
          </w:p>
        </w:tc>
        <w:tc>
          <w:tcPr>
            <w:tcW w:w="108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Amount</w:t>
            </w:r>
            <w:r>
              <w:rPr>
                <w:rFonts w:ascii="Arial" w:cs="Arial" w:eastAsia="Arial" w:hAnsi="Arial"/>
                <w:sz w:val="17"/>
                <w:szCs w:val="17"/>
                <w:b w:val="1"/>
                <w:bCs w:val="1"/>
                <w:color w:val="FFFFFF"/>
                <w:w w:val="98"/>
                <w:vertAlign w:val="superscript"/>
              </w:rPr>
              <w:t>(1)</w:t>
            </w:r>
          </w:p>
        </w:tc>
      </w:tr>
      <w:tr>
        <w:trPr>
          <w:trHeight w:val="256"/>
        </w:trPr>
        <w:tc>
          <w:tcPr>
            <w:tcW w:w="140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1360" w:type="dxa"/>
            <w:vAlign w:val="bottom"/>
            <w:tcBorders>
              <w:bottom w:val="single" w:sz="8" w:color="424E6A"/>
            </w:tcBorders>
            <w:gridSpan w:val="2"/>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$2,000,000 </w:t>
            </w:r>
            <w:r>
              <w:rPr>
                <w:rFonts w:ascii="Arial" w:cs="Arial" w:eastAsia="Arial" w:hAnsi="Arial"/>
                <w:sz w:val="29"/>
                <w:szCs w:val="29"/>
                <w:color w:val="auto"/>
                <w:vertAlign w:val="subscript"/>
              </w:rPr>
              <w:t>​ ​</w:t>
            </w:r>
          </w:p>
        </w:tc>
        <w:tc>
          <w:tcPr>
            <w:tcW w:w="1240" w:type="dxa"/>
            <w:vAlign w:val="bottom"/>
            <w:tcBorders>
              <w:bottom w:val="single" w:sz="8" w:color="424E6A"/>
            </w:tcBorders>
            <w:shd w:val="clear" w:color="auto" w:fill="D9DCE1"/>
          </w:tcPr>
          <w:p>
            <w:pPr>
              <w:ind w:left="1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131%</w:t>
            </w:r>
            <w:r>
              <w:rPr>
                <w:rFonts w:ascii="Arial" w:cs="Arial" w:eastAsia="Arial" w:hAnsi="Arial"/>
                <w:sz w:val="16"/>
                <w:szCs w:val="16"/>
                <w:color w:val="auto"/>
              </w:rPr>
              <w:t xml:space="preserve"> ​​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 ​</w:t>
            </w:r>
          </w:p>
        </w:tc>
        <w:tc>
          <w:tcPr>
            <w:tcW w:w="920" w:type="dxa"/>
            <w:vAlign w:val="bottom"/>
            <w:tcBorders>
              <w:bottom w:val="single" w:sz="8" w:color="424E6A"/>
            </w:tcBorders>
            <w:gridSpan w:val="3"/>
            <w:shd w:val="clear" w:color="auto" w:fill="D9DCE1"/>
          </w:tcPr>
          <w:p>
            <w:pPr>
              <w:jc w:val="right"/>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60%</w:t>
            </w:r>
            <w:r>
              <w:rPr>
                <w:rFonts w:ascii="Arial" w:cs="Arial" w:eastAsia="Arial" w:hAnsi="Arial"/>
                <w:sz w:val="16"/>
                <w:szCs w:val="16"/>
                <w:color w:val="auto"/>
              </w:rPr>
              <w:t>​​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 ​</w:t>
            </w:r>
          </w:p>
        </w:tc>
        <w:tc>
          <w:tcPr>
            <w:tcW w:w="1260" w:type="dxa"/>
            <w:vAlign w:val="bottom"/>
            <w:tcBorders>
              <w:bottom w:val="single" w:sz="8" w:color="424E6A"/>
            </w:tcBorders>
            <w:shd w:val="clear" w:color="auto" w:fill="D9DCE1"/>
          </w:tcPr>
          <w:p>
            <w:pPr>
              <w:ind w:left="1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175%</w:t>
            </w:r>
            <w:r>
              <w:rPr>
                <w:rFonts w:ascii="Arial" w:cs="Arial" w:eastAsia="Arial" w:hAnsi="Arial"/>
                <w:sz w:val="16"/>
                <w:szCs w:val="16"/>
                <w:color w:val="auto"/>
              </w:rPr>
              <w:t xml:space="preserve"> ​​ ​</w:t>
            </w:r>
            <w:r>
              <w:rPr>
                <w:rFonts w:ascii="Arial" w:cs="Arial" w:eastAsia="Arial" w:hAnsi="Arial"/>
                <w:sz w:val="29"/>
                <w:szCs w:val="29"/>
                <w:color w:val="auto"/>
                <w:vertAlign w:val="superscript"/>
              </w:rPr>
              <w:t>x</w:t>
            </w:r>
            <w:r>
              <w:rPr>
                <w:rFonts w:ascii="Arial" w:cs="Arial" w:eastAsia="Arial" w:hAnsi="Arial"/>
                <w:sz w:val="16"/>
                <w:szCs w:val="16"/>
                <w:color w:val="auto"/>
              </w:rPr>
              <w:t xml:space="preserve"> ​ ​</w:t>
            </w:r>
          </w:p>
        </w:tc>
        <w:tc>
          <w:tcPr>
            <w:tcW w:w="840" w:type="dxa"/>
            <w:vAlign w:val="bottom"/>
            <w:tcBorders>
              <w:bottom w:val="single" w:sz="8" w:color="424E6A"/>
            </w:tcBorders>
            <w:gridSpan w:val="2"/>
            <w:shd w:val="clear" w:color="auto" w:fill="D9DCE1"/>
          </w:tcPr>
          <w:p>
            <w:pPr>
              <w:ind w:left="8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40%</w:t>
            </w:r>
            <w:r>
              <w:rPr>
                <w:rFonts w:ascii="Arial" w:cs="Arial" w:eastAsia="Arial" w:hAnsi="Arial"/>
                <w:sz w:val="16"/>
                <w:szCs w:val="16"/>
                <w:color w:val="auto"/>
              </w:rPr>
              <w:t>​​ ​</w:t>
            </w:r>
            <w:r>
              <w:rPr>
                <w:rFonts w:ascii="Arial" w:cs="Arial" w:eastAsia="Arial" w:hAnsi="Arial"/>
                <w:sz w:val="29"/>
                <w:szCs w:val="29"/>
                <w:color w:val="auto"/>
                <w:vertAlign w:val="superscript"/>
              </w:rPr>
              <w:t>=</w:t>
            </w:r>
          </w:p>
        </w:tc>
        <w:tc>
          <w:tcPr>
            <w:tcW w:w="100" w:type="dxa"/>
            <w:vAlign w:val="bottom"/>
            <w:tcBorders>
              <w:bottom w:val="single" w:sz="8" w:color="424E6A"/>
            </w:tcBorders>
            <w:shd w:val="clear" w:color="auto" w:fill="D9DCE1"/>
          </w:tcPr>
          <w:p>
            <w:pPr>
              <w:spacing w:after="0"/>
              <w:rPr>
                <w:sz w:val="22"/>
                <w:szCs w:val="22"/>
                <w:color w:val="auto"/>
              </w:rPr>
            </w:pPr>
          </w:p>
        </w:tc>
        <w:tc>
          <w:tcPr>
            <w:tcW w:w="880" w:type="dxa"/>
            <w:vAlign w:val="bottom"/>
            <w:tcBorders>
              <w:bottom w:val="single" w:sz="8" w:color="424E6A"/>
            </w:tcBorders>
            <w:shd w:val="clear" w:color="auto" w:fill="D9DCE1"/>
          </w:tcPr>
          <w:p>
            <w:pPr>
              <w:ind w:left="2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149% </w:t>
            </w:r>
            <w:r>
              <w:rPr>
                <w:rFonts w:ascii="Arial" w:cs="Arial" w:eastAsia="Arial" w:hAnsi="Arial"/>
                <w:sz w:val="29"/>
                <w:szCs w:val="29"/>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$2,975,000</w:t>
            </w:r>
          </w:p>
        </w:tc>
      </w:tr>
      <w:tr>
        <w:trPr>
          <w:trHeight w:val="250"/>
        </w:trPr>
        <w:tc>
          <w:tcPr>
            <w:tcW w:w="140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Pefanis</w:t>
            </w:r>
          </w:p>
        </w:tc>
        <w:tc>
          <w:tcPr>
            <w:tcW w:w="136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$1,200,000 </w:t>
            </w:r>
            <w:r>
              <w:rPr>
                <w:rFonts w:ascii="Arial" w:cs="Arial" w:eastAsia="Arial" w:hAnsi="Arial"/>
                <w:sz w:val="28"/>
                <w:szCs w:val="28"/>
                <w:color w:val="auto"/>
                <w:vertAlign w:val="subscript"/>
              </w:rPr>
              <w:t>​ ​</w:t>
            </w:r>
          </w:p>
        </w:tc>
        <w:tc>
          <w:tcPr>
            <w:tcW w:w="124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131%</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100%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tcPr>
          <w:p>
            <w:pPr>
              <w:spacing w:after="0"/>
              <w:rPr>
                <w:sz w:val="21"/>
                <w:szCs w:val="21"/>
                <w:color w:val="auto"/>
              </w:rPr>
            </w:pPr>
          </w:p>
        </w:tc>
        <w:tc>
          <w:tcPr>
            <w:tcW w:w="880" w:type="dxa"/>
            <w:vAlign w:val="bottom"/>
            <w:tcBorders>
              <w:bottom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119%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$1,425,000</w:t>
            </w:r>
          </w:p>
        </w:tc>
      </w:tr>
      <w:tr>
        <w:trPr>
          <w:trHeight w:val="250"/>
        </w:trPr>
        <w:tc>
          <w:tcPr>
            <w:tcW w:w="140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136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825,000 </w:t>
            </w:r>
            <w:r>
              <w:rPr>
                <w:rFonts w:ascii="Arial" w:cs="Arial" w:eastAsia="Arial" w:hAnsi="Arial"/>
                <w:sz w:val="28"/>
                <w:szCs w:val="28"/>
                <w:color w:val="auto"/>
                <w:vertAlign w:val="subscript"/>
              </w:rPr>
              <w:t>​ ​</w:t>
            </w:r>
          </w:p>
        </w:tc>
        <w:tc>
          <w:tcPr>
            <w:tcW w:w="124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131%</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160%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143%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$1,180,000</w:t>
            </w:r>
          </w:p>
        </w:tc>
      </w:tr>
      <w:tr>
        <w:trPr>
          <w:trHeight w:val="250"/>
        </w:trPr>
        <w:tc>
          <w:tcPr>
            <w:tcW w:w="140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136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825,000 </w:t>
            </w:r>
            <w:r>
              <w:rPr>
                <w:rFonts w:ascii="Arial" w:cs="Arial" w:eastAsia="Arial" w:hAnsi="Arial"/>
                <w:sz w:val="28"/>
                <w:szCs w:val="28"/>
                <w:color w:val="auto"/>
                <w:vertAlign w:val="subscript"/>
              </w:rPr>
              <w:t>​ ​</w:t>
            </w:r>
          </w:p>
        </w:tc>
        <w:tc>
          <w:tcPr>
            <w:tcW w:w="124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131%</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160%</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tcPr>
          <w:p>
            <w:pPr>
              <w:spacing w:after="0"/>
              <w:rPr>
                <w:sz w:val="21"/>
                <w:szCs w:val="21"/>
                <w:color w:val="auto"/>
              </w:rPr>
            </w:pPr>
          </w:p>
        </w:tc>
        <w:tc>
          <w:tcPr>
            <w:tcW w:w="880" w:type="dxa"/>
            <w:vAlign w:val="bottom"/>
            <w:tcBorders>
              <w:bottom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143%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$1,180,000</w:t>
            </w:r>
          </w:p>
        </w:tc>
      </w:tr>
      <w:tr>
        <w:trPr>
          <w:trHeight w:val="250"/>
        </w:trPr>
        <w:tc>
          <w:tcPr>
            <w:tcW w:w="140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1360" w:type="dxa"/>
            <w:vAlign w:val="bottom"/>
            <w:tcBorders>
              <w:bottom w:val="single" w:sz="8" w:color="424E6A"/>
            </w:tcBorders>
            <w:gridSpan w:val="2"/>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900,000 </w:t>
            </w:r>
            <w:r>
              <w:rPr>
                <w:rFonts w:ascii="Arial" w:cs="Arial" w:eastAsia="Arial" w:hAnsi="Arial"/>
                <w:sz w:val="28"/>
                <w:szCs w:val="28"/>
                <w:color w:val="auto"/>
                <w:vertAlign w:val="subscript"/>
              </w:rPr>
              <w:t>​ ​</w:t>
            </w:r>
          </w:p>
        </w:tc>
        <w:tc>
          <w:tcPr>
            <w:tcW w:w="124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131%</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shd w:val="clear" w:color="auto" w:fill="D9DCE1"/>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175%</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shd w:val="clear" w:color="auto" w:fill="D9DCE1"/>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shd w:val="clear" w:color="auto" w:fill="D9DCE1"/>
          </w:tcPr>
          <w:p>
            <w:pPr>
              <w:spacing w:after="0"/>
              <w:rPr>
                <w:sz w:val="21"/>
                <w:szCs w:val="21"/>
                <w:color w:val="auto"/>
              </w:rPr>
            </w:pPr>
          </w:p>
        </w:tc>
        <w:tc>
          <w:tcPr>
            <w:tcW w:w="880" w:type="dxa"/>
            <w:vAlign w:val="bottom"/>
            <w:tcBorders>
              <w:bottom w:val="single" w:sz="8" w:color="424E6A"/>
            </w:tcBorders>
            <w:shd w:val="clear" w:color="auto" w:fill="D9DCE1"/>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149%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$1,340,000</w:t>
            </w:r>
          </w:p>
        </w:tc>
      </w:tr>
      <w:tr>
        <w:trPr>
          <w:trHeight w:val="250"/>
        </w:trPr>
        <w:tc>
          <w:tcPr>
            <w:tcW w:w="140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1360" w:type="dxa"/>
            <w:vAlign w:val="bottom"/>
            <w:tcBorders>
              <w:bottom w:val="single" w:sz="8" w:color="424E6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900,000 </w:t>
            </w:r>
            <w:r>
              <w:rPr>
                <w:rFonts w:ascii="Arial" w:cs="Arial" w:eastAsia="Arial" w:hAnsi="Arial"/>
                <w:sz w:val="28"/>
                <w:szCs w:val="28"/>
                <w:color w:val="auto"/>
                <w:vertAlign w:val="subscript"/>
              </w:rPr>
              <w:t>​ ​</w:t>
            </w:r>
          </w:p>
        </w:tc>
        <w:tc>
          <w:tcPr>
            <w:tcW w:w="124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131%</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920" w:type="dxa"/>
            <w:vAlign w:val="bottom"/>
            <w:tcBorders>
              <w:bottom w:val="single" w:sz="8" w:color="424E6A"/>
            </w:tcBorders>
            <w:gridSpan w:val="3"/>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60%</w:t>
            </w:r>
            <w:r>
              <w:rPr>
                <w:rFonts w:ascii="Arial" w:cs="Arial" w:eastAsia="Arial" w:hAnsi="Arial"/>
                <w:sz w:val="15"/>
                <w:szCs w:val="15"/>
                <w:color w:val="auto"/>
              </w:rPr>
              <w:t>​​ ​</w:t>
            </w:r>
            <w:r>
              <w:rPr>
                <w:rFonts w:ascii="Arial" w:cs="Arial" w:eastAsia="Arial" w:hAnsi="Arial"/>
                <w:sz w:val="28"/>
                <w:szCs w:val="28"/>
                <w:color w:val="auto"/>
                <w:vertAlign w:val="superscript"/>
              </w:rPr>
              <w:t>+</w:t>
            </w:r>
            <w:r>
              <w:rPr>
                <w:rFonts w:ascii="Arial" w:cs="Arial" w:eastAsia="Arial" w:hAnsi="Arial"/>
                <w:sz w:val="15"/>
                <w:szCs w:val="15"/>
                <w:color w:val="auto"/>
              </w:rPr>
              <w:t xml:space="preserve"> ​ ​</w:t>
            </w:r>
          </w:p>
        </w:tc>
        <w:tc>
          <w:tcPr>
            <w:tcW w:w="1260" w:type="dxa"/>
            <w:vAlign w:val="bottom"/>
            <w:tcBorders>
              <w:bottom w:val="single" w:sz="8" w:color="424E6A"/>
            </w:tcBorders>
          </w:tcPr>
          <w:p>
            <w:pPr>
              <w:ind w:left="1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175%</w:t>
            </w:r>
            <w:r>
              <w:rPr>
                <w:rFonts w:ascii="Arial" w:cs="Arial" w:eastAsia="Arial" w:hAnsi="Arial"/>
                <w:sz w:val="15"/>
                <w:szCs w:val="15"/>
                <w:color w:val="auto"/>
              </w:rPr>
              <w:t xml:space="preserve"> ​​ ​</w:t>
            </w:r>
            <w:r>
              <w:rPr>
                <w:rFonts w:ascii="Arial" w:cs="Arial" w:eastAsia="Arial" w:hAnsi="Arial"/>
                <w:sz w:val="28"/>
                <w:szCs w:val="28"/>
                <w:color w:val="auto"/>
                <w:vertAlign w:val="superscript"/>
              </w:rPr>
              <w:t>x</w:t>
            </w:r>
            <w:r>
              <w:rPr>
                <w:rFonts w:ascii="Arial" w:cs="Arial" w:eastAsia="Arial" w:hAnsi="Arial"/>
                <w:sz w:val="15"/>
                <w:szCs w:val="15"/>
                <w:color w:val="auto"/>
              </w:rPr>
              <w:t xml:space="preserve"> ​ ​</w:t>
            </w:r>
          </w:p>
        </w:tc>
        <w:tc>
          <w:tcPr>
            <w:tcW w:w="840" w:type="dxa"/>
            <w:vAlign w:val="bottom"/>
            <w:tcBorders>
              <w:bottom w:val="single" w:sz="8" w:color="424E6A"/>
            </w:tcBorders>
            <w:gridSpan w:val="2"/>
          </w:tcPr>
          <w:p>
            <w:pPr>
              <w:ind w:left="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40%</w:t>
            </w: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100" w:type="dxa"/>
            <w:vAlign w:val="bottom"/>
            <w:tcBorders>
              <w:bottom w:val="single" w:sz="8" w:color="424E6A"/>
            </w:tcBorders>
          </w:tcPr>
          <w:p>
            <w:pPr>
              <w:spacing w:after="0"/>
              <w:rPr>
                <w:sz w:val="21"/>
                <w:szCs w:val="21"/>
                <w:color w:val="auto"/>
              </w:rPr>
            </w:pPr>
          </w:p>
        </w:tc>
        <w:tc>
          <w:tcPr>
            <w:tcW w:w="880" w:type="dxa"/>
            <w:vAlign w:val="bottom"/>
            <w:tcBorders>
              <w:bottom w:val="single" w:sz="8" w:color="424E6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149% </w:t>
            </w:r>
            <w:r>
              <w:rPr>
                <w:rFonts w:ascii="Arial" w:cs="Arial" w:eastAsia="Arial" w:hAnsi="Arial"/>
                <w:sz w:val="28"/>
                <w:szCs w:val="28"/>
                <w:color w:val="auto"/>
                <w:vertAlign w:val="subscript"/>
              </w:rPr>
              <w:t>​</w:t>
            </w:r>
          </w:p>
        </w:tc>
        <w:tc>
          <w:tcPr>
            <w:tcW w:w="1080" w:type="dxa"/>
            <w:vAlign w:val="bottom"/>
            <w:tcBorders>
              <w:bottom w:val="single" w:sz="8" w:color="424E6A"/>
              <w:right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$1,340,000</w:t>
            </w:r>
          </w:p>
        </w:tc>
      </w:tr>
    </w:tbl>
    <w:p>
      <w:pPr>
        <w:spacing w:after="0" w:line="126" w:lineRule="exact"/>
        <w:rPr>
          <w:sz w:val="20"/>
          <w:szCs w:val="20"/>
          <w:color w:val="auto"/>
        </w:rPr>
      </w:pPr>
    </w:p>
    <w:p>
      <w:pPr>
        <w:ind w:left="1620" w:hanging="360"/>
        <w:spacing w:after="0"/>
        <w:tabs>
          <w:tab w:leader="none" w:pos="16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color w:val="auto"/>
        </w:rPr>
        <w:t>Final amounts were rounded up to the nearest multiple of $5,000.</w:t>
      </w:r>
    </w:p>
    <w:p>
      <w:pPr>
        <w:spacing w:after="0" w:line="139" w:lineRule="exact"/>
        <w:rPr>
          <w:sz w:val="20"/>
          <w:szCs w:val="20"/>
          <w:color w:val="auto"/>
        </w:rPr>
      </w:pPr>
    </w:p>
    <w:p>
      <w:pPr>
        <w:ind w:left="1260" w:right="460" w:firstLine="360"/>
        <w:spacing w:after="0" w:line="268" w:lineRule="auto"/>
        <w:rPr>
          <w:sz w:val="20"/>
          <w:szCs w:val="20"/>
          <w:color w:val="auto"/>
        </w:rPr>
      </w:pPr>
      <w:r>
        <w:rPr>
          <w:rFonts w:ascii="Arial" w:cs="Arial" w:eastAsia="Arial" w:hAnsi="Arial"/>
          <w:sz w:val="18"/>
          <w:szCs w:val="18"/>
          <w:i w:val="1"/>
          <w:iCs w:val="1"/>
          <w:color w:val="auto"/>
        </w:rPr>
        <w:t xml:space="preserve">Long-Term Incentive Awards. </w:t>
      </w:r>
      <w:r>
        <w:rPr>
          <w:rFonts w:ascii="Arial" w:cs="Arial" w:eastAsia="Arial" w:hAnsi="Arial"/>
          <w:sz w:val="18"/>
          <w:szCs w:val="18"/>
          <w:color w:val="auto"/>
        </w:rPr>
        <w:t>The annual LTIP targets for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as a percentage of base salary, and the value of the 2023 annual LTIP awards to the Named Executive Officers are set forth in the table below:</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000" w:type="dxa"/>
            <w:vAlign w:val="bottom"/>
            <w:tcBorders>
              <w:left w:val="single" w:sz="8" w:color="424E6A"/>
              <w:right w:val="single" w:sz="8" w:color="424E6A"/>
            </w:tcBorders>
            <w:shd w:val="clear" w:color="auto" w:fill="424E6A"/>
          </w:tcPr>
          <w:p>
            <w:pPr>
              <w:spacing w:after="0"/>
              <w:rPr>
                <w:sz w:val="17"/>
                <w:szCs w:val="17"/>
                <w:color w:val="auto"/>
              </w:rPr>
            </w:pPr>
          </w:p>
        </w:tc>
        <w:tc>
          <w:tcPr>
            <w:tcW w:w="1220" w:type="dxa"/>
            <w:vAlign w:val="bottom"/>
            <w:shd w:val="clear" w:color="auto" w:fill="424E6A"/>
          </w:tcPr>
          <w:p>
            <w:pPr>
              <w:jc w:val="center"/>
              <w:ind w:left="7"/>
              <w:spacing w:after="0"/>
              <w:rPr>
                <w:sz w:val="20"/>
                <w:szCs w:val="20"/>
                <w:color w:val="auto"/>
              </w:rPr>
            </w:pPr>
            <w:r>
              <w:rPr>
                <w:rFonts w:ascii="Arial" w:cs="Arial" w:eastAsia="Arial" w:hAnsi="Arial"/>
                <w:sz w:val="14"/>
                <w:szCs w:val="14"/>
                <w:b w:val="1"/>
                <w:bCs w:val="1"/>
                <w:color w:val="FFFFFF"/>
              </w:rPr>
              <w:t>Annual LTIP</w:t>
            </w:r>
          </w:p>
        </w:tc>
        <w:tc>
          <w:tcPr>
            <w:tcW w:w="140" w:type="dxa"/>
            <w:vAlign w:val="bottom"/>
            <w:tcBorders>
              <w:right w:val="single" w:sz="8" w:color="424E6A"/>
            </w:tcBorders>
            <w:shd w:val="clear" w:color="auto" w:fill="424E6A"/>
          </w:tcPr>
          <w:p>
            <w:pPr>
              <w:spacing w:after="0"/>
              <w:rPr>
                <w:sz w:val="17"/>
                <w:szCs w:val="17"/>
                <w:color w:val="auto"/>
              </w:rPr>
            </w:pPr>
          </w:p>
        </w:tc>
        <w:tc>
          <w:tcPr>
            <w:tcW w:w="220" w:type="dxa"/>
            <w:vAlign w:val="bottom"/>
            <w:shd w:val="clear" w:color="auto" w:fill="424E6A"/>
          </w:tcPr>
          <w:p>
            <w:pPr>
              <w:spacing w:after="0"/>
              <w:rPr>
                <w:sz w:val="17"/>
                <w:szCs w:val="17"/>
                <w:color w:val="auto"/>
              </w:rPr>
            </w:pPr>
          </w:p>
        </w:tc>
        <w:tc>
          <w:tcPr>
            <w:tcW w:w="900" w:type="dxa"/>
            <w:vAlign w:val="bottom"/>
            <w:shd w:val="clear" w:color="auto" w:fill="424E6A"/>
          </w:tcPr>
          <w:p>
            <w:pPr>
              <w:spacing w:after="0"/>
              <w:rPr>
                <w:sz w:val="17"/>
                <w:szCs w:val="17"/>
                <w:color w:val="auto"/>
              </w:rPr>
            </w:pPr>
          </w:p>
        </w:tc>
        <w:tc>
          <w:tcPr>
            <w:tcW w:w="160" w:type="dxa"/>
            <w:vAlign w:val="bottom"/>
            <w:tcBorders>
              <w:right w:val="single" w:sz="8" w:color="424E6A"/>
            </w:tcBorders>
            <w:shd w:val="clear" w:color="auto" w:fill="424E6A"/>
          </w:tcPr>
          <w:p>
            <w:pPr>
              <w:spacing w:after="0"/>
              <w:rPr>
                <w:sz w:val="17"/>
                <w:szCs w:val="17"/>
                <w:color w:val="auto"/>
              </w:rPr>
            </w:pPr>
          </w:p>
        </w:tc>
        <w:tc>
          <w:tcPr>
            <w:tcW w:w="480" w:type="dxa"/>
            <w:vAlign w:val="bottom"/>
            <w:shd w:val="clear" w:color="auto" w:fill="424E6A"/>
          </w:tcPr>
          <w:p>
            <w:pPr>
              <w:spacing w:after="0"/>
              <w:rPr>
                <w:sz w:val="17"/>
                <w:szCs w:val="17"/>
                <w:color w:val="auto"/>
              </w:rPr>
            </w:pPr>
          </w:p>
        </w:tc>
        <w:tc>
          <w:tcPr>
            <w:tcW w:w="62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420" w:type="dxa"/>
            <w:vAlign w:val="bottom"/>
            <w:shd w:val="clear" w:color="auto" w:fill="424E6A"/>
          </w:tcPr>
          <w:p>
            <w:pPr>
              <w:spacing w:after="0"/>
              <w:rPr>
                <w:sz w:val="17"/>
                <w:szCs w:val="17"/>
                <w:color w:val="auto"/>
              </w:rPr>
            </w:pPr>
          </w:p>
        </w:tc>
        <w:tc>
          <w:tcPr>
            <w:tcW w:w="50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440" w:type="dxa"/>
            <w:vAlign w:val="bottom"/>
            <w:shd w:val="clear" w:color="auto" w:fill="424E6A"/>
          </w:tcPr>
          <w:p>
            <w:pPr>
              <w:spacing w:after="0"/>
              <w:rPr>
                <w:sz w:val="17"/>
                <w:szCs w:val="17"/>
                <w:color w:val="auto"/>
              </w:rPr>
            </w:pPr>
          </w:p>
        </w:tc>
        <w:tc>
          <w:tcPr>
            <w:tcW w:w="66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0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90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480" w:type="dxa"/>
            <w:vAlign w:val="bottom"/>
            <w:shd w:val="clear" w:color="auto" w:fill="424E6A"/>
          </w:tcPr>
          <w:p>
            <w:pPr>
              <w:spacing w:after="0"/>
              <w:rPr>
                <w:sz w:val="14"/>
                <w:szCs w:val="14"/>
                <w:color w:val="auto"/>
              </w:rPr>
            </w:pPr>
          </w:p>
        </w:tc>
        <w:tc>
          <w:tcPr>
            <w:tcW w:w="6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420" w:type="dxa"/>
            <w:vAlign w:val="bottom"/>
            <w:shd w:val="clear" w:color="auto" w:fill="424E6A"/>
          </w:tcPr>
          <w:p>
            <w:pPr>
              <w:spacing w:after="0"/>
              <w:rPr>
                <w:sz w:val="14"/>
                <w:szCs w:val="14"/>
                <w:color w:val="auto"/>
              </w:rPr>
            </w:pPr>
          </w:p>
        </w:tc>
        <w:tc>
          <w:tcPr>
            <w:tcW w:w="50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44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Target Value</w:t>
            </w:r>
          </w:p>
        </w:tc>
        <w:tc>
          <w:tcPr>
            <w:tcW w:w="140" w:type="dxa"/>
            <w:vAlign w:val="bottom"/>
            <w:tcBorders>
              <w:right w:val="single" w:sz="8" w:color="424E6A"/>
            </w:tcBorders>
            <w:shd w:val="clear" w:color="auto" w:fill="424E6A"/>
          </w:tcPr>
          <w:p>
            <w:pPr>
              <w:spacing w:after="0"/>
              <w:rPr>
                <w:sz w:val="14"/>
                <w:szCs w:val="14"/>
                <w:color w:val="auto"/>
              </w:rPr>
            </w:pPr>
          </w:p>
        </w:tc>
        <w:tc>
          <w:tcPr>
            <w:tcW w:w="1120" w:type="dxa"/>
            <w:vAlign w:val="bottom"/>
            <w:gridSpan w:val="2"/>
            <w:shd w:val="clear" w:color="auto" w:fill="424E6A"/>
          </w:tcPr>
          <w:p>
            <w:pPr>
              <w:jc w:val="center"/>
              <w:ind w:left="2"/>
              <w:spacing w:after="0"/>
              <w:rPr>
                <w:sz w:val="20"/>
                <w:szCs w:val="20"/>
                <w:color w:val="auto"/>
              </w:rPr>
            </w:pPr>
            <w:r>
              <w:rPr>
                <w:rFonts w:ascii="Arial" w:cs="Arial" w:eastAsia="Arial" w:hAnsi="Arial"/>
                <w:sz w:val="14"/>
                <w:szCs w:val="14"/>
                <w:b w:val="1"/>
                <w:bCs w:val="1"/>
                <w:color w:val="FFFFFF"/>
              </w:rPr>
              <w:t>2023 Annual</w:t>
            </w:r>
          </w:p>
        </w:tc>
        <w:tc>
          <w:tcPr>
            <w:tcW w:w="160" w:type="dxa"/>
            <w:vAlign w:val="bottom"/>
            <w:tcBorders>
              <w:right w:val="single" w:sz="8" w:color="424E6A"/>
            </w:tcBorders>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2023 Annual</w:t>
            </w:r>
          </w:p>
        </w:tc>
        <w:tc>
          <w:tcPr>
            <w:tcW w:w="120" w:type="dxa"/>
            <w:vAlign w:val="bottom"/>
            <w:tcBorders>
              <w:right w:val="single" w:sz="8" w:color="424E6A"/>
            </w:tcBorders>
            <w:shd w:val="clear" w:color="auto" w:fill="424E6A"/>
          </w:tcPr>
          <w:p>
            <w:pPr>
              <w:spacing w:after="0"/>
              <w:rPr>
                <w:sz w:val="14"/>
                <w:szCs w:val="14"/>
                <w:color w:val="auto"/>
              </w:rPr>
            </w:pPr>
          </w:p>
        </w:tc>
        <w:tc>
          <w:tcPr>
            <w:tcW w:w="920" w:type="dxa"/>
            <w:vAlign w:val="bottom"/>
            <w:gridSpan w:val="2"/>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Time-Based</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Performance-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Borders>
              <w:left w:val="single" w:sz="8" w:color="424E6A"/>
              <w:right w:val="single" w:sz="8" w:color="424E6A"/>
            </w:tcBorders>
            <w:shd w:val="clear" w:color="auto" w:fill="424E6A"/>
          </w:tcPr>
          <w:p>
            <w:pPr>
              <w:spacing w:after="0"/>
              <w:rPr>
                <w:sz w:val="14"/>
                <w:szCs w:val="14"/>
                <w:color w:val="auto"/>
              </w:rPr>
            </w:pPr>
          </w:p>
        </w:tc>
        <w:tc>
          <w:tcPr>
            <w:tcW w:w="1220" w:type="dxa"/>
            <w:vAlign w:val="bottom"/>
            <w:shd w:val="clear" w:color="auto" w:fill="424E6A"/>
          </w:tcPr>
          <w:p>
            <w:pPr>
              <w:jc w:val="center"/>
              <w:ind w:left="7"/>
              <w:spacing w:after="0"/>
              <w:rPr>
                <w:sz w:val="20"/>
                <w:szCs w:val="20"/>
                <w:color w:val="auto"/>
              </w:rPr>
            </w:pPr>
            <w:r>
              <w:rPr>
                <w:rFonts w:ascii="Arial" w:cs="Arial" w:eastAsia="Arial" w:hAnsi="Arial"/>
                <w:sz w:val="14"/>
                <w:szCs w:val="14"/>
                <w:b w:val="1"/>
                <w:bCs w:val="1"/>
                <w:color w:val="FFFFFF"/>
              </w:rPr>
              <w:t>(as a percentage</w:t>
            </w:r>
          </w:p>
        </w:tc>
        <w:tc>
          <w:tcPr>
            <w:tcW w:w="14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900" w:type="dxa"/>
            <w:vAlign w:val="bottom"/>
            <w:shd w:val="clear" w:color="auto" w:fill="424E6A"/>
          </w:tcPr>
          <w:p>
            <w:pPr>
              <w:jc w:val="center"/>
              <w:ind w:right="56"/>
              <w:spacing w:after="0"/>
              <w:rPr>
                <w:sz w:val="20"/>
                <w:szCs w:val="20"/>
                <w:color w:val="auto"/>
              </w:rPr>
            </w:pPr>
            <w:r>
              <w:rPr>
                <w:rFonts w:ascii="Arial" w:cs="Arial" w:eastAsia="Arial" w:hAnsi="Arial"/>
                <w:sz w:val="14"/>
                <w:szCs w:val="14"/>
                <w:b w:val="1"/>
                <w:bCs w:val="1"/>
                <w:color w:val="FFFFFF"/>
              </w:rPr>
              <w:t>LTIP Award</w:t>
            </w:r>
          </w:p>
        </w:tc>
        <w:tc>
          <w:tcPr>
            <w:tcW w:w="160" w:type="dxa"/>
            <w:vAlign w:val="bottom"/>
            <w:tcBorders>
              <w:right w:val="single" w:sz="8" w:color="424E6A"/>
            </w:tcBorders>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Phantom Units</w:t>
            </w:r>
          </w:p>
        </w:tc>
        <w:tc>
          <w:tcPr>
            <w:tcW w:w="120" w:type="dxa"/>
            <w:vAlign w:val="bottom"/>
            <w:tcBorders>
              <w:right w:val="single" w:sz="8" w:color="424E6A"/>
            </w:tcBorders>
            <w:shd w:val="clear" w:color="auto" w:fill="424E6A"/>
          </w:tcPr>
          <w:p>
            <w:pPr>
              <w:spacing w:after="0"/>
              <w:rPr>
                <w:sz w:val="14"/>
                <w:szCs w:val="14"/>
                <w:color w:val="auto"/>
              </w:rPr>
            </w:pPr>
          </w:p>
        </w:tc>
        <w:tc>
          <w:tcPr>
            <w:tcW w:w="920" w:type="dxa"/>
            <w:vAlign w:val="bottom"/>
            <w:gridSpan w:val="2"/>
            <w:shd w:val="clear" w:color="auto" w:fill="424E6A"/>
          </w:tcPr>
          <w:p>
            <w:pPr>
              <w:jc w:val="center"/>
              <w:ind w:left="4"/>
              <w:spacing w:after="0"/>
              <w:rPr>
                <w:sz w:val="20"/>
                <w:szCs w:val="20"/>
                <w:color w:val="auto"/>
              </w:rPr>
            </w:pPr>
            <w:r>
              <w:rPr>
                <w:rFonts w:ascii="Arial" w:cs="Arial" w:eastAsia="Arial" w:hAnsi="Arial"/>
                <w:sz w:val="14"/>
                <w:szCs w:val="14"/>
                <w:b w:val="1"/>
                <w:bCs w:val="1"/>
                <w:color w:val="FFFFFF"/>
              </w:rPr>
              <w:t>Phantom</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Based Phantom</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00" w:type="dxa"/>
            <w:vAlign w:val="bottom"/>
            <w:tcBorders>
              <w:left w:val="single" w:sz="8" w:color="424E6A"/>
              <w:righ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Named Executive Officer</w:t>
            </w:r>
          </w:p>
        </w:tc>
        <w:tc>
          <w:tcPr>
            <w:tcW w:w="1220" w:type="dxa"/>
            <w:vAlign w:val="bottom"/>
            <w:shd w:val="clear" w:color="auto" w:fill="424E6A"/>
          </w:tcPr>
          <w:p>
            <w:pPr>
              <w:jc w:val="center"/>
              <w:ind w:left="27"/>
              <w:spacing w:after="0"/>
              <w:rPr>
                <w:sz w:val="20"/>
                <w:szCs w:val="20"/>
                <w:color w:val="auto"/>
              </w:rPr>
            </w:pPr>
            <w:r>
              <w:rPr>
                <w:rFonts w:ascii="Arial" w:cs="Arial" w:eastAsia="Arial" w:hAnsi="Arial"/>
                <w:sz w:val="14"/>
                <w:szCs w:val="14"/>
                <w:b w:val="1"/>
                <w:bCs w:val="1"/>
                <w:color w:val="FFFFFF"/>
              </w:rPr>
              <w:t>of base salary)</w:t>
            </w:r>
          </w:p>
        </w:tc>
        <w:tc>
          <w:tcPr>
            <w:tcW w:w="140" w:type="dxa"/>
            <w:vAlign w:val="bottom"/>
            <w:tcBorders>
              <w:right w:val="single" w:sz="8" w:color="424E6A"/>
            </w:tcBorders>
            <w:shd w:val="clear" w:color="auto" w:fill="424E6A"/>
          </w:tcPr>
          <w:p>
            <w:pPr>
              <w:spacing w:after="0"/>
              <w:rPr>
                <w:sz w:val="18"/>
                <w:szCs w:val="18"/>
                <w:color w:val="auto"/>
              </w:rPr>
            </w:pPr>
          </w:p>
        </w:tc>
        <w:tc>
          <w:tcPr>
            <w:tcW w:w="220" w:type="dxa"/>
            <w:vAlign w:val="bottom"/>
            <w:shd w:val="clear" w:color="auto" w:fill="424E6A"/>
          </w:tcPr>
          <w:p>
            <w:pPr>
              <w:spacing w:after="0"/>
              <w:rPr>
                <w:sz w:val="18"/>
                <w:szCs w:val="18"/>
                <w:color w:val="auto"/>
              </w:rPr>
            </w:pPr>
          </w:p>
        </w:tc>
        <w:tc>
          <w:tcPr>
            <w:tcW w:w="900" w:type="dxa"/>
            <w:vAlign w:val="bottom"/>
            <w:shd w:val="clear" w:color="auto" w:fill="424E6A"/>
          </w:tcPr>
          <w:p>
            <w:pPr>
              <w:jc w:val="center"/>
              <w:ind w:right="16"/>
              <w:spacing w:after="0"/>
              <w:rPr>
                <w:sz w:val="20"/>
                <w:szCs w:val="20"/>
                <w:color w:val="auto"/>
              </w:rPr>
            </w:pPr>
            <w:r>
              <w:rPr>
                <w:rFonts w:ascii="Arial" w:cs="Arial" w:eastAsia="Arial" w:hAnsi="Arial"/>
                <w:sz w:val="14"/>
                <w:szCs w:val="14"/>
                <w:b w:val="1"/>
                <w:bCs w:val="1"/>
                <w:color w:val="FFFFFF"/>
              </w:rPr>
              <w:t>Value</w:t>
            </w:r>
          </w:p>
        </w:tc>
        <w:tc>
          <w:tcPr>
            <w:tcW w:w="160" w:type="dxa"/>
            <w:vAlign w:val="bottom"/>
            <w:tcBorders>
              <w:right w:val="single" w:sz="8" w:color="424E6A"/>
            </w:tcBorders>
            <w:shd w:val="clear" w:color="auto" w:fill="424E6A"/>
          </w:tcPr>
          <w:p>
            <w:pPr>
              <w:spacing w:after="0"/>
              <w:rPr>
                <w:sz w:val="18"/>
                <w:szCs w:val="18"/>
                <w:color w:val="auto"/>
              </w:rPr>
            </w:pPr>
          </w:p>
        </w:tc>
        <w:tc>
          <w:tcPr>
            <w:tcW w:w="1100" w:type="dxa"/>
            <w:vAlign w:val="bottom"/>
            <w:gridSpan w:val="2"/>
            <w:shd w:val="clear" w:color="auto" w:fill="424E6A"/>
          </w:tcPr>
          <w:p>
            <w:pPr>
              <w:jc w:val="center"/>
              <w:ind w:left="23"/>
              <w:spacing w:after="0"/>
              <w:rPr>
                <w:sz w:val="20"/>
                <w:szCs w:val="20"/>
                <w:color w:val="auto"/>
              </w:rPr>
            </w:pPr>
            <w:r>
              <w:rPr>
                <w:rFonts w:ascii="Arial" w:cs="Arial" w:eastAsia="Arial" w:hAnsi="Arial"/>
                <w:sz w:val="14"/>
                <w:szCs w:val="14"/>
                <w:b w:val="1"/>
                <w:bCs w:val="1"/>
                <w:color w:val="FFFFFF"/>
                <w:w w:val="94"/>
              </w:rPr>
              <w:t>Granted</w:t>
            </w:r>
            <w:r>
              <w:rPr>
                <w:rFonts w:ascii="Arial" w:cs="Arial" w:eastAsia="Arial" w:hAnsi="Arial"/>
                <w:sz w:val="17"/>
                <w:szCs w:val="17"/>
                <w:b w:val="1"/>
                <w:bCs w:val="1"/>
                <w:color w:val="FFFFFF"/>
                <w:w w:val="94"/>
                <w:vertAlign w:val="superscript"/>
              </w:rPr>
              <w:t>(1)</w:t>
            </w:r>
          </w:p>
        </w:tc>
        <w:tc>
          <w:tcPr>
            <w:tcW w:w="120" w:type="dxa"/>
            <w:vAlign w:val="bottom"/>
            <w:tcBorders>
              <w:right w:val="single" w:sz="8" w:color="424E6A"/>
            </w:tcBorders>
            <w:shd w:val="clear" w:color="auto" w:fill="424E6A"/>
          </w:tcPr>
          <w:p>
            <w:pPr>
              <w:spacing w:after="0"/>
              <w:rPr>
                <w:sz w:val="18"/>
                <w:szCs w:val="18"/>
                <w:color w:val="auto"/>
              </w:rPr>
            </w:pPr>
          </w:p>
        </w:tc>
        <w:tc>
          <w:tcPr>
            <w:tcW w:w="920" w:type="dxa"/>
            <w:vAlign w:val="bottom"/>
            <w:gridSpan w:val="2"/>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Units (50%)</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1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Units (50%)</w:t>
            </w:r>
          </w:p>
        </w:tc>
        <w:tc>
          <w:tcPr>
            <w:tcW w:w="10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00" w:type="dxa"/>
            <w:vAlign w:val="bottom"/>
            <w:tcBorders>
              <w:left w:val="single" w:sz="8" w:color="424E6A"/>
              <w:bottom w:val="single" w:sz="8" w:color="424E6A"/>
              <w:right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Willie Chiang</w:t>
            </w:r>
          </w:p>
        </w:tc>
        <w:tc>
          <w:tcPr>
            <w:tcW w:w="1220" w:type="dxa"/>
            <w:vAlign w:val="bottom"/>
            <w:tcBorders>
              <w:bottom w:val="single" w:sz="8" w:color="424E6A"/>
            </w:tcBorders>
            <w:shd w:val="clear" w:color="auto" w:fill="D9DCE1"/>
          </w:tcPr>
          <w:p>
            <w:pPr>
              <w:jc w:val="right"/>
              <w:ind w:right="187"/>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600%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gridSpan w:val="2"/>
            <w:shd w:val="clear" w:color="auto" w:fill="D9DCE1"/>
          </w:tcPr>
          <w:p>
            <w:pPr>
              <w:ind w:left="1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$4,800,000</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gridSpan w:val="2"/>
            <w:shd w:val="clear" w:color="auto" w:fill="D9DCE1"/>
          </w:tcPr>
          <w:p>
            <w:pPr>
              <w:ind w:left="26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324,100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spacing w:after="0" w:line="256"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 xml:space="preserve">162,050 </w:t>
            </w:r>
            <w:r>
              <w:rPr>
                <w:rFonts w:ascii="Arial" w:cs="Arial" w:eastAsia="Arial" w:hAnsi="Arial"/>
                <w:sz w:val="29"/>
                <w:szCs w:val="29"/>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gridSpan w:val="2"/>
            <w:shd w:val="clear" w:color="auto" w:fill="D9DCE1"/>
          </w:tcPr>
          <w:p>
            <w:pPr>
              <w:ind w:left="2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162,050</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00" w:type="dxa"/>
            <w:vAlign w:val="bottom"/>
            <w:tcBorders>
              <w:left w:val="single" w:sz="8" w:color="424E6A"/>
              <w:right w:val="single" w:sz="8" w:color="424E6A"/>
            </w:tcBorders>
          </w:tcPr>
          <w:p>
            <w:pPr>
              <w:ind w:left="60"/>
              <w:spacing w:after="0" w:line="182" w:lineRule="exact"/>
              <w:rPr>
                <w:sz w:val="20"/>
                <w:szCs w:val="20"/>
                <w:color w:val="auto"/>
              </w:rPr>
            </w:pPr>
            <w:r>
              <w:rPr>
                <w:rFonts w:ascii="Arial" w:cs="Arial" w:eastAsia="Arial" w:hAnsi="Arial"/>
                <w:sz w:val="18"/>
                <w:szCs w:val="18"/>
                <w:color w:val="auto"/>
              </w:rPr>
              <w:t>Harry Pefanis</w:t>
            </w:r>
          </w:p>
        </w:tc>
        <w:tc>
          <w:tcPr>
            <w:tcW w:w="1220" w:type="dxa"/>
            <w:vAlign w:val="bottom"/>
          </w:tcPr>
          <w:p>
            <w:pPr>
              <w:jc w:val="right"/>
              <w:ind w:right="187"/>
              <w:spacing w:after="0" w:line="182" w:lineRule="exact"/>
              <w:rPr>
                <w:sz w:val="20"/>
                <w:szCs w:val="20"/>
                <w:color w:val="auto"/>
              </w:rPr>
            </w:pPr>
            <w:r>
              <w:rPr>
                <w:rFonts w:ascii="Arial" w:cs="Arial" w:eastAsia="Arial" w:hAnsi="Arial"/>
                <w:sz w:val="18"/>
                <w:szCs w:val="18"/>
                <w:color w:val="auto"/>
              </w:rPr>
              <w:t>500%</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424E6A"/>
            </w:tcBorders>
            <w:gridSpan w:val="2"/>
          </w:tcPr>
          <w:p>
            <w:pPr>
              <w:jc w:val="right"/>
              <w:spacing w:after="0" w:line="183"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9"/>
                <w:szCs w:val="9"/>
                <w:color w:val="auto"/>
              </w:rPr>
              <w:t>(2)</w:t>
            </w:r>
          </w:p>
        </w:tc>
        <w:tc>
          <w:tcPr>
            <w:tcW w:w="48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ind w:left="200"/>
              <w:spacing w:after="0" w:line="183"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9"/>
                <w:szCs w:val="9"/>
                <w:color w:val="auto"/>
              </w:rPr>
              <w:t>(2)</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640" w:type="dxa"/>
            <w:vAlign w:val="bottom"/>
            <w:tcBorders>
              <w:right w:val="single" w:sz="8" w:color="424E6A"/>
            </w:tcBorders>
            <w:gridSpan w:val="2"/>
          </w:tcPr>
          <w:p>
            <w:pPr>
              <w:jc w:val="right"/>
              <w:ind w:right="7"/>
              <w:spacing w:after="0" w:line="183"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9"/>
                <w:szCs w:val="9"/>
                <w:color w:val="auto"/>
              </w:rPr>
              <w:t>(2)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ind w:left="180"/>
              <w:spacing w:after="0" w:line="183" w:lineRule="exact"/>
              <w:rPr>
                <w:sz w:val="20"/>
                <w:szCs w:val="20"/>
                <w:color w:val="auto"/>
              </w:rPr>
            </w:pPr>
            <w:r>
              <w:rPr>
                <w:rFonts w:ascii="Arial" w:cs="Arial" w:eastAsia="Arial" w:hAnsi="Arial"/>
                <w:sz w:val="21"/>
                <w:szCs w:val="21"/>
                <w:color w:val="auto"/>
                <w:vertAlign w:val="subscript"/>
              </w:rPr>
              <w:t>n/a</w:t>
            </w:r>
            <w:r>
              <w:rPr>
                <w:rFonts w:ascii="Arial" w:cs="Arial" w:eastAsia="Arial" w:hAnsi="Arial"/>
                <w:sz w:val="9"/>
                <w:szCs w:val="9"/>
                <w:color w:val="auto"/>
              </w:rPr>
              <w:t>(2)</w:t>
            </w:r>
          </w:p>
        </w:tc>
        <w:tc>
          <w:tcPr>
            <w:tcW w:w="10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00" w:type="dxa"/>
            <w:vAlign w:val="bottom"/>
            <w:tcBorders>
              <w:left w:val="single" w:sz="8" w:color="424E6A"/>
              <w:bottom w:val="single" w:sz="8" w:color="424E6A"/>
              <w:right w:val="single" w:sz="8" w:color="424E6A"/>
            </w:tcBorders>
          </w:tcPr>
          <w:p>
            <w:pPr>
              <w:ind w:left="40"/>
              <w:spacing w:after="0" w:line="68" w:lineRule="exact"/>
              <w:rPr>
                <w:sz w:val="20"/>
                <w:szCs w:val="20"/>
                <w:color w:val="auto"/>
              </w:rPr>
            </w:pPr>
            <w:r>
              <w:rPr>
                <w:rFonts w:ascii="Arial" w:cs="Arial" w:eastAsia="Arial" w:hAnsi="Arial"/>
                <w:sz w:val="7"/>
                <w:szCs w:val="7"/>
                <w:color w:val="auto"/>
              </w:rPr>
              <w:t>​</w:t>
            </w:r>
          </w:p>
        </w:tc>
        <w:tc>
          <w:tcPr>
            <w:tcW w:w="1220" w:type="dxa"/>
            <w:vAlign w:val="bottom"/>
            <w:tcBorders>
              <w:bottom w:val="single" w:sz="8" w:color="424E6A"/>
            </w:tcBorders>
          </w:tcPr>
          <w:p>
            <w:pPr>
              <w:jc w:val="right"/>
              <w:ind w:right="607"/>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220" w:type="dxa"/>
            <w:vAlign w:val="bottom"/>
            <w:tcBorders>
              <w:bottom w:val="single" w:sz="8" w:color="424E6A"/>
            </w:tcBorders>
            <w:vMerge w:val="continue"/>
          </w:tcPr>
          <w:p>
            <w:pPr>
              <w:spacing w:after="0"/>
              <w:rPr>
                <w:sz w:val="5"/>
                <w:szCs w:val="5"/>
                <w:color w:val="auto"/>
              </w:rPr>
            </w:pPr>
          </w:p>
        </w:tc>
        <w:tc>
          <w:tcPr>
            <w:tcW w:w="900" w:type="dxa"/>
            <w:vAlign w:val="bottom"/>
            <w:tcBorders>
              <w:bottom w:val="single" w:sz="8" w:color="424E6A"/>
            </w:tcBorders>
          </w:tcPr>
          <w:p>
            <w:pPr>
              <w:spacing w:after="0"/>
              <w:rPr>
                <w:sz w:val="5"/>
                <w:szCs w:val="5"/>
                <w:color w:val="auto"/>
              </w:rPr>
            </w:pPr>
          </w:p>
        </w:tc>
        <w:tc>
          <w:tcPr>
            <w:tcW w:w="16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480" w:type="dxa"/>
            <w:vAlign w:val="bottom"/>
            <w:tcBorders>
              <w:bottom w:val="single" w:sz="8" w:color="424E6A"/>
            </w:tcBorders>
            <w:vMerge w:val="continue"/>
          </w:tcPr>
          <w:p>
            <w:pPr>
              <w:spacing w:after="0"/>
              <w:rPr>
                <w:sz w:val="5"/>
                <w:szCs w:val="5"/>
                <w:color w:val="auto"/>
              </w:rPr>
            </w:pPr>
          </w:p>
        </w:tc>
        <w:tc>
          <w:tcPr>
            <w:tcW w:w="62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420" w:type="dxa"/>
            <w:vAlign w:val="bottom"/>
            <w:tcBorders>
              <w:bottom w:val="single" w:sz="8" w:color="424E6A"/>
            </w:tcBorders>
            <w:vMerge w:val="continue"/>
          </w:tcPr>
          <w:p>
            <w:pPr>
              <w:spacing w:after="0"/>
              <w:rPr>
                <w:sz w:val="5"/>
                <w:szCs w:val="5"/>
                <w:color w:val="auto"/>
              </w:rPr>
            </w:pPr>
          </w:p>
        </w:tc>
        <w:tc>
          <w:tcPr>
            <w:tcW w:w="50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424E6A"/>
            </w:tcBorders>
            <w:vMerge w:val="continue"/>
          </w:tcPr>
          <w:p>
            <w:pPr>
              <w:spacing w:after="0"/>
              <w:rPr>
                <w:sz w:val="5"/>
                <w:szCs w:val="5"/>
                <w:color w:val="auto"/>
              </w:rPr>
            </w:pPr>
          </w:p>
        </w:tc>
        <w:tc>
          <w:tcPr>
            <w:tcW w:w="440" w:type="dxa"/>
            <w:vAlign w:val="bottom"/>
            <w:tcBorders>
              <w:bottom w:val="single" w:sz="8" w:color="424E6A"/>
            </w:tcBorders>
            <w:vMerge w:val="continue"/>
          </w:tcPr>
          <w:p>
            <w:pPr>
              <w:spacing w:after="0"/>
              <w:rPr>
                <w:sz w:val="5"/>
                <w:szCs w:val="5"/>
                <w:color w:val="auto"/>
              </w:rPr>
            </w:pPr>
          </w:p>
        </w:tc>
        <w:tc>
          <w:tcPr>
            <w:tcW w:w="66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00" w:type="dxa"/>
            <w:vAlign w:val="bottom"/>
            <w:tcBorders>
              <w:left w:val="single" w:sz="8" w:color="424E6A"/>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 Swanson</w:t>
            </w:r>
          </w:p>
        </w:tc>
        <w:tc>
          <w:tcPr>
            <w:tcW w:w="1220" w:type="dxa"/>
            <w:vAlign w:val="bottom"/>
            <w:tcBorders>
              <w:bottom w:val="single" w:sz="8" w:color="424E6A"/>
            </w:tcBorders>
            <w:shd w:val="clear" w:color="auto" w:fill="D9DCE1"/>
          </w:tcPr>
          <w:p>
            <w:pPr>
              <w:jc w:val="right"/>
              <w:ind w:right="18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275%</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24E6A"/>
              <w:right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$1,513,000 </w:t>
            </w:r>
            <w:r>
              <w:rPr>
                <w:rFonts w:ascii="Arial" w:cs="Arial" w:eastAsia="Arial" w:hAnsi="Arial"/>
                <w:sz w:val="28"/>
                <w:szCs w:val="28"/>
                <w:color w:val="auto"/>
                <w:vertAlign w:val="subscript"/>
              </w:rPr>
              <w:t>​</w:t>
            </w:r>
          </w:p>
        </w:tc>
        <w:tc>
          <w:tcPr>
            <w:tcW w:w="1100" w:type="dxa"/>
            <w:vAlign w:val="bottom"/>
            <w:tcBorders>
              <w:bottom w:val="single" w:sz="8" w:color="424E6A"/>
            </w:tcBorders>
            <w:gridSpan w:val="2"/>
            <w:shd w:val="clear" w:color="auto" w:fill="D9DCE1"/>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102,150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51,075 </w:t>
            </w:r>
            <w:r>
              <w:rPr>
                <w:rFonts w:ascii="Arial" w:cs="Arial" w:eastAsia="Arial" w:hAnsi="Arial"/>
                <w:sz w:val="28"/>
                <w:szCs w:val="28"/>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gridSpan w:val="2"/>
            <w:shd w:val="clear" w:color="auto" w:fill="D9DCE1"/>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00" w:type="dxa"/>
            <w:vAlign w:val="bottom"/>
            <w:tcBorders>
              <w:left w:val="single" w:sz="8" w:color="424E6A"/>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1220" w:type="dxa"/>
            <w:vAlign w:val="bottom"/>
            <w:tcBorders>
              <w:bottom w:val="single" w:sz="8" w:color="424E6A"/>
            </w:tcBorders>
          </w:tcPr>
          <w:p>
            <w:pPr>
              <w:jc w:val="right"/>
              <w:ind w:right="18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275%</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24E6A"/>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$1,513,000 </w:t>
            </w:r>
            <w:r>
              <w:rPr>
                <w:rFonts w:ascii="Arial" w:cs="Arial" w:eastAsia="Arial" w:hAnsi="Arial"/>
                <w:sz w:val="28"/>
                <w:szCs w:val="28"/>
                <w:color w:val="auto"/>
                <w:vertAlign w:val="subscript"/>
              </w:rPr>
              <w:t>​</w:t>
            </w:r>
          </w:p>
        </w:tc>
        <w:tc>
          <w:tcPr>
            <w:tcW w:w="1100" w:type="dxa"/>
            <w:vAlign w:val="bottom"/>
            <w:tcBorders>
              <w:bottom w:val="single" w:sz="8" w:color="424E6A"/>
            </w:tcBorders>
            <w:gridSpan w:val="2"/>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102,150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51,075 </w:t>
            </w:r>
            <w:r>
              <w:rPr>
                <w:rFonts w:ascii="Arial" w:cs="Arial" w:eastAsia="Arial" w:hAnsi="Arial"/>
                <w:sz w:val="28"/>
                <w:szCs w:val="28"/>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gridSpan w:val="2"/>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51,075</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00" w:type="dxa"/>
            <w:vAlign w:val="bottom"/>
            <w:tcBorders>
              <w:left w:val="single" w:sz="8" w:color="424E6A"/>
              <w:bottom w:val="single" w:sz="8" w:color="424E6A"/>
              <w:right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 Chandler</w:t>
            </w:r>
          </w:p>
        </w:tc>
        <w:tc>
          <w:tcPr>
            <w:tcW w:w="1220" w:type="dxa"/>
            <w:vAlign w:val="bottom"/>
            <w:tcBorders>
              <w:bottom w:val="single" w:sz="8" w:color="424E6A"/>
            </w:tcBorders>
            <w:shd w:val="clear" w:color="auto" w:fill="D9DCE1"/>
          </w:tcPr>
          <w:p>
            <w:pPr>
              <w:jc w:val="right"/>
              <w:ind w:right="18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gridSpan w:val="2"/>
            <w:shd w:val="clear" w:color="auto" w:fill="D9DCE1"/>
          </w:tcPr>
          <w:p>
            <w:pPr>
              <w:ind w:left="1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$1,950,000</w:t>
            </w:r>
          </w:p>
        </w:tc>
        <w:tc>
          <w:tcPr>
            <w:tcW w:w="1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gridSpan w:val="2"/>
            <w:shd w:val="clear" w:color="auto" w:fill="D9DCE1"/>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131,650</w:t>
            </w: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shd w:val="clear" w:color="auto" w:fill="D9DCE1"/>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65,825 </w:t>
            </w:r>
            <w:r>
              <w:rPr>
                <w:rFonts w:ascii="Arial" w:cs="Arial" w:eastAsia="Arial" w:hAnsi="Arial"/>
                <w:sz w:val="28"/>
                <w:szCs w:val="28"/>
                <w:color w:val="auto"/>
                <w:vertAlign w:val="subscript"/>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gridSpan w:val="2"/>
            <w:shd w:val="clear" w:color="auto" w:fill="D9DCE1"/>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65,825</w:t>
            </w:r>
          </w:p>
        </w:tc>
        <w:tc>
          <w:tcPr>
            <w:tcW w:w="10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00" w:type="dxa"/>
            <w:vAlign w:val="bottom"/>
            <w:tcBorders>
              <w:left w:val="single" w:sz="8" w:color="424E6A"/>
              <w:bottom w:val="single" w:sz="8" w:color="424E6A"/>
              <w:right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1220" w:type="dxa"/>
            <w:vAlign w:val="bottom"/>
            <w:tcBorders>
              <w:bottom w:val="single" w:sz="8" w:color="424E6A"/>
            </w:tcBorders>
          </w:tcPr>
          <w:p>
            <w:pPr>
              <w:jc w:val="right"/>
              <w:ind w:right="187"/>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325%</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424E6A"/>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$1,950,000 </w:t>
            </w:r>
            <w:r>
              <w:rPr>
                <w:rFonts w:ascii="Arial" w:cs="Arial" w:eastAsia="Arial" w:hAnsi="Arial"/>
                <w:sz w:val="28"/>
                <w:szCs w:val="28"/>
                <w:color w:val="auto"/>
                <w:vertAlign w:val="subscript"/>
              </w:rPr>
              <w:t>​</w:t>
            </w:r>
          </w:p>
        </w:tc>
        <w:tc>
          <w:tcPr>
            <w:tcW w:w="1100" w:type="dxa"/>
            <w:vAlign w:val="bottom"/>
            <w:tcBorders>
              <w:bottom w:val="single" w:sz="8" w:color="424E6A"/>
            </w:tcBorders>
            <w:gridSpan w:val="2"/>
          </w:tcPr>
          <w:p>
            <w:pPr>
              <w:ind w:left="26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131,650</w:t>
            </w: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424E6A"/>
              <w:right w:val="single" w:sz="8" w:color="424E6A"/>
            </w:tcBorders>
            <w:gridSpan w:val="3"/>
          </w:tcPr>
          <w:p>
            <w:pPr>
              <w:jc w:val="right"/>
              <w:spacing w:after="0" w:line="250" w:lineRule="exact"/>
              <w:rPr>
                <w:sz w:val="20"/>
                <w:szCs w:val="20"/>
                <w:color w:val="auto"/>
              </w:rPr>
            </w:pPr>
            <w:r>
              <w:rPr>
                <w:rFonts w:ascii="Arial" w:cs="Arial" w:eastAsia="Arial" w:hAnsi="Arial"/>
                <w:sz w:val="28"/>
                <w:szCs w:val="28"/>
                <w:color w:val="auto"/>
                <w:vertAlign w:val="subscript"/>
              </w:rPr>
              <w:t>​ ​</w:t>
            </w:r>
            <w:r>
              <w:rPr>
                <w:rFonts w:ascii="Arial" w:cs="Arial" w:eastAsia="Arial" w:hAnsi="Arial"/>
                <w:sz w:val="15"/>
                <w:szCs w:val="15"/>
                <w:color w:val="auto"/>
              </w:rPr>
              <w:t xml:space="preserve"> 65,825 </w:t>
            </w:r>
            <w:r>
              <w:rPr>
                <w:rFonts w:ascii="Arial" w:cs="Arial" w:eastAsia="Arial" w:hAnsi="Arial"/>
                <w:sz w:val="28"/>
                <w:szCs w:val="28"/>
                <w:color w:val="auto"/>
                <w:vertAlign w:val="subscript"/>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24E6A"/>
            </w:tcBorders>
            <w:gridSpan w:val="2"/>
          </w:tcPr>
          <w:p>
            <w:pPr>
              <w:ind w:left="2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65,825</w:t>
            </w:r>
          </w:p>
        </w:tc>
        <w:tc>
          <w:tcPr>
            <w:tcW w:w="10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20" w:right="760" w:hanging="360"/>
        <w:spacing w:after="0" w:line="222"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Based on a volume weighted average price per unit for the 10-trading day period beginning five days before and ending five days after the ex-dividend date for the August 2023 distribution ($14.81).</w:t>
      </w:r>
    </w:p>
    <w:p>
      <w:pPr>
        <w:spacing w:after="0" w:line="58" w:lineRule="exact"/>
        <w:rPr>
          <w:rFonts w:ascii="Arial" w:cs="Arial" w:eastAsia="Arial" w:hAnsi="Arial"/>
          <w:sz w:val="27"/>
          <w:szCs w:val="27"/>
          <w:color w:val="auto"/>
          <w:vertAlign w:val="superscript"/>
        </w:rPr>
      </w:pPr>
    </w:p>
    <w:p>
      <w:pPr>
        <w:ind w:left="1620" w:right="500" w:hanging="360"/>
        <w:spacing w:after="0" w:line="210" w:lineRule="auto"/>
        <w:tabs>
          <w:tab w:leader="none" w:pos="1620" w:val="left"/>
        </w:tabs>
        <w:numPr>
          <w:ilvl w:val="0"/>
          <w:numId w:val="55"/>
        </w:numPr>
        <w:rPr>
          <w:rFonts w:ascii="Arial" w:cs="Arial" w:eastAsia="Arial" w:hAnsi="Arial"/>
          <w:sz w:val="27"/>
          <w:szCs w:val="27"/>
          <w:color w:val="auto"/>
          <w:vertAlign w:val="superscript"/>
        </w:rPr>
      </w:pPr>
      <w:r>
        <w:rPr>
          <w:rFonts w:ascii="Arial" w:cs="Arial" w:eastAsia="Arial" w:hAnsi="Arial"/>
          <w:sz w:val="18"/>
          <w:szCs w:val="18"/>
          <w:color w:val="auto"/>
        </w:rPr>
        <w:t>Annual LTIP grants were not awarded to Mr. Pefanis as he requested to not participate in the 2023 long-term incentive program.</w:t>
      </w:r>
    </w:p>
    <w:p>
      <w:pPr>
        <w:spacing w:after="0" w:line="114" w:lineRule="exact"/>
        <w:rPr>
          <w:sz w:val="20"/>
          <w:szCs w:val="20"/>
          <w:color w:val="auto"/>
        </w:rPr>
      </w:pPr>
    </w:p>
    <w:p>
      <w:pPr>
        <w:jc w:val="both"/>
        <w:ind w:left="1260" w:right="680" w:firstLine="360"/>
        <w:spacing w:after="0" w:line="268" w:lineRule="auto"/>
        <w:rPr>
          <w:sz w:val="20"/>
          <w:szCs w:val="20"/>
          <w:color w:val="auto"/>
        </w:rPr>
      </w:pPr>
      <w:r>
        <w:rPr>
          <w:rFonts w:ascii="Arial" w:cs="Arial" w:eastAsia="Arial" w:hAnsi="Arial"/>
          <w:sz w:val="18"/>
          <w:szCs w:val="18"/>
          <w:color w:val="auto"/>
        </w:rPr>
        <w:t>The 2023 time-based phantom units will vest (become payable 1-for-1 in PAA common units) on the August 2026 distribution date. The performance-based phantom units will potentially vest on the August 2026 distribution date at a scaled payout range of between 0% to 200% based on:</w:t>
      </w:r>
    </w:p>
    <w:p>
      <w:pPr>
        <w:spacing w:after="0" w:line="103" w:lineRule="exact"/>
        <w:rPr>
          <w:sz w:val="20"/>
          <w:szCs w:val="20"/>
          <w:color w:val="auto"/>
        </w:rPr>
      </w:pPr>
    </w:p>
    <w:p>
      <w:pPr>
        <w:ind w:left="1980" w:right="460" w:hanging="360"/>
        <w:spacing w:after="0" w:line="259"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50% Relative TSR with Negative TSR Modifier</w:t>
      </w:r>
      <w:r>
        <w:rPr>
          <w:rFonts w:ascii="Arial" w:cs="Arial" w:eastAsia="Arial" w:hAnsi="Arial"/>
          <w:sz w:val="18"/>
          <w:szCs w:val="18"/>
          <w:color w:val="auto"/>
        </w:rPr>
        <w:t>: PAA’s TSR measured over the three-year period ending June 30, 2026 compared to the TSR of the TSR Comparator Peer Group identified on page 30 (if PAA’s relative TSR results in a payout of over 100%, but actual TSR is negative, the payout on this portion of the award will be reduced by 25 gross percentage points, but not below 100%); and</w:t>
      </w:r>
    </w:p>
    <w:p>
      <w:pPr>
        <w:spacing w:after="0" w:line="111" w:lineRule="exact"/>
        <w:rPr>
          <w:rFonts w:ascii="Arial" w:cs="Arial" w:eastAsia="Arial" w:hAnsi="Arial"/>
          <w:sz w:val="18"/>
          <w:szCs w:val="18"/>
          <w:color w:val="auto"/>
        </w:rPr>
      </w:pPr>
    </w:p>
    <w:p>
      <w:pPr>
        <w:ind w:left="1980" w:right="440" w:hanging="360"/>
        <w:spacing w:after="0" w:line="262" w:lineRule="auto"/>
        <w:tabs>
          <w:tab w:leader="none" w:pos="19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50% DCF per CUE with Leverage Modifier</w:t>
      </w:r>
      <w:r>
        <w:rPr>
          <w:rFonts w:ascii="Arial" w:cs="Arial" w:eastAsia="Arial" w:hAnsi="Arial"/>
          <w:sz w:val="18"/>
          <w:szCs w:val="18"/>
          <w:color w:val="auto"/>
        </w:rPr>
        <w:t>: PAA achieving cumulative DCF per CUE of $7.45 over the three-year period ending June 30, 2026 (payout may be decreased by 25 basis points if PAA’s leverage ratio as of June 30, 2026 is higher than the leverage ratio that equals the upper end of our then applicable guidance range).</w:t>
      </w:r>
    </w:p>
    <w:p>
      <w:pPr>
        <w:spacing w:after="0" w:line="109" w:lineRule="exact"/>
        <w:rPr>
          <w:sz w:val="20"/>
          <w:szCs w:val="20"/>
          <w:color w:val="auto"/>
        </w:rPr>
      </w:pPr>
    </w:p>
    <w:p>
      <w:pPr>
        <w:ind w:left="1260" w:right="500" w:firstLine="360"/>
        <w:spacing w:after="0" w:line="268" w:lineRule="auto"/>
        <w:rPr>
          <w:sz w:val="20"/>
          <w:szCs w:val="20"/>
          <w:color w:val="auto"/>
        </w:rPr>
      </w:pPr>
      <w:r>
        <w:rPr>
          <w:rFonts w:ascii="Arial" w:cs="Arial" w:eastAsia="Arial" w:hAnsi="Arial"/>
          <w:sz w:val="18"/>
          <w:szCs w:val="18"/>
          <w:color w:val="auto"/>
        </w:rPr>
        <w:t>DERs associated with the time-based phantom units will accrue for the first year and such accrued amount will be paid in cash in a lump sum on the August 2024 distribution date; beginning in November 2024, DERs on such time-based phantom units will be paid quarterly until the associated</w:t>
      </w:r>
    </w:p>
    <w:p>
      <w:pPr>
        <w:sectPr>
          <w:pgSz w:w="11900" w:h="16838" w:orient="portrait"/>
          <w:cols w:equalWidth="0" w:num="1">
            <w:col w:w="9900"/>
          </w:cols>
          <w:pgMar w:left="580" w:top="97" w:right="1419"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79"/>
        <w:spacing w:after="0" w:line="262" w:lineRule="auto"/>
        <w:rPr>
          <w:sz w:val="20"/>
          <w:szCs w:val="20"/>
          <w:color w:val="auto"/>
        </w:rPr>
      </w:pPr>
      <w:r>
        <w:rPr>
          <w:rFonts w:ascii="Arial" w:cs="Arial" w:eastAsia="Arial" w:hAnsi="Arial"/>
          <w:sz w:val="18"/>
          <w:szCs w:val="18"/>
          <w:color w:val="auto"/>
        </w:rPr>
        <w:t>phantom units vest. DERs associated with the performance-based phantom units will accrue during the three-year performance period and be paid in cash in a lump sum on the August 2026 distribution date with respect to the number of such phantom units, if any, that vest on such date. See the “Grants of Plan Based Awards Table” below for additional information regarding the 2023 annual grants.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Compensation Related Matters</w:t>
      </w:r>
    </w:p>
    <w:p>
      <w:pPr>
        <w:spacing w:after="0" w:line="156"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i w:val="1"/>
          <w:iCs w:val="1"/>
          <w:color w:val="auto"/>
        </w:rPr>
        <w:t xml:space="preserve">Equity Ownership. </w:t>
      </w:r>
      <w:r>
        <w:rPr>
          <w:rFonts w:ascii="Arial" w:cs="Arial" w:eastAsia="Arial" w:hAnsi="Arial"/>
          <w:sz w:val="18"/>
          <w:szCs w:val="18"/>
          <w:color w:val="auto"/>
        </w:rPr>
        <w:t>Our Named Executive Officers and directors collectively own substantial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in PAA and PAGP including unvested long-term equity awards. As of March 25, 2024, the Named Executive Officers beneficially owned, in the aggregate, approximately 12.6 million units of equity interests in PAA and/or PAGP with an approximate market value of $216 million, and all executive officers and directors beneficially owned, in the aggregate, approximately 81.0 million units of equity interests in PAA and/or PAGP with an approximate market value of $1.4 billion.</w:t>
      </w:r>
    </w:p>
    <w:p>
      <w:pPr>
        <w:spacing w:after="0" w:line="115"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i w:val="1"/>
          <w:iCs w:val="1"/>
          <w:color w:val="auto"/>
        </w:rPr>
        <w:t xml:space="preserve">Equity Ownership Guidelines. </w:t>
      </w:r>
      <w:r>
        <w:rPr>
          <w:rFonts w:ascii="Arial" w:cs="Arial" w:eastAsia="Arial" w:hAnsi="Arial"/>
          <w:sz w:val="18"/>
          <w:szCs w:val="18"/>
          <w:color w:val="auto"/>
        </w:rPr>
        <w:t>We maintain Equity Ownership Guidelines to further align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p>
    <w:p>
      <w:pPr>
        <w:spacing w:after="0" w:line="92" w:lineRule="exact"/>
        <w:rPr>
          <w:sz w:val="20"/>
          <w:szCs w:val="20"/>
          <w:color w:val="auto"/>
        </w:rPr>
      </w:pPr>
    </w:p>
    <w:tbl>
      <w:tblPr>
        <w:tblLayout w:type="fixed"/>
        <w:tblInd w:w="1630" w:type="dxa"/>
        <w:tblCellMar>
          <w:top w:w="0" w:type="dxa"/>
          <w:left w:w="0" w:type="dxa"/>
          <w:bottom w:w="0" w:type="dxa"/>
          <w:right w:w="0" w:type="dxa"/>
        </w:tblCellMar>
      </w:tblPr>
      <w:tr>
        <w:trPr>
          <w:trHeight w:val="322"/>
        </w:trPr>
        <w:tc>
          <w:tcPr>
            <w:tcW w:w="234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Title</w:t>
            </w:r>
          </w:p>
        </w:tc>
        <w:tc>
          <w:tcPr>
            <w:tcW w:w="1760" w:type="dxa"/>
            <w:vAlign w:val="bottom"/>
            <w:gridSpan w:val="2"/>
            <w:shd w:val="clear" w:color="auto" w:fill="424E6A"/>
          </w:tcPr>
          <w:p>
            <w:pPr>
              <w:jc w:val="center"/>
              <w:ind w:left="1373"/>
              <w:spacing w:after="0"/>
              <w:rPr>
                <w:sz w:val="20"/>
                <w:szCs w:val="20"/>
                <w:color w:val="auto"/>
              </w:rPr>
            </w:pPr>
            <w:r>
              <w:rPr>
                <w:rFonts w:ascii="Arial" w:cs="Arial" w:eastAsia="Arial" w:hAnsi="Arial"/>
                <w:sz w:val="14"/>
                <w:szCs w:val="14"/>
                <w:b w:val="1"/>
                <w:bCs w:val="1"/>
                <w:color w:val="FFFFFF"/>
              </w:rPr>
              <w:t>​ ​</w:t>
            </w:r>
          </w:p>
        </w:tc>
        <w:tc>
          <w:tcPr>
            <w:tcW w:w="3380" w:type="dxa"/>
            <w:vAlign w:val="bottom"/>
            <w:tcBorders>
              <w:right w:val="single" w:sz="8" w:color="424E6A"/>
            </w:tcBorders>
            <w:gridSpan w:val="2"/>
            <w:shd w:val="clear" w:color="auto" w:fill="424E6A"/>
          </w:tcPr>
          <w:p>
            <w:pPr>
              <w:spacing w:after="0"/>
              <w:rPr>
                <w:sz w:val="20"/>
                <w:szCs w:val="20"/>
                <w:color w:val="auto"/>
              </w:rPr>
            </w:pPr>
            <w:r>
              <w:rPr>
                <w:rFonts w:ascii="Arial" w:cs="Arial" w:eastAsia="Arial" w:hAnsi="Arial"/>
                <w:sz w:val="14"/>
                <w:szCs w:val="14"/>
                <w:b w:val="1"/>
                <w:bCs w:val="1"/>
                <w:color w:val="FFFFFF"/>
              </w:rPr>
              <w:t xml:space="preserve">Multiple of Base Salary or Annual Cash Retainer </w:t>
            </w:r>
            <w:r>
              <w:rPr>
                <w:rFonts w:ascii="Arial" w:cs="Arial" w:eastAsia="Arial" w:hAnsi="Arial"/>
                <w:sz w:val="28"/>
                <w:szCs w:val="28"/>
                <w:b w:val="1"/>
                <w:bCs w:val="1"/>
                <w:color w:val="FFFFFF"/>
                <w:vertAlign w:val="subscript"/>
              </w:rPr>
              <w:t>​</w:t>
            </w:r>
          </w:p>
        </w:tc>
      </w:tr>
      <w:tr>
        <w:trPr>
          <w:trHeight w:val="256"/>
        </w:trPr>
        <w:tc>
          <w:tcPr>
            <w:tcW w:w="2340" w:type="dxa"/>
            <w:vAlign w:val="bottom"/>
            <w:tcBorders>
              <w:left w:val="single" w:sz="8" w:color="424E6A"/>
              <w:bottom w:val="single" w:sz="8" w:color="424E6A"/>
            </w:tcBorders>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CEO</w:t>
            </w:r>
          </w:p>
        </w:tc>
        <w:tc>
          <w:tcPr>
            <w:tcW w:w="1660" w:type="dxa"/>
            <w:vAlign w:val="bottom"/>
            <w:tcBorders>
              <w:bottom w:val="single" w:sz="8" w:color="424E6A"/>
              <w:right w:val="single" w:sz="8" w:color="424E6A"/>
            </w:tcBorders>
            <w:shd w:val="clear" w:color="auto" w:fill="D9DCE1"/>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ind w:left="1540"/>
              <w:spacing w:after="0"/>
              <w:rPr>
                <w:sz w:val="20"/>
                <w:szCs w:val="20"/>
                <w:color w:val="auto"/>
              </w:rPr>
            </w:pPr>
            <w:r>
              <w:rPr>
                <w:rFonts w:ascii="Arial" w:cs="Arial" w:eastAsia="Arial" w:hAnsi="Arial"/>
                <w:sz w:val="18"/>
                <w:szCs w:val="18"/>
                <w:color w:val="auto"/>
              </w:rPr>
              <w:t>​6x</w:t>
            </w:r>
          </w:p>
        </w:tc>
        <w:tc>
          <w:tcPr>
            <w:tcW w:w="86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President</w:t>
            </w:r>
          </w:p>
        </w:tc>
        <w:tc>
          <w:tcPr>
            <w:tcW w:w="1660" w:type="dxa"/>
            <w:vAlign w:val="bottom"/>
            <w:tcBorders>
              <w:bottom w:val="single" w:sz="8" w:color="424E6A"/>
              <w:right w:val="single" w:sz="8" w:color="424E6A"/>
            </w:tcBorders>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ind w:left="1540"/>
              <w:spacing w:after="0"/>
              <w:rPr>
                <w:sz w:val="20"/>
                <w:szCs w:val="20"/>
                <w:color w:val="auto"/>
              </w:rPr>
            </w:pPr>
            <w:r>
              <w:rPr>
                <w:rFonts w:ascii="Arial" w:cs="Arial" w:eastAsia="Arial" w:hAnsi="Arial"/>
                <w:sz w:val="18"/>
                <w:szCs w:val="18"/>
                <w:color w:val="auto"/>
              </w:rPr>
              <w:t>​5x</w:t>
            </w:r>
          </w:p>
        </w:tc>
        <w:tc>
          <w:tcPr>
            <w:tcW w:w="86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EVP</w:t>
            </w:r>
          </w:p>
        </w:tc>
        <w:tc>
          <w:tcPr>
            <w:tcW w:w="1660" w:type="dxa"/>
            <w:vAlign w:val="bottom"/>
            <w:tcBorders>
              <w:bottom w:val="single" w:sz="8" w:color="424E6A"/>
              <w:right w:val="single" w:sz="8" w:color="424E6A"/>
            </w:tcBorders>
            <w:shd w:val="clear" w:color="auto" w:fill="D9DCE1"/>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ind w:left="1540"/>
              <w:spacing w:after="0"/>
              <w:rPr>
                <w:sz w:val="20"/>
                <w:szCs w:val="20"/>
                <w:color w:val="auto"/>
              </w:rPr>
            </w:pPr>
            <w:r>
              <w:rPr>
                <w:rFonts w:ascii="Arial" w:cs="Arial" w:eastAsia="Arial" w:hAnsi="Arial"/>
                <w:sz w:val="18"/>
                <w:szCs w:val="18"/>
                <w:color w:val="auto"/>
              </w:rPr>
              <w:t>​3x</w:t>
            </w:r>
          </w:p>
        </w:tc>
        <w:tc>
          <w:tcPr>
            <w:tcW w:w="86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SVP</w:t>
            </w:r>
          </w:p>
        </w:tc>
        <w:tc>
          <w:tcPr>
            <w:tcW w:w="1660" w:type="dxa"/>
            <w:vAlign w:val="bottom"/>
            <w:tcBorders>
              <w:bottom w:val="single" w:sz="8" w:color="424E6A"/>
              <w:right w:val="single" w:sz="8" w:color="424E6A"/>
            </w:tcBorders>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tcPr>
          <w:p>
            <w:pPr>
              <w:ind w:left="1540"/>
              <w:spacing w:after="0"/>
              <w:rPr>
                <w:sz w:val="20"/>
                <w:szCs w:val="20"/>
                <w:color w:val="auto"/>
              </w:rPr>
            </w:pPr>
            <w:r>
              <w:rPr>
                <w:rFonts w:ascii="Arial" w:cs="Arial" w:eastAsia="Arial" w:hAnsi="Arial"/>
                <w:sz w:val="18"/>
                <w:szCs w:val="18"/>
                <w:color w:val="auto"/>
              </w:rPr>
              <w:t>​1x</w:t>
            </w:r>
          </w:p>
        </w:tc>
        <w:tc>
          <w:tcPr>
            <w:tcW w:w="860" w:type="dxa"/>
            <w:vAlign w:val="bottom"/>
            <w:tcBorders>
              <w:bottom w:val="single" w:sz="8" w:color="424E6A"/>
              <w:right w:val="single" w:sz="8" w:color="424E6A"/>
            </w:tcBorders>
          </w:tcPr>
          <w:p>
            <w:pPr>
              <w:ind w:left="780"/>
              <w:spacing w:after="0"/>
              <w:rPr>
                <w:sz w:val="20"/>
                <w:szCs w:val="20"/>
                <w:color w:val="auto"/>
              </w:rPr>
            </w:pPr>
            <w:r>
              <w:rPr>
                <w:rFonts w:ascii="Arial" w:cs="Arial" w:eastAsia="Arial" w:hAnsi="Arial"/>
                <w:sz w:val="18"/>
                <w:szCs w:val="18"/>
                <w:color w:val="auto"/>
              </w:rPr>
              <w:t>​​</w:t>
            </w:r>
          </w:p>
        </w:tc>
      </w:tr>
      <w:tr>
        <w:trPr>
          <w:trHeight w:val="250"/>
        </w:trPr>
        <w:tc>
          <w:tcPr>
            <w:tcW w:w="234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Director</w:t>
            </w:r>
          </w:p>
        </w:tc>
        <w:tc>
          <w:tcPr>
            <w:tcW w:w="1660" w:type="dxa"/>
            <w:vAlign w:val="bottom"/>
            <w:tcBorders>
              <w:bottom w:val="single" w:sz="8" w:color="424E6A"/>
              <w:right w:val="single" w:sz="8" w:color="424E6A"/>
            </w:tcBorders>
            <w:shd w:val="clear" w:color="auto" w:fill="D9DCE1"/>
          </w:tcPr>
          <w:p>
            <w:pPr>
              <w:jc w:val="center"/>
              <w:ind w:left="14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424E6A"/>
            </w:tcBorders>
            <w:shd w:val="clear" w:color="auto" w:fill="D9DCE1"/>
          </w:tcPr>
          <w:p>
            <w:pPr>
              <w:ind w:left="1540"/>
              <w:spacing w:after="0"/>
              <w:rPr>
                <w:sz w:val="20"/>
                <w:szCs w:val="20"/>
                <w:color w:val="auto"/>
              </w:rPr>
            </w:pPr>
            <w:r>
              <w:rPr>
                <w:rFonts w:ascii="Arial" w:cs="Arial" w:eastAsia="Arial" w:hAnsi="Arial"/>
                <w:sz w:val="18"/>
                <w:szCs w:val="18"/>
                <w:color w:val="auto"/>
              </w:rPr>
              <w:t>​5x</w:t>
            </w:r>
          </w:p>
        </w:tc>
        <w:tc>
          <w:tcPr>
            <w:tcW w:w="860" w:type="dxa"/>
            <w:vAlign w:val="bottom"/>
            <w:tcBorders>
              <w:bottom w:val="single" w:sz="8" w:color="424E6A"/>
              <w:right w:val="single" w:sz="8" w:color="424E6A"/>
            </w:tcBorders>
            <w:shd w:val="clear" w:color="auto" w:fill="D9DCE1"/>
          </w:tcPr>
          <w:p>
            <w:pPr>
              <w:ind w:left="780"/>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Executive officers and directors are expected to meet these guidelines within five years after the later of becoming subject to the guidelines or the date of adoption of the guidelines. The compliance date for current executive officers and directors is November 2025, except for Mr. McCarthy whose compliance date is August 2026 and Ms. DeSanctis whose compliance date is August 2027. All current executive officers and directors are on track to meet the applicable guidelines on their respective compliance dates. Executive officers and directors are required to hold 100% of units/shares acquired upon vesting of phantom units or phantom shares until ownership guidelines are met (“hold until met” requirement).</w:t>
      </w:r>
    </w:p>
    <w:p>
      <w:pPr>
        <w:spacing w:after="0" w:line="117"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i w:val="1"/>
          <w:iCs w:val="1"/>
          <w:color w:val="auto"/>
        </w:rPr>
        <w:t>Anti-Hedging and Pledging Policies</w:t>
      </w:r>
      <w:r>
        <w:rPr>
          <w:rFonts w:ascii="Arial" w:cs="Arial" w:eastAsia="Arial" w:hAnsi="Arial"/>
          <w:sz w:val="18"/>
          <w:szCs w:val="18"/>
          <w:color w:val="auto"/>
        </w:rPr>
        <w:t>. We have policies and procedures in place that prohibit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as marginable securities in a margin account.</w:t>
      </w:r>
    </w:p>
    <w:p>
      <w:pPr>
        <w:spacing w:after="0" w:line="115"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Since November 2020, we have had in place a Clawback Policy to further align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interests of our executive officers with the interests of our unitholders, incentivize appropriate behaviors and discourage excessive risk taking. The Clawback Policy was amended and restated in November 2023 to conform to Nasdaq listing standards adopted pursuant to the Dodd-Frank Wall Street Reform and Consumer Protection Act of 2010. As amended and restated, the Clawback Policy includes the following clawback triggers and related recoveries:</w:t>
      </w:r>
    </w:p>
    <w:p>
      <w:pPr>
        <w:spacing w:after="0" w:line="74" w:lineRule="exact"/>
        <w:rPr>
          <w:sz w:val="20"/>
          <w:szCs w:val="20"/>
          <w:color w:val="auto"/>
        </w:rPr>
      </w:pPr>
    </w:p>
    <w:p>
      <w:pPr>
        <w:ind w:left="1800" w:right="819" w:hanging="180"/>
        <w:spacing w:after="0" w:line="318"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Material financial restatements that result in over-payment of incentive-based compensation (Company must seek recovery of any excess compensation awarded or paid); and</w:t>
      </w:r>
    </w:p>
    <w:p>
      <w:pPr>
        <w:spacing w:after="0" w:line="21" w:lineRule="exact"/>
        <w:rPr>
          <w:rFonts w:ascii="Arial" w:cs="Arial" w:eastAsia="Arial" w:hAnsi="Arial"/>
          <w:sz w:val="17"/>
          <w:szCs w:val="17"/>
          <w:color w:val="auto"/>
        </w:rPr>
      </w:pPr>
    </w:p>
    <w:p>
      <w:pPr>
        <w:ind w:left="1800" w:right="619" w:hanging="180"/>
        <w:spacing w:after="0" w:line="262" w:lineRule="auto"/>
        <w:tabs>
          <w:tab w:leader="none" w:pos="1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Detrimental conduct that results in significant financial, reputational or other harm to the Company (Company may seek recovery or forfeiture of any performance-based compensation or time-based equity awards granted or paid during the 3-year period prior to discovery of the misconduct).</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i w:val="1"/>
          <w:iCs w:val="1"/>
          <w:color w:val="auto"/>
        </w:rPr>
        <w:t xml:space="preserve">Change in Control Triggers. </w:t>
      </w:r>
      <w:r>
        <w:rPr>
          <w:rFonts w:ascii="Arial" w:cs="Arial" w:eastAsia="Arial" w:hAnsi="Arial"/>
          <w:sz w:val="18"/>
          <w:szCs w:val="18"/>
          <w:color w:val="auto"/>
        </w:rPr>
        <w:t>Our long-term incentive plan grants provide for accelerated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 change of control (as defined in such agreements), but such vesting becomes operative only if the change in control is accompanied by a “change in status” ​(which includes the termination of employment by GP LLC without cause and certain other circumstances involving a voluntary separation or retirement). We believe this “double trigger” arrangement is appropriate because it provides assurance to the executive, but does not offer a windfall to the executive when there has been no real change in employment status. In addition, the provisions in Mr. Pefanis’ legacy employment agreement provide for a severance payment if he terminates employment within three months following a change in control. Mr. Pefanis agreed to a conditional waiver of these provisions with respect to all prior qualifying transactions. See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p>
    <w:p>
      <w:pPr>
        <w:spacing w:after="0" w:line="118"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8"/>
          <w:szCs w:val="18"/>
          <w:i w:val="1"/>
          <w:iCs w:val="1"/>
          <w:color w:val="auto"/>
        </w:rPr>
        <w:t xml:space="preserve">Section 162(m). </w:t>
      </w:r>
      <w:r>
        <w:rPr>
          <w:rFonts w:ascii="Arial" w:cs="Arial" w:eastAsia="Arial" w:hAnsi="Arial"/>
          <w:sz w:val="18"/>
          <w:szCs w:val="18"/>
          <w:color w:val="auto"/>
        </w:rPr>
        <w:t>With respect to the deduction limitations under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we are a limited partnership and do not fall within the definition of a “corporation” under Section 162(m).</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 of Compensation Policies and Practices to Risk Management</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p>
    <w:p>
      <w:pPr>
        <w:spacing w:after="0" w:line="104" w:lineRule="exact"/>
        <w:rPr>
          <w:sz w:val="20"/>
          <w:szCs w:val="20"/>
          <w:color w:val="auto"/>
        </w:rPr>
      </w:pPr>
    </w:p>
    <w:p>
      <w:pPr>
        <w:ind w:left="1260" w:right="499" w:firstLine="360"/>
        <w:spacing w:after="0" w:line="282" w:lineRule="auto"/>
        <w:rPr>
          <w:sz w:val="20"/>
          <w:szCs w:val="20"/>
          <w:color w:val="auto"/>
        </w:rPr>
      </w:pPr>
      <w:r>
        <w:rPr>
          <w:rFonts w:ascii="Arial" w:cs="Arial" w:eastAsia="Arial" w:hAnsi="Arial"/>
          <w:sz w:val="17"/>
          <w:szCs w:val="17"/>
          <w:color w:val="auto"/>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p>
    <w:p>
      <w:pPr>
        <w:spacing w:after="0" w:line="94"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 the case of our long-term incentive plan grants, provides a structural mitigant against excessive risk taking to achieve performance targets.</w:t>
      </w:r>
    </w:p>
    <w:p>
      <w:pPr>
        <w:spacing w:after="0" w:line="11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1260" w:right="559" w:firstLine="360"/>
        <w:spacing w:after="0" w:line="262" w:lineRule="auto"/>
        <w:rPr>
          <w:sz w:val="20"/>
          <w:szCs w:val="20"/>
          <w:color w:val="auto"/>
        </w:rPr>
      </w:pPr>
      <w:r>
        <w:rPr>
          <w:rFonts w:ascii="Arial" w:cs="Arial" w:eastAsia="Arial" w:hAnsi="Arial"/>
          <w:sz w:val="18"/>
          <w:szCs w:val="18"/>
          <w:color w:val="auto"/>
        </w:rPr>
        <w:t>The following table sets forth certain compensation information for our Named Executive Officers. As a result of his request to not participate in the 2023 long-term incentive program, Mr. Pefanis is not one of our three most highly compensated executive officers for 2023, but he has been included as a Named Executive Officer given the significance of his role as President of Plains.</w:t>
      </w:r>
    </w:p>
    <w:p>
      <w:pPr>
        <w:spacing w:after="0" w:line="155"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40" w:type="dxa"/>
            <w:vAlign w:val="bottom"/>
            <w:tcBorders>
              <w:left w:val="single" w:sz="8" w:color="424E6A"/>
            </w:tcBorders>
            <w:shd w:val="clear" w:color="auto" w:fill="424E6A"/>
          </w:tcPr>
          <w:p>
            <w:pPr>
              <w:spacing w:after="0"/>
              <w:rPr>
                <w:sz w:val="17"/>
                <w:szCs w:val="17"/>
                <w:color w:val="auto"/>
              </w:rPr>
            </w:pPr>
          </w:p>
        </w:tc>
        <w:tc>
          <w:tcPr>
            <w:tcW w:w="2440" w:type="dxa"/>
            <w:vAlign w:val="bottom"/>
            <w:tcBorders>
              <w:right w:val="single" w:sz="8" w:color="424E6A"/>
            </w:tcBorders>
            <w:shd w:val="clear" w:color="auto" w:fill="424E6A"/>
          </w:tcPr>
          <w:p>
            <w:pPr>
              <w:spacing w:after="0"/>
              <w:rPr>
                <w:sz w:val="17"/>
                <w:szCs w:val="17"/>
                <w:color w:val="auto"/>
              </w:rPr>
            </w:pPr>
          </w:p>
        </w:tc>
        <w:tc>
          <w:tcPr>
            <w:tcW w:w="560" w:type="dxa"/>
            <w:vAlign w:val="bottom"/>
            <w:tcBorders>
              <w:right w:val="single" w:sz="8" w:color="424E6A"/>
            </w:tcBorders>
            <w:shd w:val="clear" w:color="auto" w:fill="424E6A"/>
          </w:tcPr>
          <w:p>
            <w:pPr>
              <w:spacing w:after="0"/>
              <w:rPr>
                <w:sz w:val="17"/>
                <w:szCs w:val="17"/>
                <w:color w:val="auto"/>
              </w:rPr>
            </w:pPr>
          </w:p>
        </w:tc>
        <w:tc>
          <w:tcPr>
            <w:tcW w:w="780" w:type="dxa"/>
            <w:vAlign w:val="bottom"/>
            <w:tcBorders>
              <w:right w:val="single" w:sz="8" w:color="424E6A"/>
            </w:tcBorders>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780" w:type="dxa"/>
            <w:vAlign w:val="bottom"/>
            <w:tcBorders>
              <w:right w:val="single" w:sz="8" w:color="424E6A"/>
            </w:tcBorders>
            <w:shd w:val="clear" w:color="auto" w:fill="424E6A"/>
          </w:tcPr>
          <w:p>
            <w:pPr>
              <w:spacing w:after="0"/>
              <w:rPr>
                <w:sz w:val="17"/>
                <w:szCs w:val="17"/>
                <w:color w:val="auto"/>
              </w:rPr>
            </w:pPr>
          </w:p>
        </w:tc>
        <w:tc>
          <w:tcPr>
            <w:tcW w:w="1080" w:type="dxa"/>
            <w:vAlign w:val="bottom"/>
            <w:shd w:val="clear" w:color="auto" w:fill="424E6A"/>
          </w:tcPr>
          <w:p>
            <w:pPr>
              <w:jc w:val="center"/>
              <w:ind w:left="9"/>
              <w:spacing w:after="0"/>
              <w:rPr>
                <w:sz w:val="20"/>
                <w:szCs w:val="20"/>
                <w:color w:val="auto"/>
              </w:rPr>
            </w:pPr>
            <w:r>
              <w:rPr>
                <w:rFonts w:ascii="Arial" w:cs="Arial" w:eastAsia="Arial" w:hAnsi="Arial"/>
                <w:sz w:val="14"/>
                <w:szCs w:val="14"/>
                <w:b w:val="1"/>
                <w:bCs w:val="1"/>
                <w:color w:val="FFFFFF"/>
              </w:rPr>
              <w:t>Non-Equity</w:t>
            </w:r>
          </w:p>
        </w:tc>
        <w:tc>
          <w:tcPr>
            <w:tcW w:w="14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2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220" w:type="dxa"/>
            <w:vAlign w:val="bottom"/>
            <w:shd w:val="clear" w:color="auto" w:fill="424E6A"/>
          </w:tcPr>
          <w:p>
            <w:pPr>
              <w:spacing w:after="0"/>
              <w:rPr>
                <w:sz w:val="17"/>
                <w:szCs w:val="17"/>
                <w:color w:val="auto"/>
              </w:rPr>
            </w:pPr>
          </w:p>
        </w:tc>
        <w:tc>
          <w:tcPr>
            <w:tcW w:w="7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2440" w:type="dxa"/>
            <w:vAlign w:val="bottom"/>
            <w:tcBorders>
              <w:right w:val="single" w:sz="8" w:color="424E6A"/>
            </w:tcBorders>
            <w:shd w:val="clear" w:color="auto" w:fill="424E6A"/>
          </w:tcPr>
          <w:p>
            <w:pPr>
              <w:spacing w:after="0"/>
              <w:rPr>
                <w:sz w:val="14"/>
                <w:szCs w:val="14"/>
                <w:color w:val="auto"/>
              </w:rPr>
            </w:pPr>
          </w:p>
        </w:tc>
        <w:tc>
          <w:tcPr>
            <w:tcW w:w="56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Incentive</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2440" w:type="dxa"/>
            <w:vAlign w:val="bottom"/>
            <w:tcBorders>
              <w:right w:val="single" w:sz="8" w:color="424E6A"/>
            </w:tcBorders>
            <w:shd w:val="clear" w:color="auto" w:fill="424E6A"/>
          </w:tcPr>
          <w:p>
            <w:pPr>
              <w:spacing w:after="0"/>
              <w:rPr>
                <w:sz w:val="14"/>
                <w:szCs w:val="14"/>
                <w:color w:val="auto"/>
              </w:rPr>
            </w:pPr>
          </w:p>
        </w:tc>
        <w:tc>
          <w:tcPr>
            <w:tcW w:w="56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jc w:val="center"/>
              <w:ind w:right="125"/>
              <w:spacing w:after="0"/>
              <w:rPr>
                <w:sz w:val="20"/>
                <w:szCs w:val="20"/>
                <w:color w:val="auto"/>
              </w:rPr>
            </w:pPr>
            <w:r>
              <w:rPr>
                <w:rFonts w:ascii="Arial" w:cs="Arial" w:eastAsia="Arial" w:hAnsi="Arial"/>
                <w:sz w:val="14"/>
                <w:szCs w:val="14"/>
                <w:b w:val="1"/>
                <w:bCs w:val="1"/>
                <w:color w:val="FFFFFF"/>
                <w:w w:val="99"/>
              </w:rPr>
              <w:t>Stock</w:t>
            </w:r>
          </w:p>
        </w:tc>
        <w:tc>
          <w:tcPr>
            <w:tcW w:w="10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Plan</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Borders>
              <w:left w:val="single" w:sz="8" w:color="424E6A"/>
              <w:right w:val="single" w:sz="8" w:color="424E6A"/>
            </w:tcBorders>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Name and Current Principal</w:t>
            </w:r>
          </w:p>
        </w:tc>
        <w:tc>
          <w:tcPr>
            <w:tcW w:w="560" w:type="dxa"/>
            <w:vAlign w:val="bottom"/>
            <w:tcBorders>
              <w:right w:val="single" w:sz="8" w:color="424E6A"/>
            </w:tcBorders>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ind w:left="140"/>
              <w:spacing w:after="0"/>
              <w:rPr>
                <w:sz w:val="20"/>
                <w:szCs w:val="20"/>
                <w:color w:val="auto"/>
              </w:rPr>
            </w:pPr>
            <w:r>
              <w:rPr>
                <w:rFonts w:ascii="Arial" w:cs="Arial" w:eastAsia="Arial" w:hAnsi="Arial"/>
                <w:sz w:val="14"/>
                <w:szCs w:val="14"/>
                <w:b w:val="1"/>
                <w:bCs w:val="1"/>
                <w:color w:val="FFFFFF"/>
              </w:rPr>
              <w:t>Salary</w:t>
            </w:r>
          </w:p>
        </w:tc>
        <w:tc>
          <w:tcPr>
            <w:tcW w:w="140" w:type="dxa"/>
            <w:vAlign w:val="bottom"/>
            <w:shd w:val="clear" w:color="auto" w:fill="424E6A"/>
          </w:tcPr>
          <w:p>
            <w:pPr>
              <w:spacing w:after="0"/>
              <w:rPr>
                <w:sz w:val="14"/>
                <w:szCs w:val="14"/>
                <w:color w:val="auto"/>
              </w:rPr>
            </w:pPr>
          </w:p>
        </w:tc>
        <w:tc>
          <w:tcPr>
            <w:tcW w:w="780" w:type="dxa"/>
            <w:vAlign w:val="bottom"/>
            <w:tcBorders>
              <w:right w:val="single" w:sz="8" w:color="424E6A"/>
            </w:tcBorders>
            <w:shd w:val="clear" w:color="auto" w:fill="424E6A"/>
          </w:tcPr>
          <w:p>
            <w:pPr>
              <w:jc w:val="center"/>
              <w:ind w:right="145"/>
              <w:spacing w:after="0"/>
              <w:rPr>
                <w:sz w:val="20"/>
                <w:szCs w:val="20"/>
                <w:color w:val="auto"/>
              </w:rPr>
            </w:pPr>
            <w:r>
              <w:rPr>
                <w:rFonts w:ascii="Arial" w:cs="Arial" w:eastAsia="Arial" w:hAnsi="Arial"/>
                <w:sz w:val="14"/>
                <w:szCs w:val="14"/>
                <w:b w:val="1"/>
                <w:bCs w:val="1"/>
                <w:color w:val="FFFFFF"/>
              </w:rPr>
              <w:t>Awards</w:t>
            </w:r>
          </w:p>
        </w:tc>
        <w:tc>
          <w:tcPr>
            <w:tcW w:w="1080" w:type="dxa"/>
            <w:vAlign w:val="bottom"/>
            <w:shd w:val="clear" w:color="auto" w:fill="424E6A"/>
          </w:tcPr>
          <w:p>
            <w:pPr>
              <w:jc w:val="center"/>
              <w:ind w:left="9"/>
              <w:spacing w:after="0"/>
              <w:rPr>
                <w:sz w:val="20"/>
                <w:szCs w:val="20"/>
                <w:color w:val="auto"/>
              </w:rPr>
            </w:pPr>
            <w:r>
              <w:rPr>
                <w:rFonts w:ascii="Arial" w:cs="Arial" w:eastAsia="Arial" w:hAnsi="Arial"/>
                <w:sz w:val="14"/>
                <w:szCs w:val="14"/>
                <w:b w:val="1"/>
                <w:bCs w:val="1"/>
                <w:color w:val="FFFFFF"/>
              </w:rPr>
              <w:t>Compensation</w:t>
            </w: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2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jc w:val="center"/>
              <w:ind w:right="16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2"/>
        </w:trPr>
        <w:tc>
          <w:tcPr>
            <w:tcW w:w="2580" w:type="dxa"/>
            <w:vAlign w:val="bottom"/>
            <w:tcBorders>
              <w:left w:val="single" w:sz="8" w:color="424E6A"/>
              <w:right w:val="single" w:sz="8" w:color="424E6A"/>
            </w:tcBorders>
            <w:gridSpan w:val="2"/>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Position</w:t>
            </w:r>
          </w:p>
        </w:tc>
        <w:tc>
          <w:tcPr>
            <w:tcW w:w="560" w:type="dxa"/>
            <w:vAlign w:val="bottom"/>
            <w:tcBorders>
              <w:right w:val="single" w:sz="8" w:color="424E6A"/>
            </w:tcBorders>
            <w:shd w:val="clear" w:color="auto" w:fill="424E6A"/>
          </w:tcPr>
          <w:p>
            <w:pPr>
              <w:ind w:left="120"/>
              <w:spacing w:after="0"/>
              <w:rPr>
                <w:sz w:val="20"/>
                <w:szCs w:val="20"/>
                <w:color w:val="auto"/>
              </w:rPr>
            </w:pPr>
            <w:r>
              <w:rPr>
                <w:rFonts w:ascii="Arial" w:cs="Arial" w:eastAsia="Arial" w:hAnsi="Arial"/>
                <w:sz w:val="14"/>
                <w:szCs w:val="14"/>
                <w:b w:val="1"/>
                <w:bCs w:val="1"/>
                <w:color w:val="FFFFFF"/>
              </w:rPr>
              <w:t>Year</w:t>
            </w:r>
          </w:p>
        </w:tc>
        <w:tc>
          <w:tcPr>
            <w:tcW w:w="780" w:type="dxa"/>
            <w:vAlign w:val="bottom"/>
            <w:tcBorders>
              <w:right w:val="single" w:sz="8" w:color="424E6A"/>
            </w:tcBorders>
            <w:shd w:val="clear" w:color="auto" w:fill="424E6A"/>
          </w:tcPr>
          <w:p>
            <w:pPr>
              <w:ind w:left="300"/>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424E6A"/>
          </w:tcPr>
          <w:p>
            <w:pPr>
              <w:spacing w:after="0"/>
              <w:rPr>
                <w:sz w:val="18"/>
                <w:szCs w:val="18"/>
                <w:color w:val="auto"/>
              </w:rPr>
            </w:pPr>
          </w:p>
        </w:tc>
        <w:tc>
          <w:tcPr>
            <w:tcW w:w="780" w:type="dxa"/>
            <w:vAlign w:val="bottom"/>
            <w:tcBorders>
              <w:right w:val="single" w:sz="8" w:color="424E6A"/>
            </w:tcBorders>
            <w:shd w:val="clear" w:color="auto" w:fill="424E6A"/>
          </w:tcPr>
          <w:p>
            <w:pPr>
              <w:jc w:val="center"/>
              <w:ind w:right="105"/>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(1)</w:t>
            </w:r>
          </w:p>
        </w:tc>
        <w:tc>
          <w:tcPr>
            <w:tcW w:w="1080" w:type="dxa"/>
            <w:vAlign w:val="bottom"/>
            <w:shd w:val="clear" w:color="auto" w:fill="424E6A"/>
          </w:tcPr>
          <w:p>
            <w:pPr>
              <w:jc w:val="center"/>
              <w:ind w:left="49"/>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(2)</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020" w:type="dxa"/>
            <w:vAlign w:val="bottom"/>
            <w:shd w:val="clear" w:color="auto" w:fill="424E6A"/>
          </w:tcPr>
          <w:p>
            <w:pPr>
              <w:jc w:val="center"/>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(3)</w:t>
            </w:r>
          </w:p>
        </w:tc>
        <w:tc>
          <w:tcPr>
            <w:tcW w:w="340" w:type="dxa"/>
            <w:vAlign w:val="bottom"/>
            <w:gridSpan w:val="2"/>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700" w:type="dxa"/>
            <w:vAlign w:val="bottom"/>
            <w:tcBorders>
              <w:right w:val="single" w:sz="8" w:color="424E6A"/>
            </w:tcBorders>
            <w:shd w:val="clear" w:color="auto" w:fill="424E6A"/>
          </w:tcPr>
          <w:p>
            <w:pPr>
              <w:jc w:val="right"/>
              <w:ind w:right="28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2580" w:type="dxa"/>
            <w:vAlign w:val="bottom"/>
            <w:tcBorders>
              <w:left w:val="single" w:sz="8" w:color="424E6A"/>
              <w:bottom w:val="single" w:sz="8" w:color="424E6A"/>
              <w:right w:val="single" w:sz="8" w:color="424E6A"/>
            </w:tcBorders>
            <w:gridSpan w:val="2"/>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Willie Chiang</w:t>
            </w:r>
          </w:p>
        </w:tc>
        <w:tc>
          <w:tcPr>
            <w:tcW w:w="560" w:type="dxa"/>
            <w:vAlign w:val="bottom"/>
            <w:tcBorders>
              <w:bottom w:val="single" w:sz="8" w:color="424E6A"/>
              <w:right w:val="single" w:sz="8" w:color="424E6A"/>
            </w:tcBorders>
          </w:tcPr>
          <w:p>
            <w:pPr>
              <w:ind w:left="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2023</w:t>
            </w:r>
          </w:p>
        </w:tc>
        <w:tc>
          <w:tcPr>
            <w:tcW w:w="780" w:type="dxa"/>
            <w:vAlign w:val="bottom"/>
            <w:tcBorders>
              <w:bottom w:val="single" w:sz="8" w:color="424E6A"/>
              <w:right w:val="single" w:sz="8" w:color="424E6A"/>
            </w:tcBorders>
          </w:tcPr>
          <w:p>
            <w:pPr>
              <w:ind w:left="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800,000</w:t>
            </w:r>
          </w:p>
        </w:tc>
        <w:tc>
          <w:tcPr>
            <w:tcW w:w="920" w:type="dxa"/>
            <w:vAlign w:val="bottom"/>
            <w:tcBorders>
              <w:bottom w:val="single" w:sz="8" w:color="424E6A"/>
              <w:right w:val="single" w:sz="8" w:color="424E6A"/>
            </w:tcBorders>
            <w:gridSpan w:val="2"/>
          </w:tcPr>
          <w:p>
            <w:pPr>
              <w:ind w:left="8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3,658,279</w:t>
            </w:r>
          </w:p>
        </w:tc>
        <w:tc>
          <w:tcPr>
            <w:tcW w:w="1080" w:type="dxa"/>
            <w:vAlign w:val="bottom"/>
            <w:tcBorders>
              <w:bottom w:val="single" w:sz="8" w:color="424E6A"/>
            </w:tcBorders>
          </w:tcPr>
          <w:p>
            <w:pPr>
              <w:ind w:left="2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2,975,000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20,640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7,453,919</w:t>
            </w: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tcBorders>
          </w:tcPr>
          <w:p>
            <w:pPr>
              <w:spacing w:after="0"/>
              <w:rPr>
                <w:sz w:val="20"/>
                <w:szCs w:val="20"/>
                <w:color w:val="auto"/>
              </w:rPr>
            </w:pPr>
          </w:p>
        </w:tc>
        <w:tc>
          <w:tcPr>
            <w:tcW w:w="2440" w:type="dxa"/>
            <w:vAlign w:val="bottom"/>
            <w:tcBorders>
              <w:right w:val="single" w:sz="8" w:color="424E6A"/>
            </w:tcBorders>
          </w:tcPr>
          <w:p>
            <w:pPr>
              <w:ind w:left="80"/>
              <w:spacing w:after="0"/>
              <w:rPr>
                <w:sz w:val="20"/>
                <w:szCs w:val="20"/>
                <w:color w:val="auto"/>
              </w:rPr>
            </w:pPr>
            <w:r>
              <w:rPr>
                <w:rFonts w:ascii="Arial" w:cs="Arial" w:eastAsia="Arial" w:hAnsi="Arial"/>
                <w:sz w:val="16"/>
                <w:szCs w:val="16"/>
                <w:color w:val="auto"/>
              </w:rPr>
              <w:t>Chairman and Chief</w:t>
            </w:r>
          </w:p>
        </w:tc>
        <w:tc>
          <w:tcPr>
            <w:tcW w:w="56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750,000</w:t>
            </w:r>
          </w:p>
        </w:tc>
        <w:tc>
          <w:tcPr>
            <w:tcW w:w="920" w:type="dxa"/>
            <w:vAlign w:val="bottom"/>
            <w:tcBorders>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3,927,000</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3,600,000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8,296,140</w:t>
            </w:r>
          </w:p>
        </w:tc>
        <w:tc>
          <w:tcPr>
            <w:tcW w:w="0" w:type="dxa"/>
            <w:vAlign w:val="bottom"/>
          </w:tcPr>
          <w:p>
            <w:pPr>
              <w:spacing w:after="0"/>
              <w:rPr>
                <w:sz w:val="1"/>
                <w:szCs w:val="1"/>
                <w:color w:val="auto"/>
              </w:rPr>
            </w:pPr>
          </w:p>
        </w:tc>
      </w:tr>
      <w:tr>
        <w:trPr>
          <w:trHeight w:val="27"/>
        </w:trPr>
        <w:tc>
          <w:tcPr>
            <w:tcW w:w="140" w:type="dxa"/>
            <w:vAlign w:val="bottom"/>
            <w:tcBorders>
              <w:left w:val="single" w:sz="8" w:color="424E6A"/>
            </w:tcBorders>
          </w:tcPr>
          <w:p>
            <w:pPr>
              <w:spacing w:after="0"/>
              <w:rPr>
                <w:sz w:val="2"/>
                <w:szCs w:val="2"/>
                <w:color w:val="auto"/>
              </w:rPr>
            </w:pPr>
          </w:p>
        </w:tc>
        <w:tc>
          <w:tcPr>
            <w:tcW w:w="244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Executive Officer</w:t>
            </w:r>
          </w:p>
        </w:tc>
        <w:tc>
          <w:tcPr>
            <w:tcW w:w="56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gridSpan w:val="2"/>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0" w:type="dxa"/>
            <w:vAlign w:val="bottom"/>
            <w:tcBorders>
              <w:bottom w:val="single" w:sz="8" w:color="424E6A"/>
            </w:tcBorders>
          </w:tcPr>
          <w:p>
            <w:pPr>
              <w:spacing w:after="0"/>
              <w:rPr>
                <w:sz w:val="2"/>
                <w:szCs w:val="2"/>
                <w:color w:val="auto"/>
              </w:rPr>
            </w:pPr>
          </w:p>
        </w:tc>
        <w:tc>
          <w:tcPr>
            <w:tcW w:w="102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424E6A"/>
              <w:right w:val="single" w:sz="8" w:color="424E6A"/>
            </w:tcBorders>
            <w:vMerge w:val="continue"/>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20" w:type="dxa"/>
            <w:vAlign w:val="bottom"/>
            <w:tcBorders>
              <w:bottom w:val="single" w:sz="8" w:color="424E6A"/>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2,053,850</w:t>
            </w:r>
          </w:p>
        </w:tc>
        <w:tc>
          <w:tcPr>
            <w:tcW w:w="1080" w:type="dxa"/>
            <w:vAlign w:val="bottom"/>
            <w:tcBorders>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1,720,000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4,392,210</w:t>
            </w:r>
          </w:p>
        </w:tc>
        <w:tc>
          <w:tcPr>
            <w:tcW w:w="0" w:type="dxa"/>
            <w:vAlign w:val="bottom"/>
          </w:tcPr>
          <w:p>
            <w:pPr>
              <w:spacing w:after="0"/>
              <w:rPr>
                <w:sz w:val="1"/>
                <w:szCs w:val="1"/>
                <w:color w:val="auto"/>
              </w:rPr>
            </w:pPr>
          </w:p>
        </w:tc>
      </w:tr>
      <w:tr>
        <w:trPr>
          <w:trHeight w:val="295"/>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4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Harry Pefanis</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14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424E6A"/>
              <w:bottom w:val="single" w:sz="8" w:color="424E6A"/>
              <w:right w:val="single" w:sz="8" w:color="424E6A"/>
            </w:tcBorders>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1,425,000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2,045,640</w:t>
            </w:r>
          </w:p>
        </w:tc>
        <w:tc>
          <w:tcPr>
            <w:tcW w:w="0" w:type="dxa"/>
            <w:vAlign w:val="bottom"/>
          </w:tcPr>
          <w:p>
            <w:pPr>
              <w:spacing w:after="0"/>
              <w:rPr>
                <w:sz w:val="1"/>
                <w:szCs w:val="1"/>
                <w:color w:val="auto"/>
              </w:rPr>
            </w:pPr>
          </w:p>
        </w:tc>
      </w:tr>
      <w:tr>
        <w:trPr>
          <w:trHeight w:val="263"/>
        </w:trPr>
        <w:tc>
          <w:tcPr>
            <w:tcW w:w="140" w:type="dxa"/>
            <w:vAlign w:val="bottom"/>
            <w:tcBorders>
              <w:left w:val="single" w:sz="8" w:color="424E6A"/>
            </w:tcBorders>
          </w:tcPr>
          <w:p>
            <w:pPr>
              <w:spacing w:after="0"/>
              <w:rPr>
                <w:sz w:val="22"/>
                <w:szCs w:val="22"/>
                <w:color w:val="auto"/>
              </w:rPr>
            </w:pPr>
          </w:p>
        </w:tc>
        <w:tc>
          <w:tcPr>
            <w:tcW w:w="2440" w:type="dxa"/>
            <w:vAlign w:val="bottom"/>
            <w:tcBorders>
              <w:right w:val="single" w:sz="8" w:color="424E6A"/>
            </w:tcBorders>
          </w:tcPr>
          <w:p>
            <w:pPr>
              <w:ind w:left="80"/>
              <w:spacing w:after="0"/>
              <w:rPr>
                <w:sz w:val="20"/>
                <w:szCs w:val="20"/>
                <w:color w:val="auto"/>
              </w:rPr>
            </w:pPr>
            <w:r>
              <w:rPr>
                <w:rFonts w:ascii="Arial" w:cs="Arial" w:eastAsia="Arial" w:hAnsi="Arial"/>
                <w:sz w:val="16"/>
                <w:szCs w:val="16"/>
                <w:color w:val="auto"/>
              </w:rPr>
              <w:t>President</w:t>
            </w:r>
          </w:p>
        </w:tc>
        <w:tc>
          <w:tcPr>
            <w:tcW w:w="560" w:type="dxa"/>
            <w:vAlign w:val="bottom"/>
            <w:tcBorders>
              <w:bottom w:val="single" w:sz="8" w:color="424E6A"/>
              <w:right w:val="single" w:sz="8" w:color="424E6A"/>
            </w:tcBorders>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2022</w:t>
            </w:r>
          </w:p>
        </w:tc>
        <w:tc>
          <w:tcPr>
            <w:tcW w:w="780" w:type="dxa"/>
            <w:vAlign w:val="bottom"/>
            <w:tcBorders>
              <w:bottom w:val="single" w:sz="8" w:color="424E6A"/>
              <w:right w:val="single" w:sz="8" w:color="424E6A"/>
            </w:tcBorders>
          </w:tcPr>
          <w:p>
            <w:pPr>
              <w:ind w:left="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550,000</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24E6A"/>
            </w:tcBorders>
          </w:tcPr>
          <w:p>
            <w:pPr>
              <w:ind w:left="2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2,105,000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19,140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2,674,140</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424E6A"/>
              <w:right w:val="single" w:sz="8" w:color="424E6A"/>
            </w:tcBorders>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tcPr>
          <w:p>
            <w:pPr>
              <w:jc w:val="right"/>
              <w:ind w:right="25"/>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1,568,360</w:t>
            </w:r>
          </w:p>
        </w:tc>
        <w:tc>
          <w:tcPr>
            <w:tcW w:w="0" w:type="dxa"/>
            <w:vAlign w:val="bottom"/>
          </w:tcPr>
          <w:p>
            <w:pPr>
              <w:spacing w:after="0"/>
              <w:rPr>
                <w:sz w:val="1"/>
                <w:szCs w:val="1"/>
                <w:color w:val="auto"/>
              </w:rPr>
            </w:pPr>
          </w:p>
        </w:tc>
      </w:tr>
      <w:tr>
        <w:trPr>
          <w:trHeight w:val="295"/>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4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Al Swanson</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20" w:type="dxa"/>
            <w:vAlign w:val="bottom"/>
            <w:tcBorders>
              <w:top w:val="single" w:sz="8" w:color="424E6A"/>
              <w:bottom w:val="single" w:sz="8" w:color="424E6A"/>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1,153,018</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1,180,000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2,903,658</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tcBorders>
          </w:tcPr>
          <w:p>
            <w:pPr>
              <w:spacing w:after="0"/>
              <w:rPr>
                <w:sz w:val="20"/>
                <w:szCs w:val="20"/>
                <w:color w:val="auto"/>
              </w:rPr>
            </w:pPr>
          </w:p>
        </w:tc>
        <w:tc>
          <w:tcPr>
            <w:tcW w:w="2440" w:type="dxa"/>
            <w:vAlign w:val="bottom"/>
            <w:tcBorders>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920" w:type="dxa"/>
            <w:vAlign w:val="bottom"/>
            <w:tcBorders>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1,237,005</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1,450,000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3,218,645</w:t>
            </w:r>
          </w:p>
        </w:tc>
        <w:tc>
          <w:tcPr>
            <w:tcW w:w="0" w:type="dxa"/>
            <w:vAlign w:val="bottom"/>
          </w:tcPr>
          <w:p>
            <w:pPr>
              <w:spacing w:after="0"/>
              <w:rPr>
                <w:sz w:val="1"/>
                <w:szCs w:val="1"/>
                <w:color w:val="auto"/>
              </w:rPr>
            </w:pPr>
          </w:p>
        </w:tc>
      </w:tr>
      <w:tr>
        <w:trPr>
          <w:trHeight w:val="27"/>
        </w:trPr>
        <w:tc>
          <w:tcPr>
            <w:tcW w:w="140" w:type="dxa"/>
            <w:vAlign w:val="bottom"/>
            <w:tcBorders>
              <w:left w:val="single" w:sz="8" w:color="424E6A"/>
            </w:tcBorders>
          </w:tcPr>
          <w:p>
            <w:pPr>
              <w:spacing w:after="0"/>
              <w:rPr>
                <w:sz w:val="2"/>
                <w:szCs w:val="2"/>
                <w:color w:val="auto"/>
              </w:rPr>
            </w:pPr>
          </w:p>
        </w:tc>
        <w:tc>
          <w:tcPr>
            <w:tcW w:w="244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Chief Financial Officer</w:t>
            </w:r>
          </w:p>
        </w:tc>
        <w:tc>
          <w:tcPr>
            <w:tcW w:w="56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4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0" w:type="dxa"/>
            <w:vAlign w:val="bottom"/>
            <w:tcBorders>
              <w:bottom w:val="single" w:sz="8" w:color="424E6A"/>
            </w:tcBorders>
          </w:tcPr>
          <w:p>
            <w:pPr>
              <w:spacing w:after="0"/>
              <w:rPr>
                <w:sz w:val="2"/>
                <w:szCs w:val="2"/>
                <w:color w:val="auto"/>
              </w:rPr>
            </w:pPr>
          </w:p>
        </w:tc>
        <w:tc>
          <w:tcPr>
            <w:tcW w:w="102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424E6A"/>
              <w:right w:val="single" w:sz="8" w:color="424E6A"/>
            </w:tcBorders>
            <w:vMerge w:val="continue"/>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tcPr>
          <w:p>
            <w:pPr>
              <w:jc w:val="right"/>
              <w:ind w:right="25"/>
              <w:spacing w:after="0"/>
              <w:rPr>
                <w:sz w:val="20"/>
                <w:szCs w:val="20"/>
                <w:color w:val="auto"/>
              </w:rPr>
            </w:pPr>
            <w:r>
              <w:rPr>
                <w:rFonts w:ascii="Arial" w:cs="Arial" w:eastAsia="Arial" w:hAnsi="Arial"/>
                <w:sz w:val="16"/>
                <w:szCs w:val="16"/>
                <w:color w:val="auto"/>
              </w:rPr>
              <w:t>821,267</w:t>
            </w:r>
          </w:p>
        </w:tc>
        <w:tc>
          <w:tcPr>
            <w:tcW w:w="1080" w:type="dxa"/>
            <w:vAlign w:val="bottom"/>
            <w:tcBorders>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980,000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2,219,627</w:t>
            </w:r>
          </w:p>
        </w:tc>
        <w:tc>
          <w:tcPr>
            <w:tcW w:w="0" w:type="dxa"/>
            <w:vAlign w:val="bottom"/>
          </w:tcPr>
          <w:p>
            <w:pPr>
              <w:spacing w:after="0"/>
              <w:rPr>
                <w:sz w:val="1"/>
                <w:szCs w:val="1"/>
                <w:color w:val="auto"/>
              </w:rPr>
            </w:pPr>
          </w:p>
        </w:tc>
      </w:tr>
      <w:tr>
        <w:trPr>
          <w:trHeight w:val="295"/>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4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Richard McGee</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20" w:type="dxa"/>
            <w:vAlign w:val="bottom"/>
            <w:tcBorders>
              <w:top w:val="single" w:sz="8" w:color="424E6A"/>
              <w:bottom w:val="single" w:sz="8" w:color="424E6A"/>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1,153,018</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1,180,000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2,903,658</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tcBorders>
          </w:tcPr>
          <w:p>
            <w:pPr>
              <w:spacing w:after="0"/>
              <w:rPr>
                <w:sz w:val="20"/>
                <w:szCs w:val="20"/>
                <w:color w:val="auto"/>
              </w:rPr>
            </w:pPr>
          </w:p>
        </w:tc>
        <w:tc>
          <w:tcPr>
            <w:tcW w:w="2440" w:type="dxa"/>
            <w:vAlign w:val="bottom"/>
            <w:tcBorders>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w:t>
            </w:r>
          </w:p>
        </w:tc>
        <w:tc>
          <w:tcPr>
            <w:tcW w:w="56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512,500</w:t>
            </w:r>
          </w:p>
        </w:tc>
        <w:tc>
          <w:tcPr>
            <w:tcW w:w="920" w:type="dxa"/>
            <w:vAlign w:val="bottom"/>
            <w:tcBorders>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1,237,005</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1,515,000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3,283,645</w:t>
            </w:r>
          </w:p>
        </w:tc>
        <w:tc>
          <w:tcPr>
            <w:tcW w:w="0" w:type="dxa"/>
            <w:vAlign w:val="bottom"/>
          </w:tcPr>
          <w:p>
            <w:pPr>
              <w:spacing w:after="0"/>
              <w:rPr>
                <w:sz w:val="1"/>
                <w:szCs w:val="1"/>
                <w:color w:val="auto"/>
              </w:rPr>
            </w:pPr>
          </w:p>
        </w:tc>
      </w:tr>
      <w:tr>
        <w:trPr>
          <w:trHeight w:val="27"/>
        </w:trPr>
        <w:tc>
          <w:tcPr>
            <w:tcW w:w="140" w:type="dxa"/>
            <w:vAlign w:val="bottom"/>
            <w:tcBorders>
              <w:left w:val="single" w:sz="8" w:color="424E6A"/>
            </w:tcBorders>
          </w:tcPr>
          <w:p>
            <w:pPr>
              <w:spacing w:after="0"/>
              <w:rPr>
                <w:sz w:val="2"/>
                <w:szCs w:val="2"/>
                <w:color w:val="auto"/>
              </w:rPr>
            </w:pPr>
          </w:p>
        </w:tc>
        <w:tc>
          <w:tcPr>
            <w:tcW w:w="244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General Counsel and Secretary</w:t>
            </w:r>
          </w:p>
        </w:tc>
        <w:tc>
          <w:tcPr>
            <w:tcW w:w="56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4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0" w:type="dxa"/>
            <w:vAlign w:val="bottom"/>
            <w:tcBorders>
              <w:bottom w:val="single" w:sz="8" w:color="424E6A"/>
            </w:tcBorders>
          </w:tcPr>
          <w:p>
            <w:pPr>
              <w:spacing w:after="0"/>
              <w:rPr>
                <w:sz w:val="2"/>
                <w:szCs w:val="2"/>
                <w:color w:val="auto"/>
              </w:rPr>
            </w:pPr>
          </w:p>
        </w:tc>
        <w:tc>
          <w:tcPr>
            <w:tcW w:w="102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424E6A"/>
              <w:right w:val="single" w:sz="8" w:color="424E6A"/>
            </w:tcBorders>
            <w:vMerge w:val="continue"/>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tcPr>
          <w:p>
            <w:pPr>
              <w:jc w:val="right"/>
              <w:ind w:right="25"/>
              <w:spacing w:after="0"/>
              <w:rPr>
                <w:sz w:val="20"/>
                <w:szCs w:val="20"/>
                <w:color w:val="auto"/>
              </w:rPr>
            </w:pPr>
            <w:r>
              <w:rPr>
                <w:rFonts w:ascii="Arial" w:cs="Arial" w:eastAsia="Arial" w:hAnsi="Arial"/>
                <w:sz w:val="16"/>
                <w:szCs w:val="16"/>
                <w:color w:val="auto"/>
              </w:rPr>
              <w:t>821,267</w:t>
            </w:r>
          </w:p>
        </w:tc>
        <w:tc>
          <w:tcPr>
            <w:tcW w:w="1080" w:type="dxa"/>
            <w:vAlign w:val="bottom"/>
            <w:tcBorders>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1,050,000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2,289,627</w:t>
            </w:r>
          </w:p>
        </w:tc>
        <w:tc>
          <w:tcPr>
            <w:tcW w:w="0" w:type="dxa"/>
            <w:vAlign w:val="bottom"/>
          </w:tcPr>
          <w:p>
            <w:pPr>
              <w:spacing w:after="0"/>
              <w:rPr>
                <w:sz w:val="1"/>
                <w:szCs w:val="1"/>
                <w:color w:val="auto"/>
              </w:rPr>
            </w:pPr>
          </w:p>
        </w:tc>
      </w:tr>
      <w:tr>
        <w:trPr>
          <w:trHeight w:val="295"/>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4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Chris Chandler</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20" w:type="dxa"/>
            <w:vAlign w:val="bottom"/>
            <w:tcBorders>
              <w:top w:val="single" w:sz="8" w:color="424E6A"/>
              <w:bottom w:val="single" w:sz="8" w:color="424E6A"/>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1,485,999</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1,340,000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3,446,639</w:t>
            </w: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tcBorders>
          </w:tcPr>
          <w:p>
            <w:pPr>
              <w:spacing w:after="0"/>
              <w:rPr>
                <w:sz w:val="20"/>
                <w:szCs w:val="20"/>
                <w:color w:val="auto"/>
              </w:rPr>
            </w:pPr>
          </w:p>
        </w:tc>
        <w:tc>
          <w:tcPr>
            <w:tcW w:w="2440" w:type="dxa"/>
            <w:vAlign w:val="bottom"/>
            <w:tcBorders>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20" w:type="dxa"/>
            <w:vAlign w:val="bottom"/>
            <w:tcBorders>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4,081,569</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c>
          <w:tcPr>
            <w:tcW w:w="0" w:type="dxa"/>
            <w:vAlign w:val="bottom"/>
          </w:tcPr>
          <w:p>
            <w:pPr>
              <w:spacing w:after="0"/>
              <w:rPr>
                <w:sz w:val="1"/>
                <w:szCs w:val="1"/>
                <w:color w:val="auto"/>
              </w:rPr>
            </w:pPr>
          </w:p>
        </w:tc>
      </w:tr>
      <w:tr>
        <w:trPr>
          <w:trHeight w:val="27"/>
        </w:trPr>
        <w:tc>
          <w:tcPr>
            <w:tcW w:w="140" w:type="dxa"/>
            <w:vAlign w:val="bottom"/>
            <w:tcBorders>
              <w:left w:val="single" w:sz="8" w:color="424E6A"/>
            </w:tcBorders>
          </w:tcPr>
          <w:p>
            <w:pPr>
              <w:spacing w:after="0"/>
              <w:rPr>
                <w:sz w:val="2"/>
                <w:szCs w:val="2"/>
                <w:color w:val="auto"/>
              </w:rPr>
            </w:pPr>
          </w:p>
        </w:tc>
        <w:tc>
          <w:tcPr>
            <w:tcW w:w="244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Chief Operating Officer</w:t>
            </w:r>
          </w:p>
        </w:tc>
        <w:tc>
          <w:tcPr>
            <w:tcW w:w="56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4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0" w:type="dxa"/>
            <w:vAlign w:val="bottom"/>
            <w:tcBorders>
              <w:bottom w:val="single" w:sz="8" w:color="424E6A"/>
            </w:tcBorders>
          </w:tcPr>
          <w:p>
            <w:pPr>
              <w:spacing w:after="0"/>
              <w:rPr>
                <w:sz w:val="2"/>
                <w:szCs w:val="2"/>
                <w:color w:val="auto"/>
              </w:rPr>
            </w:pPr>
          </w:p>
        </w:tc>
        <w:tc>
          <w:tcPr>
            <w:tcW w:w="102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424E6A"/>
              <w:right w:val="single" w:sz="8" w:color="424E6A"/>
            </w:tcBorders>
            <w:vMerge w:val="continue"/>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tcPr>
          <w:p>
            <w:pPr>
              <w:jc w:val="right"/>
              <w:ind w:right="25"/>
              <w:spacing w:after="0"/>
              <w:rPr>
                <w:sz w:val="20"/>
                <w:szCs w:val="20"/>
                <w:color w:val="auto"/>
              </w:rPr>
            </w:pPr>
            <w:r>
              <w:rPr>
                <w:rFonts w:ascii="Arial" w:cs="Arial" w:eastAsia="Arial" w:hAnsi="Arial"/>
                <w:sz w:val="16"/>
                <w:szCs w:val="16"/>
                <w:color w:val="auto"/>
              </w:rPr>
              <w:t>821,267</w:t>
            </w:r>
          </w:p>
        </w:tc>
        <w:tc>
          <w:tcPr>
            <w:tcW w:w="1080" w:type="dxa"/>
            <w:vAlign w:val="bottom"/>
            <w:tcBorders>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1,010,000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2,249,627</w:t>
            </w:r>
          </w:p>
        </w:tc>
        <w:tc>
          <w:tcPr>
            <w:tcW w:w="0" w:type="dxa"/>
            <w:vAlign w:val="bottom"/>
          </w:tcPr>
          <w:p>
            <w:pPr>
              <w:spacing w:after="0"/>
              <w:rPr>
                <w:sz w:val="1"/>
                <w:szCs w:val="1"/>
                <w:color w:val="auto"/>
              </w:rPr>
            </w:pPr>
          </w:p>
        </w:tc>
      </w:tr>
      <w:tr>
        <w:trPr>
          <w:trHeight w:val="295"/>
        </w:trPr>
        <w:tc>
          <w:tcPr>
            <w:tcW w:w="14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440" w:type="dxa"/>
            <w:vAlign w:val="bottom"/>
            <w:tcBorders>
              <w:bottom w:val="single" w:sz="8" w:color="D9DCE1"/>
              <w:right w:val="single" w:sz="8" w:color="424E6A"/>
            </w:tcBorders>
            <w:shd w:val="clear" w:color="auto" w:fill="D9DCE1"/>
          </w:tcPr>
          <w:p>
            <w:pPr>
              <w:spacing w:after="0"/>
              <w:rPr>
                <w:sz w:val="24"/>
                <w:szCs w:val="24"/>
                <w:color w:val="auto"/>
              </w:rPr>
            </w:pPr>
          </w:p>
        </w:tc>
        <w:tc>
          <w:tcPr>
            <w:tcW w:w="56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780" w:type="dxa"/>
            <w:vAlign w:val="bottom"/>
            <w:tcBorders>
              <w:bottom w:val="single" w:sz="8" w:color="D9DCE1"/>
              <w:right w:val="single" w:sz="8" w:color="424E6A"/>
            </w:tcBorders>
            <w:shd w:val="clear" w:color="auto" w:fill="D9DCE1"/>
          </w:tcPr>
          <w:p>
            <w:pPr>
              <w:spacing w:after="0"/>
              <w:rPr>
                <w:sz w:val="24"/>
                <w:szCs w:val="24"/>
                <w:color w:val="auto"/>
              </w:rPr>
            </w:pPr>
          </w:p>
        </w:tc>
        <w:tc>
          <w:tcPr>
            <w:tcW w:w="1080" w:type="dxa"/>
            <w:vAlign w:val="bottom"/>
            <w:tcBorders>
              <w:bottom w:val="single" w:sz="8" w:color="D9DCE1"/>
            </w:tcBorders>
            <w:shd w:val="clear" w:color="auto" w:fill="D9DCE1"/>
          </w:tcPr>
          <w:p>
            <w:pPr>
              <w:ind w:left="2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D9DCE1"/>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D9DCE1"/>
            </w:tcBorders>
            <w:shd w:val="clear" w:color="auto" w:fill="D9DCE1"/>
          </w:tcPr>
          <w:p>
            <w:pPr>
              <w:ind w:left="260"/>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D9DCE1"/>
              <w:right w:val="single" w:sz="8" w:color="424E6A"/>
            </w:tcBorders>
            <w:shd w:val="clear" w:color="auto" w:fill="D9DCE1"/>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580" w:type="dxa"/>
            <w:vAlign w:val="bottom"/>
            <w:tcBorders>
              <w:top w:val="single" w:sz="8" w:color="424E6A"/>
              <w:left w:val="single" w:sz="8" w:color="424E6A"/>
              <w:bottom w:val="single" w:sz="8" w:color="424E6A"/>
              <w:right w:val="single" w:sz="8" w:color="424E6A"/>
            </w:tcBorders>
            <w:gridSpan w:val="2"/>
          </w:tcPr>
          <w:p>
            <w:pPr>
              <w:ind w:left="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Jeremy Goebel</w:t>
            </w:r>
          </w:p>
        </w:tc>
        <w:tc>
          <w:tcPr>
            <w:tcW w:w="56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780" w:type="dxa"/>
            <w:vAlign w:val="bottom"/>
            <w:tcBorders>
              <w:top w:val="single" w:sz="8" w:color="424E6A"/>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600,000</w:t>
            </w:r>
          </w:p>
        </w:tc>
        <w:tc>
          <w:tcPr>
            <w:tcW w:w="920" w:type="dxa"/>
            <w:vAlign w:val="bottom"/>
            <w:tcBorders>
              <w:top w:val="single" w:sz="8" w:color="424E6A"/>
              <w:bottom w:val="single" w:sz="8" w:color="424E6A"/>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1,485,999</w:t>
            </w:r>
          </w:p>
        </w:tc>
        <w:tc>
          <w:tcPr>
            <w:tcW w:w="1080" w:type="dxa"/>
            <w:vAlign w:val="bottom"/>
            <w:tcBorders>
              <w:top w:val="single" w:sz="8" w:color="424E6A"/>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1,340,000</w:t>
            </w:r>
          </w:p>
        </w:tc>
        <w:tc>
          <w:tcPr>
            <w:tcW w:w="14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424E6A"/>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20,640</w:t>
            </w:r>
          </w:p>
        </w:tc>
        <w:tc>
          <w:tcPr>
            <w:tcW w:w="12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424E6A"/>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3,446,639</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tcBorders>
          </w:tcPr>
          <w:p>
            <w:pPr>
              <w:spacing w:after="0"/>
              <w:rPr>
                <w:sz w:val="20"/>
                <w:szCs w:val="20"/>
                <w:color w:val="auto"/>
              </w:rPr>
            </w:pPr>
          </w:p>
        </w:tc>
        <w:tc>
          <w:tcPr>
            <w:tcW w:w="2440" w:type="dxa"/>
            <w:vAlign w:val="bottom"/>
            <w:tcBorders>
              <w:right w:val="single" w:sz="8" w:color="424E6A"/>
            </w:tcBorders>
          </w:tcPr>
          <w:p>
            <w:pPr>
              <w:ind w:left="80"/>
              <w:spacing w:after="0"/>
              <w:rPr>
                <w:sz w:val="20"/>
                <w:szCs w:val="20"/>
                <w:color w:val="auto"/>
              </w:rPr>
            </w:pPr>
            <w:r>
              <w:rPr>
                <w:rFonts w:ascii="Arial" w:cs="Arial" w:eastAsia="Arial" w:hAnsi="Arial"/>
                <w:sz w:val="16"/>
                <w:szCs w:val="16"/>
                <w:color w:val="auto"/>
              </w:rPr>
              <w:t>Executive Vice President and</w:t>
            </w:r>
          </w:p>
        </w:tc>
        <w:tc>
          <w:tcPr>
            <w:tcW w:w="56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780" w:type="dxa"/>
            <w:vAlign w:val="bottom"/>
            <w:tcBorders>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550,000</w:t>
            </w:r>
          </w:p>
        </w:tc>
        <w:tc>
          <w:tcPr>
            <w:tcW w:w="920" w:type="dxa"/>
            <w:vAlign w:val="bottom"/>
            <w:tcBorders>
              <w:right w:val="single" w:sz="8" w:color="424E6A"/>
            </w:tcBorders>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4,081,569</w:t>
            </w:r>
          </w:p>
        </w:tc>
        <w:tc>
          <w:tcPr>
            <w:tcW w:w="1080" w:type="dxa"/>
            <w:vAlign w:val="bottom"/>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1,730,000</w:t>
            </w:r>
          </w:p>
        </w:tc>
        <w:tc>
          <w:tcPr>
            <w:tcW w:w="140" w:type="dxa"/>
            <w:vAlign w:val="bottom"/>
            <w:tcBorders>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19,140</w:t>
            </w:r>
          </w:p>
        </w:tc>
        <w:tc>
          <w:tcPr>
            <w:tcW w:w="120" w:type="dxa"/>
            <w:vAlign w:val="bottom"/>
            <w:tcBorders>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6,380,709</w:t>
            </w:r>
          </w:p>
        </w:tc>
        <w:tc>
          <w:tcPr>
            <w:tcW w:w="0" w:type="dxa"/>
            <w:vAlign w:val="bottom"/>
          </w:tcPr>
          <w:p>
            <w:pPr>
              <w:spacing w:after="0"/>
              <w:rPr>
                <w:sz w:val="1"/>
                <w:szCs w:val="1"/>
                <w:color w:val="auto"/>
              </w:rPr>
            </w:pPr>
          </w:p>
        </w:tc>
      </w:tr>
      <w:tr>
        <w:trPr>
          <w:trHeight w:val="27"/>
        </w:trPr>
        <w:tc>
          <w:tcPr>
            <w:tcW w:w="140" w:type="dxa"/>
            <w:vAlign w:val="bottom"/>
            <w:tcBorders>
              <w:left w:val="single" w:sz="8" w:color="424E6A"/>
            </w:tcBorders>
          </w:tcPr>
          <w:p>
            <w:pPr>
              <w:spacing w:after="0"/>
              <w:rPr>
                <w:sz w:val="2"/>
                <w:szCs w:val="2"/>
                <w:color w:val="auto"/>
              </w:rPr>
            </w:pPr>
          </w:p>
        </w:tc>
        <w:tc>
          <w:tcPr>
            <w:tcW w:w="244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Chief Commercial Officer</w:t>
            </w:r>
          </w:p>
        </w:tc>
        <w:tc>
          <w:tcPr>
            <w:tcW w:w="560" w:type="dxa"/>
            <w:vAlign w:val="bottom"/>
            <w:tcBorders>
              <w:bottom w:val="single" w:sz="8" w:color="424E6A"/>
              <w:right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40" w:type="dxa"/>
            <w:vAlign w:val="bottom"/>
            <w:tcBorders>
              <w:bottom w:val="single" w:sz="8" w:color="424E6A"/>
            </w:tcBorders>
          </w:tcPr>
          <w:p>
            <w:pPr>
              <w:spacing w:after="0"/>
              <w:rPr>
                <w:sz w:val="2"/>
                <w:szCs w:val="2"/>
                <w:color w:val="auto"/>
              </w:rPr>
            </w:pPr>
          </w:p>
        </w:tc>
        <w:tc>
          <w:tcPr>
            <w:tcW w:w="780" w:type="dxa"/>
            <w:vAlign w:val="bottom"/>
            <w:tcBorders>
              <w:bottom w:val="single" w:sz="8" w:color="424E6A"/>
              <w:right w:val="single" w:sz="8" w:color="424E6A"/>
            </w:tcBorders>
          </w:tcPr>
          <w:p>
            <w:pPr>
              <w:spacing w:after="0"/>
              <w:rPr>
                <w:sz w:val="2"/>
                <w:szCs w:val="2"/>
                <w:color w:val="auto"/>
              </w:rPr>
            </w:pPr>
          </w:p>
        </w:tc>
        <w:tc>
          <w:tcPr>
            <w:tcW w:w="1080" w:type="dxa"/>
            <w:vAlign w:val="bottom"/>
            <w:tcBorders>
              <w:bottom w:val="single" w:sz="8" w:color="424E6A"/>
            </w:tcBorders>
          </w:tcPr>
          <w:p>
            <w:pPr>
              <w:spacing w:after="0"/>
              <w:rPr>
                <w:sz w:val="2"/>
                <w:szCs w:val="2"/>
                <w:color w:val="auto"/>
              </w:rPr>
            </w:pPr>
          </w:p>
        </w:tc>
        <w:tc>
          <w:tcPr>
            <w:tcW w:w="140" w:type="dxa"/>
            <w:vAlign w:val="bottom"/>
            <w:tcBorders>
              <w:bottom w:val="single" w:sz="8" w:color="424E6A"/>
              <w:right w:val="single" w:sz="8" w:color="424E6A"/>
            </w:tcBorders>
          </w:tcPr>
          <w:p>
            <w:pPr>
              <w:spacing w:after="0"/>
              <w:rPr>
                <w:sz w:val="2"/>
                <w:szCs w:val="2"/>
                <w:color w:val="auto"/>
              </w:rPr>
            </w:pPr>
          </w:p>
        </w:tc>
        <w:tc>
          <w:tcPr>
            <w:tcW w:w="100" w:type="dxa"/>
            <w:vAlign w:val="bottom"/>
            <w:tcBorders>
              <w:bottom w:val="single" w:sz="8" w:color="424E6A"/>
            </w:tcBorders>
          </w:tcPr>
          <w:p>
            <w:pPr>
              <w:spacing w:after="0"/>
              <w:rPr>
                <w:sz w:val="2"/>
                <w:szCs w:val="2"/>
                <w:color w:val="auto"/>
              </w:rPr>
            </w:pPr>
          </w:p>
        </w:tc>
        <w:tc>
          <w:tcPr>
            <w:tcW w:w="1020" w:type="dxa"/>
            <w:vAlign w:val="bottom"/>
            <w:tcBorders>
              <w:bottom w:val="single" w:sz="8" w:color="424E6A"/>
            </w:tcBorders>
          </w:tcPr>
          <w:p>
            <w:pPr>
              <w:spacing w:after="0"/>
              <w:rPr>
                <w:sz w:val="2"/>
                <w:szCs w:val="2"/>
                <w:color w:val="auto"/>
              </w:rPr>
            </w:pPr>
          </w:p>
        </w:tc>
        <w:tc>
          <w:tcPr>
            <w:tcW w:w="120" w:type="dxa"/>
            <w:vAlign w:val="bottom"/>
            <w:tcBorders>
              <w:bottom w:val="single" w:sz="8" w:color="424E6A"/>
              <w:right w:val="single" w:sz="8" w:color="424E6A"/>
            </w:tcBorders>
          </w:tcPr>
          <w:p>
            <w:pPr>
              <w:spacing w:after="0"/>
              <w:rPr>
                <w:sz w:val="2"/>
                <w:szCs w:val="2"/>
                <w:color w:val="auto"/>
              </w:rPr>
            </w:pPr>
          </w:p>
        </w:tc>
        <w:tc>
          <w:tcPr>
            <w:tcW w:w="920" w:type="dxa"/>
            <w:vAlign w:val="bottom"/>
            <w:tcBorders>
              <w:bottom w:val="single" w:sz="8" w:color="424E6A"/>
              <w:right w:val="single" w:sz="8" w:color="424E6A"/>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424E6A"/>
              <w:right w:val="single" w:sz="8" w:color="424E6A"/>
            </w:tcBorders>
            <w:vMerge w:val="continue"/>
          </w:tcPr>
          <w:p>
            <w:pPr>
              <w:spacing w:after="0"/>
              <w:rPr>
                <w:sz w:val="20"/>
                <w:szCs w:val="20"/>
                <w:color w:val="auto"/>
              </w:rPr>
            </w:pPr>
          </w:p>
        </w:tc>
        <w:tc>
          <w:tcPr>
            <w:tcW w:w="56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2021</w:t>
            </w:r>
          </w:p>
        </w:tc>
        <w:tc>
          <w:tcPr>
            <w:tcW w:w="780" w:type="dxa"/>
            <w:vAlign w:val="bottom"/>
            <w:tcBorders>
              <w:bottom w:val="single" w:sz="8" w:color="424E6A"/>
              <w:right w:val="single" w:sz="8" w:color="424E6A"/>
            </w:tcBorders>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400,000</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424E6A"/>
              <w:right w:val="single" w:sz="8" w:color="424E6A"/>
            </w:tcBorders>
          </w:tcPr>
          <w:p>
            <w:pPr>
              <w:jc w:val="right"/>
              <w:ind w:right="25"/>
              <w:spacing w:after="0"/>
              <w:rPr>
                <w:sz w:val="20"/>
                <w:szCs w:val="20"/>
                <w:color w:val="auto"/>
              </w:rPr>
            </w:pPr>
            <w:r>
              <w:rPr>
                <w:rFonts w:ascii="Arial" w:cs="Arial" w:eastAsia="Arial" w:hAnsi="Arial"/>
                <w:sz w:val="16"/>
                <w:szCs w:val="16"/>
                <w:color w:val="auto"/>
              </w:rPr>
              <w:t>821,267</w:t>
            </w:r>
          </w:p>
        </w:tc>
        <w:tc>
          <w:tcPr>
            <w:tcW w:w="1080" w:type="dxa"/>
            <w:vAlign w:val="bottom"/>
            <w:tcBorders>
              <w:bottom w:val="single" w:sz="8" w:color="424E6A"/>
            </w:tcBorders>
          </w:tcPr>
          <w:p>
            <w:pPr>
              <w:ind w:left="2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1,170,000</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24E6A"/>
            </w:tcBorders>
          </w:tcPr>
          <w:p>
            <w:pPr>
              <w:ind w:left="2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18,360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24E6A"/>
              <w:right w:val="single" w:sz="8" w:color="424E6A"/>
            </w:tcBorders>
            <w:gridSpan w:val="2"/>
          </w:tcPr>
          <w:p>
            <w:pPr>
              <w:ind w:left="6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2,409,627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620" w:right="479" w:hanging="360"/>
        <w:spacing w:after="0" w:line="251" w:lineRule="auto"/>
        <w:tabs>
          <w:tab w:leader="none" w:pos="1620" w:val="left"/>
        </w:tabs>
        <w:numPr>
          <w:ilvl w:val="0"/>
          <w:numId w:val="58"/>
        </w:numPr>
        <w:rPr>
          <w:rFonts w:ascii="Arial" w:cs="Arial" w:eastAsia="Arial" w:hAnsi="Arial"/>
          <w:sz w:val="26"/>
          <w:szCs w:val="26"/>
          <w:color w:val="auto"/>
          <w:vertAlign w:val="superscript"/>
        </w:rPr>
      </w:pPr>
      <w:r>
        <w:rPr>
          <w:rFonts w:ascii="Arial" w:cs="Arial" w:eastAsia="Arial" w:hAnsi="Arial"/>
          <w:sz w:val="17"/>
          <w:szCs w:val="17"/>
          <w:color w:val="auto"/>
        </w:rPr>
        <w:t>Grant date fair values are presented for (i) phantom unit grants awarded to Messrs. Chiang, Swanson, McGee, Chandler and Goebel in August 2021, 2022 and 2023, and (ii) a portion of phantom unit grants awarded to Messrs. Chandler and Goebel in November 2019, which were amended in February 2022. Dollar amounts in the table represent the aggregate fair value of phantom units awarded based on the probable outcome of underlying performance conditions pursuant to FASB ASC Topic 718. See Note 17 to our Consolidated Financial Statements included in our 2023 Annual Report for further discussion regarding the calculation of grant date fair values.</w:t>
      </w:r>
    </w:p>
    <w:p>
      <w:pPr>
        <w:spacing w:after="0" w:line="13" w:lineRule="exact"/>
        <w:rPr>
          <w:rFonts w:ascii="Arial" w:cs="Arial" w:eastAsia="Arial" w:hAnsi="Arial"/>
          <w:sz w:val="26"/>
          <w:szCs w:val="26"/>
          <w:color w:val="auto"/>
          <w:vertAlign w:val="superscript"/>
        </w:rPr>
      </w:pPr>
    </w:p>
    <w:p>
      <w:pPr>
        <w:ind w:left="1620" w:right="419"/>
        <w:spacing w:after="0" w:line="255" w:lineRule="auto"/>
        <w:rPr>
          <w:rFonts w:ascii="Arial" w:cs="Arial" w:eastAsia="Arial" w:hAnsi="Arial"/>
          <w:sz w:val="26"/>
          <w:szCs w:val="26"/>
          <w:color w:val="auto"/>
          <w:vertAlign w:val="superscript"/>
        </w:rPr>
      </w:pPr>
      <w:r>
        <w:rPr>
          <w:rFonts w:ascii="Arial" w:cs="Arial" w:eastAsia="Arial" w:hAnsi="Arial"/>
          <w:sz w:val="18"/>
          <w:szCs w:val="18"/>
          <w:color w:val="auto"/>
        </w:rPr>
        <w:t>For phantom unit grants awarded to Messrs. Chandler and Goebel in November 2019, 50% were deemed probable of vesting on the grant date. The probability-based fair value of the phantom unit grants awarded in November 2019 was $3,901,500; the maximum fair value of phantom unit grants awarded in November 2019, assuming that the highest level of performance conditions will be met, was $6,865,000 for each of Messrs. Chandler and Goebel. The November 2019 phantom unit grants were amended in February 2022 to replace the original DCF/CUE metric in the performance-based portion of the award with a relative TSR metric. As a result of the amendment, 100% of the grants were deemed probable of vesting on the amendment date. The amounts</w:t>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19"/>
        <w:spacing w:after="0" w:line="262" w:lineRule="auto"/>
        <w:rPr>
          <w:sz w:val="20"/>
          <w:szCs w:val="20"/>
          <w:color w:val="auto"/>
        </w:rPr>
      </w:pPr>
      <w:r>
        <w:rPr>
          <w:rFonts w:ascii="Arial" w:cs="Arial" w:eastAsia="Arial" w:hAnsi="Arial"/>
          <w:sz w:val="18"/>
          <w:szCs w:val="18"/>
          <w:color w:val="auto"/>
        </w:rPr>
        <w:t>presented for each of Messrs. Chandler and Goebel for 2022 include aggregate incremental fair value of $2,486,671 resulting from the amendment of the performance-based portion of the November 2019 awards. The incremental fair value represents the net increase in fair value of the amended awards relative to the fair value on the original grant date.</w:t>
      </w:r>
    </w:p>
    <w:p>
      <w:pPr>
        <w:spacing w:after="0" w:line="1" w:lineRule="exact"/>
        <w:rPr>
          <w:sz w:val="20"/>
          <w:szCs w:val="20"/>
          <w:color w:val="auto"/>
        </w:rPr>
      </w:pPr>
    </w:p>
    <w:p>
      <w:pPr>
        <w:ind w:left="1620" w:right="419"/>
        <w:spacing w:after="0" w:line="262" w:lineRule="auto"/>
        <w:rPr>
          <w:sz w:val="20"/>
          <w:szCs w:val="20"/>
          <w:color w:val="auto"/>
        </w:rPr>
      </w:pPr>
      <w:r>
        <w:rPr>
          <w:rFonts w:ascii="Arial" w:cs="Arial" w:eastAsia="Arial" w:hAnsi="Arial"/>
          <w:sz w:val="18"/>
          <w:szCs w:val="18"/>
          <w:color w:val="auto"/>
        </w:rPr>
        <w:t>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p>
    <w:p>
      <w:pPr>
        <w:spacing w:after="0" w:line="1" w:lineRule="exact"/>
        <w:rPr>
          <w:sz w:val="20"/>
          <w:szCs w:val="20"/>
          <w:color w:val="auto"/>
        </w:rPr>
      </w:pPr>
    </w:p>
    <w:p>
      <w:pPr>
        <w:ind w:left="1620" w:right="419"/>
        <w:spacing w:after="0" w:line="256" w:lineRule="auto"/>
        <w:rPr>
          <w:sz w:val="20"/>
          <w:szCs w:val="20"/>
          <w:color w:val="auto"/>
        </w:rPr>
      </w:pPr>
      <w:r>
        <w:rPr>
          <w:rFonts w:ascii="Arial" w:cs="Arial" w:eastAsia="Arial" w:hAnsi="Arial"/>
          <w:sz w:val="18"/>
          <w:szCs w:val="18"/>
          <w:color w:val="auto"/>
        </w:rPr>
        <w:t>For phantom unit grants awarded in August 2022, 75% were deemed probable of vesting on the grant date. The maximum fair value of phantom unit grants awarded in August 2022, assuming that the highest level of performance conditions will be met, was $7,854,000 for Mr. Chiang, $2,474,010 for each of Messrs. Swanson and McGee, and $3,189,795 for each of Messrs. Chandler and Goebel.</w:t>
      </w:r>
    </w:p>
    <w:p>
      <w:pPr>
        <w:spacing w:after="0" w:line="3" w:lineRule="exact"/>
        <w:rPr>
          <w:sz w:val="20"/>
          <w:szCs w:val="20"/>
          <w:color w:val="auto"/>
        </w:rPr>
      </w:pPr>
    </w:p>
    <w:p>
      <w:pPr>
        <w:ind w:left="1620" w:right="419"/>
        <w:spacing w:after="0" w:line="259" w:lineRule="auto"/>
        <w:rPr>
          <w:sz w:val="20"/>
          <w:szCs w:val="20"/>
          <w:color w:val="auto"/>
        </w:rPr>
      </w:pPr>
      <w:r>
        <w:rPr>
          <w:rFonts w:ascii="Arial" w:cs="Arial" w:eastAsia="Arial" w:hAnsi="Arial"/>
          <w:sz w:val="18"/>
          <w:szCs w:val="18"/>
          <w:color w:val="auto"/>
        </w:rPr>
        <w:t>For phantom unit grants awarded in August 2023, 75% were deemed probable of vesting on the grant date. The maximum fair value of phantom unit grants awarded in August 2023, assuming that the highest level of performance conditions will be met, was $4,877,705 for Mr. Chiang, $1,537,358 for each of Messrs. Swanson and McGee, and $1,981,333 for each of Messrs. Chandler and Goebel.</w:t>
      </w:r>
    </w:p>
    <w:p>
      <w:pPr>
        <w:spacing w:after="0" w:line="4" w:lineRule="exact"/>
        <w:rPr>
          <w:sz w:val="20"/>
          <w:szCs w:val="20"/>
          <w:color w:val="auto"/>
        </w:rPr>
      </w:pPr>
    </w:p>
    <w:p>
      <w:pPr>
        <w:jc w:val="both"/>
        <w:ind w:left="1620" w:right="479"/>
        <w:spacing w:after="0" w:line="268" w:lineRule="auto"/>
        <w:rPr>
          <w:sz w:val="20"/>
          <w:szCs w:val="20"/>
          <w:color w:val="auto"/>
        </w:rPr>
      </w:pPr>
      <w:r>
        <w:rPr>
          <w:rFonts w:ascii="Arial" w:cs="Arial" w:eastAsia="Arial" w:hAnsi="Arial"/>
          <w:sz w:val="18"/>
          <w:szCs w:val="18"/>
          <w:color w:val="auto"/>
        </w:rPr>
        <w:t>As referenced previously, Mr. Pefanis is a co-founder and substantial equity owner and for the last several years, despite being eligible for equity awards, has requested to not participate in the long-term incentive program.</w:t>
      </w:r>
    </w:p>
    <w:p>
      <w:pPr>
        <w:spacing w:after="0" w:line="22" w:lineRule="exact"/>
        <w:rPr>
          <w:sz w:val="20"/>
          <w:szCs w:val="20"/>
          <w:color w:val="auto"/>
        </w:rPr>
      </w:pPr>
    </w:p>
    <w:p>
      <w:pPr>
        <w:ind w:left="1620" w:right="439" w:hanging="360"/>
        <w:spacing w:after="0" w:line="210"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Amounts in this column for 2023 were rounded up to the nearest $5,000. See “2023 Compensation Elements — Annual Cash Incentive Awards” above for additional information.</w:t>
      </w:r>
    </w:p>
    <w:p>
      <w:pPr>
        <w:spacing w:after="0" w:line="60" w:lineRule="exact"/>
        <w:rPr>
          <w:rFonts w:ascii="Arial" w:cs="Arial" w:eastAsia="Arial" w:hAnsi="Arial"/>
          <w:sz w:val="27"/>
          <w:szCs w:val="27"/>
          <w:color w:val="auto"/>
          <w:vertAlign w:val="superscript"/>
        </w:rPr>
      </w:pPr>
    </w:p>
    <w:p>
      <w:pPr>
        <w:ind w:left="1620" w:right="459" w:hanging="360"/>
        <w:spacing w:after="0" w:line="228" w:lineRule="auto"/>
        <w:tabs>
          <w:tab w:leader="none" w:pos="16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GP LLC matches 100% of employees’ contributions to its 401(k) plan in cash, subject to certain limitations in the plan. All Other Compensation for 2023 includes $19,800 in matching contributions for each of the Named Executive Officers. The remaining amount represents premium payments on behalf of such Named Executive Officer for group term life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Table</w:t>
      </w:r>
    </w:p>
    <w:p>
      <w:pPr>
        <w:spacing w:after="0" w:line="158" w:lineRule="exact"/>
        <w:rPr>
          <w:sz w:val="20"/>
          <w:szCs w:val="20"/>
          <w:color w:val="auto"/>
        </w:rPr>
      </w:pPr>
    </w:p>
    <w:p>
      <w:pPr>
        <w:ind w:left="1260" w:right="760" w:firstLine="360"/>
        <w:spacing w:after="0" w:line="287" w:lineRule="auto"/>
        <w:rPr>
          <w:sz w:val="20"/>
          <w:szCs w:val="20"/>
          <w:color w:val="auto"/>
        </w:rPr>
      </w:pPr>
      <w:r>
        <w:rPr>
          <w:rFonts w:ascii="Arial" w:cs="Arial" w:eastAsia="Arial" w:hAnsi="Arial"/>
          <w:sz w:val="18"/>
          <w:szCs w:val="18"/>
          <w:color w:val="auto"/>
        </w:rPr>
        <w:t>The following table sets forth summary information regarding all grants of plan-based awards made to our Named Executive Officers during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109220</wp:posOffset>
            </wp:positionV>
            <wp:extent cx="43180" cy="677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677545"/>
                    </a:xfrm>
                    <a:prstGeom prst="rect">
                      <a:avLst/>
                    </a:prstGeom>
                    <a:noFill/>
                  </pic:spPr>
                </pic:pic>
              </a:graphicData>
            </a:graphic>
          </wp:anchor>
        </w:drawing>
      </w:r>
    </w:p>
    <w:p>
      <w:pPr>
        <w:spacing w:after="0" w:line="152" w:lineRule="exact"/>
        <w:rPr>
          <w:sz w:val="20"/>
          <w:szCs w:val="20"/>
          <w:color w:val="auto"/>
        </w:rPr>
      </w:pPr>
    </w:p>
    <w:tbl>
      <w:tblPr>
        <w:tblLayout w:type="fixed"/>
        <w:tblInd w:w="510" w:type="dxa"/>
        <w:tblCellMar>
          <w:top w:w="0" w:type="dxa"/>
          <w:left w:w="0" w:type="dxa"/>
          <w:bottom w:w="0" w:type="dxa"/>
          <w:right w:w="0" w:type="dxa"/>
        </w:tblCellMar>
      </w:tblPr>
      <w:tr>
        <w:trPr>
          <w:trHeight w:val="207"/>
        </w:trPr>
        <w:tc>
          <w:tcPr>
            <w:tcW w:w="1060" w:type="dxa"/>
            <w:vAlign w:val="bottom"/>
            <w:tcBorders>
              <w:lef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540" w:type="dxa"/>
            <w:vAlign w:val="bottom"/>
            <w:shd w:val="clear" w:color="auto" w:fill="424E6A"/>
          </w:tcPr>
          <w:p>
            <w:pPr>
              <w:spacing w:after="0"/>
              <w:rPr>
                <w:sz w:val="17"/>
                <w:szCs w:val="17"/>
                <w:color w:val="auto"/>
              </w:rPr>
            </w:pPr>
          </w:p>
        </w:tc>
        <w:tc>
          <w:tcPr>
            <w:tcW w:w="220" w:type="dxa"/>
            <w:vAlign w:val="bottom"/>
            <w:tcBorders>
              <w:right w:val="single" w:sz="8" w:color="424E6A"/>
            </w:tcBorders>
            <w:shd w:val="clear" w:color="auto" w:fill="424E6A"/>
          </w:tcPr>
          <w:p>
            <w:pPr>
              <w:spacing w:after="0"/>
              <w:rPr>
                <w:sz w:val="17"/>
                <w:szCs w:val="17"/>
                <w:color w:val="auto"/>
              </w:rPr>
            </w:pPr>
          </w:p>
        </w:tc>
        <w:tc>
          <w:tcPr>
            <w:tcW w:w="80" w:type="dxa"/>
            <w:vAlign w:val="bottom"/>
            <w:tcBorders>
              <w:left w:val="single" w:sz="8" w:color="424E6A"/>
            </w:tcBorders>
            <w:shd w:val="clear" w:color="auto" w:fill="424E6A"/>
          </w:tcPr>
          <w:p>
            <w:pPr>
              <w:spacing w:after="0"/>
              <w:rPr>
                <w:sz w:val="17"/>
                <w:szCs w:val="17"/>
                <w:color w:val="auto"/>
              </w:rPr>
            </w:pPr>
          </w:p>
        </w:tc>
        <w:tc>
          <w:tcPr>
            <w:tcW w:w="700" w:type="dxa"/>
            <w:vAlign w:val="bottom"/>
            <w:shd w:val="clear" w:color="auto" w:fill="424E6A"/>
          </w:tcPr>
          <w:p>
            <w:pPr>
              <w:spacing w:after="0"/>
              <w:rPr>
                <w:sz w:val="17"/>
                <w:szCs w:val="17"/>
                <w:color w:val="auto"/>
              </w:rPr>
            </w:pPr>
          </w:p>
        </w:tc>
        <w:tc>
          <w:tcPr>
            <w:tcW w:w="2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400" w:type="dxa"/>
            <w:vAlign w:val="bottom"/>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260" w:type="dxa"/>
            <w:vAlign w:val="bottom"/>
            <w:shd w:val="clear" w:color="auto" w:fill="424E6A"/>
          </w:tcPr>
          <w:p>
            <w:pPr>
              <w:spacing w:after="0"/>
              <w:rPr>
                <w:sz w:val="17"/>
                <w:szCs w:val="17"/>
                <w:color w:val="auto"/>
              </w:rPr>
            </w:pPr>
          </w:p>
        </w:tc>
        <w:tc>
          <w:tcPr>
            <w:tcW w:w="320" w:type="dxa"/>
            <w:vAlign w:val="bottom"/>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70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480" w:type="dxa"/>
            <w:vAlign w:val="bottom"/>
            <w:shd w:val="clear" w:color="auto" w:fill="424E6A"/>
          </w:tcPr>
          <w:p>
            <w:pPr>
              <w:spacing w:after="0"/>
              <w:rPr>
                <w:sz w:val="17"/>
                <w:szCs w:val="17"/>
                <w:color w:val="auto"/>
              </w:rPr>
            </w:pPr>
          </w:p>
        </w:tc>
        <w:tc>
          <w:tcPr>
            <w:tcW w:w="26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400" w:type="dxa"/>
            <w:vAlign w:val="bottom"/>
            <w:shd w:val="clear" w:color="auto" w:fill="424E6A"/>
          </w:tcPr>
          <w:p>
            <w:pPr>
              <w:spacing w:after="0"/>
              <w:rPr>
                <w:sz w:val="17"/>
                <w:szCs w:val="17"/>
                <w:color w:val="auto"/>
              </w:rPr>
            </w:pPr>
          </w:p>
        </w:tc>
        <w:tc>
          <w:tcPr>
            <w:tcW w:w="20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300" w:type="dxa"/>
            <w:vAlign w:val="bottom"/>
            <w:shd w:val="clear" w:color="auto" w:fill="424E6A"/>
          </w:tcPr>
          <w:p>
            <w:pPr>
              <w:spacing w:after="0"/>
              <w:rPr>
                <w:sz w:val="17"/>
                <w:szCs w:val="17"/>
                <w:color w:val="auto"/>
              </w:rPr>
            </w:pPr>
          </w:p>
        </w:tc>
        <w:tc>
          <w:tcPr>
            <w:tcW w:w="74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r>
      <w:tr>
        <w:trPr>
          <w:trHeight w:val="198"/>
        </w:trPr>
        <w:tc>
          <w:tcPr>
            <w:tcW w:w="1060" w:type="dxa"/>
            <w:vAlign w:val="bottom"/>
            <w:tcBorders>
              <w:lef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540" w:type="dxa"/>
            <w:vAlign w:val="bottom"/>
            <w:shd w:val="clear" w:color="auto" w:fill="424E6A"/>
          </w:tcPr>
          <w:p>
            <w:pPr>
              <w:spacing w:after="0"/>
              <w:rPr>
                <w:sz w:val="17"/>
                <w:szCs w:val="17"/>
                <w:color w:val="auto"/>
              </w:rPr>
            </w:pPr>
          </w:p>
        </w:tc>
        <w:tc>
          <w:tcPr>
            <w:tcW w:w="220" w:type="dxa"/>
            <w:vAlign w:val="bottom"/>
            <w:tcBorders>
              <w:right w:val="single" w:sz="8" w:color="424E6A"/>
            </w:tcBorders>
            <w:shd w:val="clear" w:color="auto" w:fill="424E6A"/>
          </w:tcPr>
          <w:p>
            <w:pPr>
              <w:spacing w:after="0"/>
              <w:rPr>
                <w:sz w:val="17"/>
                <w:szCs w:val="17"/>
                <w:color w:val="auto"/>
              </w:rPr>
            </w:pPr>
          </w:p>
        </w:tc>
        <w:tc>
          <w:tcPr>
            <w:tcW w:w="80" w:type="dxa"/>
            <w:vAlign w:val="bottom"/>
            <w:tcBorders>
              <w:left w:val="single" w:sz="8" w:color="424E6A"/>
            </w:tcBorders>
            <w:shd w:val="clear" w:color="auto" w:fill="424E6A"/>
          </w:tcPr>
          <w:p>
            <w:pPr>
              <w:spacing w:after="0"/>
              <w:rPr>
                <w:sz w:val="17"/>
                <w:szCs w:val="17"/>
                <w:color w:val="auto"/>
              </w:rPr>
            </w:pPr>
          </w:p>
        </w:tc>
        <w:tc>
          <w:tcPr>
            <w:tcW w:w="2680" w:type="dxa"/>
            <w:vAlign w:val="bottom"/>
            <w:gridSpan w:val="10"/>
            <w:shd w:val="clear" w:color="auto" w:fill="424E6A"/>
          </w:tcPr>
          <w:p>
            <w:pPr>
              <w:ind w:left="120"/>
              <w:spacing w:after="0"/>
              <w:rPr>
                <w:sz w:val="20"/>
                <w:szCs w:val="20"/>
                <w:color w:val="auto"/>
              </w:rPr>
            </w:pPr>
            <w:r>
              <w:rPr>
                <w:rFonts w:ascii="Arial" w:cs="Arial" w:eastAsia="Arial" w:hAnsi="Arial"/>
                <w:sz w:val="14"/>
                <w:szCs w:val="14"/>
                <w:b w:val="1"/>
                <w:bCs w:val="1"/>
                <w:color w:val="FFFFFF"/>
              </w:rPr>
              <w:t>Estimated Future Payouts Under</w:t>
            </w:r>
          </w:p>
        </w:tc>
        <w:tc>
          <w:tcPr>
            <w:tcW w:w="2280" w:type="dxa"/>
            <w:vAlign w:val="bottom"/>
            <w:gridSpan w:val="7"/>
            <w:shd w:val="clear" w:color="auto" w:fill="424E6A"/>
          </w:tcPr>
          <w:p>
            <w:pPr>
              <w:jc w:val="right"/>
              <w:spacing w:after="0"/>
              <w:rPr>
                <w:sz w:val="20"/>
                <w:szCs w:val="20"/>
                <w:color w:val="auto"/>
              </w:rPr>
            </w:pPr>
            <w:r>
              <w:rPr>
                <w:rFonts w:ascii="Arial" w:cs="Arial" w:eastAsia="Arial" w:hAnsi="Arial"/>
                <w:sz w:val="14"/>
                <w:szCs w:val="14"/>
                <w:b w:val="1"/>
                <w:bCs w:val="1"/>
                <w:color w:val="FFFFFF"/>
              </w:rPr>
              <w:t>Estimated Future Payouts Under</w:t>
            </w:r>
          </w:p>
        </w:tc>
        <w:tc>
          <w:tcPr>
            <w:tcW w:w="20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Awards:</w:t>
            </w:r>
          </w:p>
        </w:tc>
        <w:tc>
          <w:tcPr>
            <w:tcW w:w="1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w:t>
            </w:r>
          </w:p>
        </w:tc>
        <w:tc>
          <w:tcPr>
            <w:tcW w:w="100" w:type="dxa"/>
            <w:vAlign w:val="bottom"/>
            <w:tcBorders>
              <w:right w:val="single" w:sz="8" w:color="424E6A"/>
            </w:tcBorders>
            <w:shd w:val="clear" w:color="auto" w:fill="424E6A"/>
          </w:tcPr>
          <w:p>
            <w:pPr>
              <w:spacing w:after="0"/>
              <w:rPr>
                <w:sz w:val="17"/>
                <w:szCs w:val="17"/>
                <w:color w:val="auto"/>
              </w:rPr>
            </w:pPr>
          </w:p>
        </w:tc>
      </w:tr>
      <w:tr>
        <w:trPr>
          <w:trHeight w:val="221"/>
        </w:trPr>
        <w:tc>
          <w:tcPr>
            <w:tcW w:w="1060" w:type="dxa"/>
            <w:vAlign w:val="bottom"/>
            <w:tcBorders>
              <w:left w:val="single" w:sz="8" w:color="424E6A"/>
              <w:bottom w:val="single" w:sz="8" w:color="424E6A"/>
            </w:tcBorders>
            <w:shd w:val="clear" w:color="auto" w:fill="424E6A"/>
          </w:tcPr>
          <w:p>
            <w:pPr>
              <w:spacing w:after="0"/>
              <w:rPr>
                <w:sz w:val="18"/>
                <w:szCs w:val="18"/>
                <w:color w:val="auto"/>
              </w:rPr>
            </w:pPr>
          </w:p>
        </w:tc>
        <w:tc>
          <w:tcPr>
            <w:tcW w:w="100" w:type="dxa"/>
            <w:vAlign w:val="bottom"/>
            <w:tcBorders>
              <w:bottom w:val="single" w:sz="8" w:color="424E6A"/>
            </w:tcBorders>
            <w:shd w:val="clear" w:color="auto" w:fill="424E6A"/>
          </w:tcPr>
          <w:p>
            <w:pPr>
              <w:spacing w:after="0"/>
              <w:rPr>
                <w:sz w:val="18"/>
                <w:szCs w:val="18"/>
                <w:color w:val="auto"/>
              </w:rPr>
            </w:pPr>
          </w:p>
        </w:tc>
        <w:tc>
          <w:tcPr>
            <w:tcW w:w="140" w:type="dxa"/>
            <w:vAlign w:val="bottom"/>
            <w:tcBorders>
              <w:bottom w:val="single" w:sz="8" w:color="424E6A"/>
            </w:tcBorders>
            <w:shd w:val="clear" w:color="auto" w:fill="424E6A"/>
          </w:tcPr>
          <w:p>
            <w:pPr>
              <w:spacing w:after="0"/>
              <w:rPr>
                <w:sz w:val="18"/>
                <w:szCs w:val="18"/>
                <w:color w:val="auto"/>
              </w:rPr>
            </w:pPr>
          </w:p>
        </w:tc>
        <w:tc>
          <w:tcPr>
            <w:tcW w:w="540" w:type="dxa"/>
            <w:vAlign w:val="bottom"/>
            <w:tcBorders>
              <w:bottom w:val="single" w:sz="8" w:color="424E6A"/>
            </w:tcBorders>
            <w:shd w:val="clear" w:color="auto" w:fill="424E6A"/>
          </w:tcPr>
          <w:p>
            <w:pPr>
              <w:spacing w:after="0"/>
              <w:rPr>
                <w:sz w:val="18"/>
                <w:szCs w:val="18"/>
                <w:color w:val="auto"/>
              </w:rPr>
            </w:pPr>
          </w:p>
        </w:tc>
        <w:tc>
          <w:tcPr>
            <w:tcW w:w="220" w:type="dxa"/>
            <w:vAlign w:val="bottom"/>
            <w:tcBorders>
              <w:bottom w:val="single" w:sz="8" w:color="424E6A"/>
              <w:right w:val="single" w:sz="8" w:color="424E6A"/>
            </w:tcBorders>
            <w:shd w:val="clear" w:color="auto" w:fill="424E6A"/>
          </w:tcPr>
          <w:p>
            <w:pPr>
              <w:spacing w:after="0"/>
              <w:rPr>
                <w:sz w:val="18"/>
                <w:szCs w:val="18"/>
                <w:color w:val="auto"/>
              </w:rPr>
            </w:pPr>
          </w:p>
        </w:tc>
        <w:tc>
          <w:tcPr>
            <w:tcW w:w="80" w:type="dxa"/>
            <w:vAlign w:val="bottom"/>
            <w:tcBorders>
              <w:left w:val="single" w:sz="8" w:color="424E6A"/>
              <w:bottom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2680" w:type="dxa"/>
            <w:vAlign w:val="bottom"/>
            <w:tcBorders>
              <w:bottom w:val="single" w:sz="8" w:color="424E6A"/>
            </w:tcBorders>
            <w:gridSpan w:val="10"/>
            <w:shd w:val="clear" w:color="auto" w:fill="424E6A"/>
          </w:tcPr>
          <w:p>
            <w:pPr>
              <w:ind w:left="80"/>
              <w:spacing w:after="0" w:line="162" w:lineRule="exact"/>
              <w:rPr>
                <w:sz w:val="20"/>
                <w:szCs w:val="20"/>
                <w:color w:val="auto"/>
              </w:rPr>
            </w:pPr>
            <w:r>
              <w:rPr>
                <w:rFonts w:ascii="Arial" w:cs="Arial" w:eastAsia="Arial" w:hAnsi="Arial"/>
                <w:sz w:val="11"/>
                <w:szCs w:val="11"/>
                <w:b w:val="1"/>
                <w:bCs w:val="1"/>
                <w:color w:val="FFFFFF"/>
              </w:rPr>
              <w:t xml:space="preserve">Non-Equity Incentive Plan Awards  </w:t>
            </w:r>
            <w:r>
              <w:rPr>
                <w:rFonts w:ascii="Arial" w:cs="Arial" w:eastAsia="Arial" w:hAnsi="Arial"/>
                <w:sz w:val="18"/>
                <w:szCs w:val="18"/>
                <w:b w:val="1"/>
                <w:bCs w:val="1"/>
                <w:color w:val="FFFFFF"/>
                <w:vertAlign w:val="subscript"/>
              </w:rPr>
              <w:t>​ ​</w:t>
            </w:r>
          </w:p>
        </w:tc>
        <w:tc>
          <w:tcPr>
            <w:tcW w:w="2280" w:type="dxa"/>
            <w:vAlign w:val="bottom"/>
            <w:tcBorders>
              <w:bottom w:val="single" w:sz="8" w:color="424E6A"/>
            </w:tcBorders>
            <w:gridSpan w:val="7"/>
            <w:shd w:val="clear" w:color="auto" w:fill="424E6A"/>
          </w:tcPr>
          <w:p>
            <w:pPr>
              <w:ind w:left="140"/>
              <w:spacing w:after="0" w:line="162" w:lineRule="exact"/>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7"/>
                <w:szCs w:val="17"/>
                <w:b w:val="1"/>
                <w:bCs w:val="1"/>
                <w:color w:val="FFFFFF"/>
                <w:vertAlign w:val="superscript"/>
              </w:rPr>
              <w:t>(1)</w:t>
            </w:r>
          </w:p>
        </w:tc>
        <w:tc>
          <w:tcPr>
            <w:tcW w:w="200" w:type="dxa"/>
            <w:vAlign w:val="bottom"/>
            <w:tcBorders>
              <w:bottom w:val="single" w:sz="8" w:color="424E6A"/>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424E6A"/>
          </w:tcPr>
          <w:p>
            <w:pPr>
              <w:spacing w:after="0"/>
              <w:rPr>
                <w:sz w:val="18"/>
                <w:szCs w:val="18"/>
                <w:color w:val="auto"/>
              </w:rPr>
            </w:pPr>
          </w:p>
        </w:tc>
        <w:tc>
          <w:tcPr>
            <w:tcW w:w="102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20" w:type="dxa"/>
            <w:vAlign w:val="bottom"/>
            <w:tcBorders>
              <w:bottom w:val="single" w:sz="8" w:color="424E6A"/>
              <w:right w:val="single" w:sz="8" w:color="424E6A"/>
            </w:tcBorders>
            <w:shd w:val="clear" w:color="auto" w:fill="424E6A"/>
          </w:tcPr>
          <w:p>
            <w:pPr>
              <w:spacing w:after="0"/>
              <w:rPr>
                <w:sz w:val="18"/>
                <w:szCs w:val="18"/>
                <w:color w:val="auto"/>
              </w:rPr>
            </w:pPr>
          </w:p>
        </w:tc>
        <w:tc>
          <w:tcPr>
            <w:tcW w:w="80" w:type="dxa"/>
            <w:vAlign w:val="bottom"/>
            <w:tcBorders>
              <w:bottom w:val="single" w:sz="8" w:color="424E6A"/>
            </w:tcBorders>
            <w:shd w:val="clear" w:color="auto" w:fill="424E6A"/>
          </w:tcPr>
          <w:p>
            <w:pPr>
              <w:spacing w:after="0"/>
              <w:rPr>
                <w:sz w:val="18"/>
                <w:szCs w:val="18"/>
                <w:color w:val="auto"/>
              </w:rPr>
            </w:pPr>
          </w:p>
        </w:tc>
        <w:tc>
          <w:tcPr>
            <w:tcW w:w="1040" w:type="dxa"/>
            <w:vAlign w:val="bottom"/>
            <w:tcBorders>
              <w:bottom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w:t>
            </w:r>
          </w:p>
        </w:tc>
        <w:tc>
          <w:tcPr>
            <w:tcW w:w="100" w:type="dxa"/>
            <w:vAlign w:val="bottom"/>
            <w:tcBorders>
              <w:bottom w:val="single" w:sz="8" w:color="424E6A"/>
              <w:right w:val="single" w:sz="8" w:color="424E6A"/>
            </w:tcBorders>
            <w:shd w:val="clear" w:color="auto" w:fill="424E6A"/>
          </w:tcPr>
          <w:p>
            <w:pPr>
              <w:spacing w:after="0"/>
              <w:rPr>
                <w:sz w:val="18"/>
                <w:szCs w:val="18"/>
                <w:color w:val="auto"/>
              </w:rPr>
            </w:pPr>
          </w:p>
        </w:tc>
      </w:tr>
      <w:tr>
        <w:trPr>
          <w:trHeight w:val="52"/>
        </w:trPr>
        <w:tc>
          <w:tcPr>
            <w:tcW w:w="1060" w:type="dxa"/>
            <w:vAlign w:val="bottom"/>
            <w:tcBorders>
              <w:top w:val="single" w:sz="8" w:color="424E6A"/>
              <w:left w:val="single" w:sz="8" w:color="424E6A"/>
            </w:tcBorders>
            <w:shd w:val="clear" w:color="auto" w:fill="424E6A"/>
          </w:tcPr>
          <w:p>
            <w:pPr>
              <w:spacing w:after="0"/>
              <w:rPr>
                <w:sz w:val="4"/>
                <w:szCs w:val="4"/>
                <w:color w:val="auto"/>
              </w:rPr>
            </w:pPr>
          </w:p>
        </w:tc>
        <w:tc>
          <w:tcPr>
            <w:tcW w:w="100" w:type="dxa"/>
            <w:vAlign w:val="bottom"/>
            <w:tcBorders>
              <w:top w:val="single" w:sz="8" w:color="424E6A"/>
            </w:tcBorders>
            <w:shd w:val="clear" w:color="auto" w:fill="424E6A"/>
          </w:tcPr>
          <w:p>
            <w:pPr>
              <w:spacing w:after="0"/>
              <w:rPr>
                <w:sz w:val="4"/>
                <w:szCs w:val="4"/>
                <w:color w:val="auto"/>
              </w:rPr>
            </w:pPr>
          </w:p>
        </w:tc>
        <w:tc>
          <w:tcPr>
            <w:tcW w:w="140" w:type="dxa"/>
            <w:vAlign w:val="bottom"/>
            <w:tcBorders>
              <w:top w:val="single" w:sz="8" w:color="424E6A"/>
            </w:tcBorders>
            <w:shd w:val="clear" w:color="auto" w:fill="424E6A"/>
          </w:tcPr>
          <w:p>
            <w:pPr>
              <w:spacing w:after="0"/>
              <w:rPr>
                <w:sz w:val="4"/>
                <w:szCs w:val="4"/>
                <w:color w:val="auto"/>
              </w:rPr>
            </w:pPr>
          </w:p>
        </w:tc>
        <w:tc>
          <w:tcPr>
            <w:tcW w:w="540" w:type="dxa"/>
            <w:vAlign w:val="bottom"/>
            <w:tcBorders>
              <w:top w:val="single" w:sz="8" w:color="424E6A"/>
            </w:tcBorders>
            <w:shd w:val="clear" w:color="auto" w:fill="424E6A"/>
          </w:tcPr>
          <w:p>
            <w:pPr>
              <w:spacing w:after="0"/>
              <w:rPr>
                <w:sz w:val="4"/>
                <w:szCs w:val="4"/>
                <w:color w:val="auto"/>
              </w:rPr>
            </w:pPr>
          </w:p>
        </w:tc>
        <w:tc>
          <w:tcPr>
            <w:tcW w:w="220" w:type="dxa"/>
            <w:vAlign w:val="bottom"/>
            <w:tcBorders>
              <w:top w:val="single" w:sz="8" w:color="424E6A"/>
              <w:right w:val="single" w:sz="8" w:color="424E6A"/>
            </w:tcBorders>
            <w:shd w:val="clear" w:color="auto" w:fill="424E6A"/>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Borders>
              <w:top w:val="single" w:sz="8" w:color="424E6A"/>
            </w:tcBorders>
            <w:shd w:val="clear" w:color="auto" w:fill="424E6A"/>
          </w:tcPr>
          <w:p>
            <w:pPr>
              <w:spacing w:after="0"/>
              <w:rPr>
                <w:sz w:val="4"/>
                <w:szCs w:val="4"/>
                <w:color w:val="auto"/>
              </w:rPr>
            </w:pPr>
          </w:p>
        </w:tc>
        <w:tc>
          <w:tcPr>
            <w:tcW w:w="1020" w:type="dxa"/>
            <w:vAlign w:val="bottom"/>
            <w:tcBorders>
              <w:top w:val="single" w:sz="8" w:color="424E6A"/>
            </w:tcBorders>
            <w:gridSpan w:val="2"/>
            <w:shd w:val="clear" w:color="auto" w:fill="424E6A"/>
          </w:tcPr>
          <w:p>
            <w:pPr>
              <w:jc w:val="right"/>
              <w:ind w:right="131"/>
              <w:spacing w:after="0" w:line="52" w:lineRule="exact"/>
              <w:rPr>
                <w:sz w:val="20"/>
                <w:szCs w:val="20"/>
                <w:color w:val="auto"/>
              </w:rPr>
            </w:pPr>
            <w:r>
              <w:rPr>
                <w:rFonts w:ascii="Arial" w:cs="Arial" w:eastAsia="Arial" w:hAnsi="Arial"/>
                <w:sz w:val="6"/>
                <w:szCs w:val="6"/>
                <w:b w:val="1"/>
                <w:bCs w:val="1"/>
                <w:color w:val="FFFFFF"/>
              </w:rPr>
              <w:t>Shares of</w:t>
            </w:r>
          </w:p>
        </w:tc>
        <w:tc>
          <w:tcPr>
            <w:tcW w:w="120" w:type="dxa"/>
            <w:vAlign w:val="bottom"/>
            <w:tcBorders>
              <w:top w:val="single" w:sz="8" w:color="424E6A"/>
              <w:right w:val="single" w:sz="8" w:color="424E6A"/>
            </w:tcBorders>
            <w:shd w:val="clear" w:color="auto" w:fill="424E6A"/>
          </w:tcPr>
          <w:p>
            <w:pPr>
              <w:spacing w:after="0"/>
              <w:rPr>
                <w:sz w:val="4"/>
                <w:szCs w:val="4"/>
                <w:color w:val="auto"/>
              </w:rPr>
            </w:pPr>
          </w:p>
        </w:tc>
        <w:tc>
          <w:tcPr>
            <w:tcW w:w="80" w:type="dxa"/>
            <w:vAlign w:val="bottom"/>
            <w:tcBorders>
              <w:top w:val="single" w:sz="8" w:color="424E6A"/>
            </w:tcBorders>
            <w:shd w:val="clear" w:color="auto" w:fill="424E6A"/>
          </w:tcPr>
          <w:p>
            <w:pPr>
              <w:spacing w:after="0"/>
              <w:rPr>
                <w:sz w:val="4"/>
                <w:szCs w:val="4"/>
                <w:color w:val="auto"/>
              </w:rPr>
            </w:pPr>
          </w:p>
        </w:tc>
        <w:tc>
          <w:tcPr>
            <w:tcW w:w="1040" w:type="dxa"/>
            <w:vAlign w:val="bottom"/>
            <w:tcBorders>
              <w:top w:val="single" w:sz="8" w:color="424E6A"/>
            </w:tcBorders>
            <w:gridSpan w:val="2"/>
            <w:shd w:val="clear" w:color="auto" w:fill="424E6A"/>
          </w:tcPr>
          <w:p>
            <w:pPr>
              <w:jc w:val="center"/>
              <w:spacing w:after="0" w:line="52" w:lineRule="exact"/>
              <w:rPr>
                <w:sz w:val="20"/>
                <w:szCs w:val="20"/>
                <w:color w:val="auto"/>
              </w:rPr>
            </w:pPr>
            <w:r>
              <w:rPr>
                <w:rFonts w:ascii="Arial" w:cs="Arial" w:eastAsia="Arial" w:hAnsi="Arial"/>
                <w:sz w:val="6"/>
                <w:szCs w:val="6"/>
                <w:b w:val="1"/>
                <w:bCs w:val="1"/>
                <w:color w:val="FFFFFF"/>
              </w:rPr>
              <w:t>Of Stock and</w:t>
            </w:r>
          </w:p>
        </w:tc>
        <w:tc>
          <w:tcPr>
            <w:tcW w:w="100" w:type="dxa"/>
            <w:vAlign w:val="bottom"/>
            <w:tcBorders>
              <w:top w:val="single" w:sz="8" w:color="424E6A"/>
              <w:right w:val="single" w:sz="8" w:color="424E6A"/>
            </w:tcBorders>
            <w:shd w:val="clear" w:color="auto" w:fill="424E6A"/>
          </w:tcPr>
          <w:p>
            <w:pPr>
              <w:spacing w:after="0"/>
              <w:rPr>
                <w:sz w:val="4"/>
                <w:szCs w:val="4"/>
                <w:color w:val="auto"/>
              </w:rPr>
            </w:pPr>
          </w:p>
        </w:tc>
      </w:tr>
      <w:tr>
        <w:trPr>
          <w:trHeight w:val="162"/>
        </w:trPr>
        <w:tc>
          <w:tcPr>
            <w:tcW w:w="10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540" w:type="dxa"/>
            <w:vAlign w:val="bottom"/>
            <w:shd w:val="clear" w:color="auto" w:fill="424E6A"/>
          </w:tcPr>
          <w:p>
            <w:pPr>
              <w:spacing w:after="0"/>
              <w:rPr>
                <w:sz w:val="14"/>
                <w:szCs w:val="14"/>
                <w:color w:val="auto"/>
              </w:rPr>
            </w:pPr>
          </w:p>
        </w:tc>
        <w:tc>
          <w:tcPr>
            <w:tcW w:w="220" w:type="dxa"/>
            <w:vAlign w:val="bottom"/>
            <w:tcBorders>
              <w:right w:val="single" w:sz="8" w:color="424E6A"/>
            </w:tcBorders>
            <w:shd w:val="clear" w:color="auto" w:fill="424E6A"/>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FFFFFF"/>
              </w:rPr>
              <w:t>Target</w:t>
            </w:r>
          </w:p>
        </w:tc>
        <w:tc>
          <w:tcPr>
            <w:tcW w:w="980" w:type="dxa"/>
            <w:vAlign w:val="bottom"/>
            <w:gridSpan w:val="4"/>
          </w:tcPr>
          <w:p>
            <w:pPr>
              <w:ind w:left="100"/>
              <w:spacing w:after="0"/>
              <w:rPr>
                <w:sz w:val="20"/>
                <w:szCs w:val="20"/>
                <w:color w:val="auto"/>
              </w:rPr>
            </w:pPr>
            <w:r>
              <w:rPr>
                <w:rFonts w:ascii="Arial" w:cs="Arial" w:eastAsia="Arial" w:hAnsi="Arial"/>
                <w:sz w:val="14"/>
                <w:szCs w:val="14"/>
                <w:b w:val="1"/>
                <w:bCs w:val="1"/>
                <w:color w:val="FFFFFF"/>
              </w:rPr>
              <w:t>Maximum</w:t>
            </w:r>
          </w:p>
        </w:tc>
        <w:tc>
          <w:tcPr>
            <w:tcW w:w="700" w:type="dxa"/>
            <w:vAlign w:val="bottom"/>
          </w:tcPr>
          <w:p>
            <w:pPr>
              <w:spacing w:after="0"/>
              <w:rPr>
                <w:sz w:val="20"/>
                <w:szCs w:val="20"/>
                <w:color w:val="auto"/>
              </w:rPr>
            </w:pPr>
            <w:r>
              <w:rPr>
                <w:rFonts w:ascii="Arial" w:cs="Arial" w:eastAsia="Arial" w:hAnsi="Arial"/>
                <w:sz w:val="14"/>
                <w:szCs w:val="14"/>
                <w:b w:val="1"/>
                <w:bCs w:val="1"/>
                <w:color w:val="FFFFFF"/>
              </w:rPr>
              <w:t>Threshold</w:t>
            </w:r>
          </w:p>
        </w:tc>
        <w:tc>
          <w:tcPr>
            <w:tcW w:w="140" w:type="dxa"/>
            <w:vAlign w:val="bottom"/>
          </w:tcPr>
          <w:p>
            <w:pPr>
              <w:spacing w:after="0"/>
              <w:rPr>
                <w:sz w:val="14"/>
                <w:szCs w:val="14"/>
                <w:color w:val="auto"/>
              </w:rPr>
            </w:pPr>
          </w:p>
        </w:tc>
        <w:tc>
          <w:tcPr>
            <w:tcW w:w="74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FFFFFF"/>
              </w:rPr>
              <w:t>Target</w:t>
            </w:r>
          </w:p>
        </w:tc>
        <w:tc>
          <w:tcPr>
            <w:tcW w:w="100" w:type="dxa"/>
            <w:vAlign w:val="bottom"/>
          </w:tcPr>
          <w:p>
            <w:pPr>
              <w:spacing w:after="0"/>
              <w:rPr>
                <w:sz w:val="14"/>
                <w:szCs w:val="14"/>
                <w:color w:val="auto"/>
              </w:rPr>
            </w:pPr>
          </w:p>
        </w:tc>
        <w:tc>
          <w:tcPr>
            <w:tcW w:w="8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FFFFFF"/>
                <w:w w:val="99"/>
              </w:rPr>
              <w:t>Maximum</w:t>
            </w:r>
          </w:p>
        </w:tc>
        <w:tc>
          <w:tcPr>
            <w:tcW w:w="80" w:type="dxa"/>
            <w:vAlign w:val="bottom"/>
            <w:shd w:val="clear" w:color="auto" w:fill="424E6A"/>
          </w:tcPr>
          <w:p>
            <w:pPr>
              <w:spacing w:after="0"/>
              <w:rPr>
                <w:sz w:val="14"/>
                <w:szCs w:val="14"/>
                <w:color w:val="auto"/>
              </w:rPr>
            </w:pPr>
          </w:p>
        </w:tc>
        <w:tc>
          <w:tcPr>
            <w:tcW w:w="102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Stock or Units</w:t>
            </w:r>
          </w:p>
        </w:tc>
        <w:tc>
          <w:tcPr>
            <w:tcW w:w="1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Option Awards</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98"/>
        </w:trPr>
        <w:tc>
          <w:tcPr>
            <w:tcW w:w="1060" w:type="dxa"/>
            <w:vAlign w:val="bottom"/>
            <w:tcBorders>
              <w:left w:val="single" w:sz="8" w:color="424E6A"/>
            </w:tcBorders>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000" w:type="dxa"/>
            <w:vAlign w:val="bottom"/>
            <w:tcBorders>
              <w:right w:val="single" w:sz="8" w:color="424E6A"/>
            </w:tcBorders>
            <w:gridSpan w:val="4"/>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Grant Date </w:t>
            </w:r>
            <w:r>
              <w:rPr>
                <w:rFonts w:ascii="Arial" w:cs="Arial" w:eastAsia="Arial" w:hAnsi="Arial"/>
                <w:sz w:val="22"/>
                <w:szCs w:val="22"/>
                <w:b w:val="1"/>
                <w:bCs w:val="1"/>
                <w:color w:val="FFFFFF"/>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6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FFFFFF"/>
              </w:rPr>
              <w:t>​ ​</w:t>
            </w:r>
          </w:p>
        </w:tc>
        <w:tc>
          <w:tcPr>
            <w:tcW w:w="700" w:type="dxa"/>
            <w:vAlign w:val="bottom"/>
          </w:tcPr>
          <w:p>
            <w:pPr>
              <w:ind w:left="280"/>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480" w:type="dxa"/>
            <w:vAlign w:val="bottom"/>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   (#)</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Pr>
          <w:p>
            <w:pPr>
              <w:spacing w:after="0"/>
              <w:rPr>
                <w:sz w:val="17"/>
                <w:szCs w:val="17"/>
                <w:color w:val="auto"/>
              </w:rPr>
            </w:pPr>
          </w:p>
        </w:tc>
        <w:tc>
          <w:tcPr>
            <w:tcW w:w="400" w:type="dxa"/>
            <w:vAlign w:val="bottom"/>
          </w:tcPr>
          <w:p>
            <w:pPr>
              <w:jc w:val="right"/>
              <w:ind w:right="88"/>
              <w:spacing w:after="0"/>
              <w:rPr>
                <w:sz w:val="20"/>
                <w:szCs w:val="20"/>
                <w:color w:val="auto"/>
              </w:rPr>
            </w:pPr>
            <w:r>
              <w:rPr>
                <w:rFonts w:ascii="Arial" w:cs="Arial" w:eastAsia="Arial" w:hAnsi="Arial"/>
                <w:sz w:val="14"/>
                <w:szCs w:val="14"/>
                <w:b w:val="1"/>
                <w:bCs w:val="1"/>
                <w:color w:val="FFFFFF"/>
              </w:rPr>
              <w:t>(#)</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424E6A"/>
          </w:tcPr>
          <w:p>
            <w:pPr>
              <w:spacing w:after="0"/>
              <w:rPr>
                <w:sz w:val="17"/>
                <w:szCs w:val="17"/>
                <w:color w:val="auto"/>
              </w:rPr>
            </w:pPr>
          </w:p>
        </w:tc>
        <w:tc>
          <w:tcPr>
            <w:tcW w:w="680" w:type="dxa"/>
            <w:vAlign w:val="bottom"/>
            <w:shd w:val="clear" w:color="auto" w:fill="424E6A"/>
          </w:tcPr>
          <w:p>
            <w:pPr>
              <w:jc w:val="right"/>
              <w:ind w:right="291"/>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(2)</w:t>
            </w:r>
          </w:p>
        </w:tc>
        <w:tc>
          <w:tcPr>
            <w:tcW w:w="20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00" w:type="dxa"/>
            <w:vAlign w:val="bottom"/>
            <w:shd w:val="clear" w:color="auto" w:fill="424E6A"/>
          </w:tcPr>
          <w:p>
            <w:pPr>
              <w:spacing w:after="0"/>
              <w:rPr>
                <w:sz w:val="17"/>
                <w:szCs w:val="17"/>
                <w:color w:val="auto"/>
              </w:rPr>
            </w:pPr>
          </w:p>
        </w:tc>
        <w:tc>
          <w:tcPr>
            <w:tcW w:w="740" w:type="dxa"/>
            <w:vAlign w:val="bottom"/>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(3)</w:t>
            </w:r>
          </w:p>
        </w:tc>
        <w:tc>
          <w:tcPr>
            <w:tcW w:w="10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r>
      <w:tr>
        <w:trPr>
          <w:trHeight w:val="20"/>
        </w:trPr>
        <w:tc>
          <w:tcPr>
            <w:tcW w:w="1060" w:type="dxa"/>
            <w:vAlign w:val="bottom"/>
            <w:tcBorders>
              <w:lef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140" w:type="dxa"/>
            <w:vAlign w:val="bottom"/>
            <w:shd w:val="clear" w:color="auto" w:fill="424E6A"/>
          </w:tcPr>
          <w:p>
            <w:pPr>
              <w:spacing w:after="0" w:line="20" w:lineRule="exact"/>
              <w:rPr>
                <w:sz w:val="1"/>
                <w:szCs w:val="1"/>
                <w:color w:val="auto"/>
              </w:rPr>
            </w:pPr>
          </w:p>
        </w:tc>
        <w:tc>
          <w:tcPr>
            <w:tcW w:w="540" w:type="dxa"/>
            <w:vAlign w:val="bottom"/>
            <w:shd w:val="clear" w:color="auto" w:fill="424E6A"/>
          </w:tcPr>
          <w:p>
            <w:pPr>
              <w:spacing w:after="0" w:line="20" w:lineRule="exact"/>
              <w:rPr>
                <w:sz w:val="1"/>
                <w:szCs w:val="1"/>
                <w:color w:val="auto"/>
              </w:rPr>
            </w:pPr>
          </w:p>
        </w:tc>
        <w:tc>
          <w:tcPr>
            <w:tcW w:w="2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tcBorders>
              <w:left w:val="single" w:sz="8" w:color="424E6A"/>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60" w:type="dxa"/>
            <w:vAlign w:val="bottom"/>
            <w:tcBorders>
              <w:right w:val="single" w:sz="8" w:color="424E6A"/>
            </w:tcBorders>
            <w:gridSpan w:val="3"/>
            <w:shd w:val="clear" w:color="auto" w:fill="424E6A"/>
          </w:tcPr>
          <w:p>
            <w:pPr>
              <w:spacing w:after="0" w:line="20" w:lineRule="exact"/>
              <w:rPr>
                <w:sz w:val="1"/>
                <w:szCs w:val="1"/>
                <w:color w:val="auto"/>
              </w:rPr>
            </w:pPr>
          </w:p>
        </w:tc>
        <w:tc>
          <w:tcPr>
            <w:tcW w:w="900" w:type="dxa"/>
            <w:vAlign w:val="bottom"/>
            <w:tcBorders>
              <w:right w:val="single" w:sz="8" w:color="424E6A"/>
            </w:tcBorders>
            <w:gridSpan w:val="3"/>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700" w:type="dxa"/>
            <w:vAlign w:val="bottom"/>
            <w:shd w:val="clear" w:color="auto" w:fill="424E6A"/>
          </w:tcPr>
          <w:p>
            <w:pPr>
              <w:spacing w:after="0" w:line="20" w:lineRule="exact"/>
              <w:rPr>
                <w:sz w:val="1"/>
                <w:szCs w:val="1"/>
                <w:color w:val="auto"/>
              </w:rPr>
            </w:pPr>
          </w:p>
        </w:tc>
        <w:tc>
          <w:tcPr>
            <w:tcW w:w="140" w:type="dxa"/>
            <w:vAlign w:val="bottom"/>
            <w:tcBorders>
              <w:right w:val="single" w:sz="8" w:color="424E6A"/>
            </w:tcBorders>
            <w:shd w:val="clear" w:color="auto" w:fill="424E6A"/>
          </w:tcPr>
          <w:p>
            <w:pPr>
              <w:spacing w:after="0" w:line="20" w:lineRule="exact"/>
              <w:rPr>
                <w:sz w:val="1"/>
                <w:szCs w:val="1"/>
                <w:color w:val="auto"/>
              </w:rPr>
            </w:pPr>
          </w:p>
        </w:tc>
        <w:tc>
          <w:tcPr>
            <w:tcW w:w="480" w:type="dxa"/>
            <w:vAlign w:val="bottom"/>
            <w:shd w:val="clear" w:color="auto" w:fill="424E6A"/>
          </w:tcPr>
          <w:p>
            <w:pPr>
              <w:spacing w:after="0" w:line="20" w:lineRule="exact"/>
              <w:rPr>
                <w:sz w:val="1"/>
                <w:szCs w:val="1"/>
                <w:color w:val="auto"/>
              </w:rPr>
            </w:pPr>
          </w:p>
        </w:tc>
        <w:tc>
          <w:tcPr>
            <w:tcW w:w="260" w:type="dxa"/>
            <w:vAlign w:val="bottom"/>
            <w:tcBorders>
              <w:right w:val="single" w:sz="8" w:color="424E6A"/>
            </w:tcBorders>
            <w:shd w:val="clear" w:color="auto" w:fill="424E6A"/>
          </w:tcPr>
          <w:p>
            <w:pPr>
              <w:spacing w:after="0" w:line="20" w:lineRule="exact"/>
              <w:rPr>
                <w:sz w:val="1"/>
                <w:szCs w:val="1"/>
                <w:color w:val="auto"/>
              </w:rPr>
            </w:pPr>
          </w:p>
        </w:tc>
        <w:tc>
          <w:tcPr>
            <w:tcW w:w="100" w:type="dxa"/>
            <w:vAlign w:val="bottom"/>
            <w:shd w:val="clear" w:color="auto" w:fill="424E6A"/>
          </w:tcPr>
          <w:p>
            <w:pPr>
              <w:spacing w:after="0" w:line="20" w:lineRule="exact"/>
              <w:rPr>
                <w:sz w:val="1"/>
                <w:szCs w:val="1"/>
                <w:color w:val="auto"/>
              </w:rPr>
            </w:pPr>
          </w:p>
        </w:tc>
        <w:tc>
          <w:tcPr>
            <w:tcW w:w="200" w:type="dxa"/>
            <w:vAlign w:val="bottom"/>
            <w:shd w:val="clear" w:color="auto" w:fill="424E6A"/>
          </w:tcPr>
          <w:p>
            <w:pPr>
              <w:spacing w:after="0" w:line="20" w:lineRule="exact"/>
              <w:rPr>
                <w:sz w:val="1"/>
                <w:szCs w:val="1"/>
                <w:color w:val="auto"/>
              </w:rPr>
            </w:pPr>
          </w:p>
        </w:tc>
        <w:tc>
          <w:tcPr>
            <w:tcW w:w="400" w:type="dxa"/>
            <w:vAlign w:val="bottom"/>
            <w:shd w:val="clear" w:color="auto" w:fill="424E6A"/>
          </w:tcPr>
          <w:p>
            <w:pPr>
              <w:spacing w:after="0" w:line="20" w:lineRule="exact"/>
              <w:rPr>
                <w:sz w:val="1"/>
                <w:szCs w:val="1"/>
                <w:color w:val="auto"/>
              </w:rPr>
            </w:pPr>
          </w:p>
        </w:tc>
        <w:tc>
          <w:tcPr>
            <w:tcW w:w="20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40" w:type="dxa"/>
            <w:vAlign w:val="bottom"/>
            <w:shd w:val="clear" w:color="auto" w:fill="424E6A"/>
          </w:tcPr>
          <w:p>
            <w:pPr>
              <w:spacing w:after="0" w:line="20" w:lineRule="exact"/>
              <w:rPr>
                <w:sz w:val="1"/>
                <w:szCs w:val="1"/>
                <w:color w:val="auto"/>
              </w:rPr>
            </w:pPr>
          </w:p>
        </w:tc>
        <w:tc>
          <w:tcPr>
            <w:tcW w:w="680" w:type="dxa"/>
            <w:vAlign w:val="bottom"/>
            <w:shd w:val="clear" w:color="auto" w:fill="424E6A"/>
          </w:tcPr>
          <w:p>
            <w:pPr>
              <w:spacing w:after="0" w:line="20" w:lineRule="exact"/>
              <w:rPr>
                <w:sz w:val="1"/>
                <w:szCs w:val="1"/>
                <w:color w:val="auto"/>
              </w:rPr>
            </w:pPr>
          </w:p>
        </w:tc>
        <w:tc>
          <w:tcPr>
            <w:tcW w:w="120" w:type="dxa"/>
            <w:vAlign w:val="bottom"/>
            <w:tcBorders>
              <w:right w:val="single" w:sz="8" w:color="424E6A"/>
            </w:tcBorders>
            <w:shd w:val="clear" w:color="auto" w:fill="424E6A"/>
          </w:tcPr>
          <w:p>
            <w:pPr>
              <w:spacing w:after="0" w:line="20" w:lineRule="exact"/>
              <w:rPr>
                <w:sz w:val="1"/>
                <w:szCs w:val="1"/>
                <w:color w:val="auto"/>
              </w:rPr>
            </w:pPr>
          </w:p>
        </w:tc>
        <w:tc>
          <w:tcPr>
            <w:tcW w:w="80" w:type="dxa"/>
            <w:vAlign w:val="bottom"/>
            <w:shd w:val="clear" w:color="auto" w:fill="424E6A"/>
          </w:tcPr>
          <w:p>
            <w:pPr>
              <w:spacing w:after="0" w:line="20" w:lineRule="exact"/>
              <w:rPr>
                <w:sz w:val="1"/>
                <w:szCs w:val="1"/>
                <w:color w:val="auto"/>
              </w:rPr>
            </w:pPr>
          </w:p>
        </w:tc>
        <w:tc>
          <w:tcPr>
            <w:tcW w:w="300" w:type="dxa"/>
            <w:vAlign w:val="bottom"/>
            <w:shd w:val="clear" w:color="auto" w:fill="424E6A"/>
          </w:tcPr>
          <w:p>
            <w:pPr>
              <w:spacing w:after="0" w:line="20" w:lineRule="exact"/>
              <w:rPr>
                <w:sz w:val="1"/>
                <w:szCs w:val="1"/>
                <w:color w:val="auto"/>
              </w:rPr>
            </w:pPr>
          </w:p>
        </w:tc>
        <w:tc>
          <w:tcPr>
            <w:tcW w:w="740" w:type="dxa"/>
            <w:vAlign w:val="bottom"/>
            <w:shd w:val="clear" w:color="auto" w:fill="424E6A"/>
          </w:tcPr>
          <w:p>
            <w:pPr>
              <w:spacing w:after="0" w:line="20" w:lineRule="exact"/>
              <w:rPr>
                <w:sz w:val="1"/>
                <w:szCs w:val="1"/>
                <w:color w:val="auto"/>
              </w:rPr>
            </w:pPr>
          </w:p>
        </w:tc>
        <w:tc>
          <w:tcPr>
            <w:tcW w:w="100" w:type="dxa"/>
            <w:vAlign w:val="bottom"/>
            <w:tcBorders>
              <w:right w:val="single" w:sz="8" w:color="424E6A"/>
            </w:tcBorders>
            <w:shd w:val="clear" w:color="auto" w:fill="424E6A"/>
          </w:tcPr>
          <w:p>
            <w:pPr>
              <w:spacing w:after="0" w:line="20" w:lineRule="exact"/>
              <w:rPr>
                <w:sz w:val="1"/>
                <w:szCs w:val="1"/>
                <w:color w:val="auto"/>
              </w:rPr>
            </w:pP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Willie Chiang</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​2/16/23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4,000,000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7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​8/17/23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​162,050</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​324,100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​162,050</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3,658,279</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31"/>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Harry Pefanis</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​2/16/23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424E6A"/>
              <w:right w:val="single" w:sz="8" w:color="424E6A"/>
            </w:tcBorders>
            <w:gridSpan w:val="3"/>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​1,200,000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2,400,000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jc w:val="right"/>
              <w:ind w:right="17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31"/>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Al Swanson</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​2/16/23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80" w:type="dxa"/>
            <w:vAlign w:val="bottom"/>
            <w:tcBorders>
              <w:bottom w:val="single" w:sz="8" w:color="424E6A"/>
            </w:tcBorders>
          </w:tcPr>
          <w:p>
            <w:pPr>
              <w:jc w:val="right"/>
              <w:ind w:right="17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​8/17/23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51,075</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​102,150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51,075</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1,153,018</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31"/>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Richard McGee</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​2/16/23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825,000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1,650,000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7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​8/17/23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51,075</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​102,150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51,075</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1,153,018</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31"/>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Chris Chandler</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​2/16/23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7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​8/17/23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65,825</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​131,650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65,825</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1,485,999</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77"/>
        </w:trPr>
        <w:tc>
          <w:tcPr>
            <w:tcW w:w="1060" w:type="dxa"/>
            <w:vAlign w:val="bottom"/>
            <w:tcBorders>
              <w:left w:val="single" w:sz="8" w:color="424E6A"/>
              <w:bottom w:val="single" w:sz="8" w:color="424E6A"/>
            </w:tcBorders>
          </w:tcPr>
          <w:p>
            <w:pPr>
              <w:ind w:left="2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54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left w:val="single" w:sz="8" w:color="D9DCE1"/>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6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gridSpan w:val="2"/>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424E6A"/>
            </w:tcBorders>
            <w:shd w:val="clear" w:color="auto" w:fill="D9DCE1"/>
          </w:tcPr>
          <w:p>
            <w:pPr>
              <w:ind w:left="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3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 ​</w:t>
            </w:r>
          </w:p>
        </w:tc>
        <w:tc>
          <w:tcPr>
            <w:tcW w:w="320" w:type="dxa"/>
            <w:vAlign w:val="bottom"/>
            <w:tcBorders>
              <w:bottom w:val="single" w:sz="8" w:color="424E6A"/>
            </w:tcBorders>
            <w:shd w:val="clear" w:color="auto" w:fill="D9DCE1"/>
          </w:tcPr>
          <w:p>
            <w:pPr>
              <w:spacing w:after="0"/>
              <w:rPr>
                <w:sz w:val="24"/>
                <w:szCs w:val="24"/>
                <w:color w:val="auto"/>
              </w:rPr>
            </w:pPr>
          </w:p>
        </w:tc>
        <w:tc>
          <w:tcPr>
            <w:tcW w:w="32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700" w:type="dxa"/>
            <w:vAlign w:val="bottom"/>
            <w:tcBorders>
              <w:bottom w:val="single" w:sz="8" w:color="424E6A"/>
            </w:tcBorders>
            <w:shd w:val="clear" w:color="auto" w:fill="D9DCE1"/>
          </w:tcPr>
          <w:p>
            <w:pPr>
              <w:ind w:left="280"/>
              <w:spacing w:after="0" w:line="277"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w:t>
            </w:r>
          </w:p>
        </w:tc>
        <w:tc>
          <w:tcPr>
            <w:tcW w:w="14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tcBorders>
              <w:bottom w:val="single" w:sz="8" w:color="424E6A"/>
            </w:tcBorders>
            <w:shd w:val="clear" w:color="auto" w:fill="D9DCE1"/>
          </w:tcPr>
          <w:p>
            <w:pPr>
              <w:ind w:left="6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26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424E6A"/>
            </w:tcBorders>
            <w:shd w:val="clear" w:color="auto" w:fill="D9DCE1"/>
          </w:tcPr>
          <w:p>
            <w:pPr>
              <w:ind w:left="8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400" w:type="dxa"/>
            <w:vAlign w:val="bottom"/>
            <w:tcBorders>
              <w:bottom w:val="single" w:sz="8" w:color="424E6A"/>
            </w:tcBorders>
            <w:shd w:val="clear" w:color="auto" w:fill="D9DCE1"/>
          </w:tcPr>
          <w:p>
            <w:pPr>
              <w:spacing w:after="0"/>
              <w:rPr>
                <w:sz w:val="24"/>
                <w:szCs w:val="24"/>
                <w:color w:val="auto"/>
              </w:rPr>
            </w:pPr>
          </w:p>
        </w:tc>
        <w:tc>
          <w:tcPr>
            <w:tcW w:w="200" w:type="dxa"/>
            <w:vAlign w:val="bottom"/>
            <w:tcBorders>
              <w:bottom w:val="single" w:sz="8" w:color="424E6A"/>
              <w:right w:val="single" w:sz="8" w:color="424E6A"/>
            </w:tcBorders>
            <w:shd w:val="clear" w:color="auto" w:fill="D9DCE1"/>
          </w:tcPr>
          <w:p>
            <w:pPr>
              <w:jc w:val="right"/>
              <w:spacing w:after="0" w:line="277" w:lineRule="exact"/>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 xml:space="preserve"> ​​</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424E6A"/>
            </w:tcBorders>
            <w:shd w:val="clear" w:color="auto" w:fill="D9DCE1"/>
          </w:tcPr>
          <w:p>
            <w:pPr>
              <w:ind w:left="240"/>
              <w:spacing w:after="0" w:line="27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8"/>
                <w:szCs w:val="28"/>
                <w:b w:val="1"/>
                <w:bCs w:val="1"/>
                <w:color w:val="FFFFFF"/>
                <w:vertAlign w:val="superscript"/>
              </w:rPr>
              <w:t>​</w:t>
            </w:r>
          </w:p>
        </w:tc>
        <w:tc>
          <w:tcPr>
            <w:tcW w:w="680" w:type="dxa"/>
            <w:vAlign w:val="bottom"/>
            <w:tcBorders>
              <w:bottom w:val="single" w:sz="8" w:color="424E6A"/>
            </w:tcBorders>
            <w:shd w:val="clear" w:color="auto" w:fill="D9DCE1"/>
          </w:tcPr>
          <w:p>
            <w:pPr>
              <w:jc w:val="right"/>
              <w:ind w:right="131"/>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424E6A"/>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c>
          <w:tcPr>
            <w:tcW w:w="300" w:type="dxa"/>
            <w:vAlign w:val="bottom"/>
            <w:tcBorders>
              <w:bottom w:val="single" w:sz="8" w:color="424E6A"/>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740" w:type="dxa"/>
            <w:vAlign w:val="bottom"/>
            <w:tcBorders>
              <w:bottom w:val="single" w:sz="8" w:color="424E6A"/>
            </w:tcBorders>
            <w:shd w:val="clear" w:color="auto" w:fill="D9DCE1"/>
          </w:tcPr>
          <w:p>
            <w:pPr>
              <w:ind w:left="56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4"/>
                <w:szCs w:val="14"/>
                <w:b w:val="1"/>
                <w:bCs w:val="1"/>
                <w:color w:val="FFFFFF"/>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Jeremy Goebel</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​2/16/23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0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900,000</w:t>
            </w:r>
            <w:r>
              <w:rPr>
                <w:rFonts w:ascii="Arial" w:cs="Arial" w:eastAsia="Arial" w:hAnsi="Arial"/>
                <w:sz w:val="25"/>
                <w:szCs w:val="25"/>
                <w:color w:val="auto"/>
                <w:vertAlign w:val="subscript"/>
              </w:rPr>
              <w:t>​​</w:t>
            </w:r>
          </w:p>
        </w:tc>
        <w:tc>
          <w:tcPr>
            <w:tcW w:w="900" w:type="dxa"/>
            <w:vAlign w:val="bottom"/>
            <w:tcBorders>
              <w:bottom w:val="single" w:sz="8" w:color="424E6A"/>
              <w:right w:val="single" w:sz="8" w:color="424E6A"/>
            </w:tcBorders>
            <w:gridSpan w:val="3"/>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w:t>
            </w:r>
            <w:r>
              <w:rPr>
                <w:rFonts w:ascii="Arial" w:cs="Arial" w:eastAsia="Arial" w:hAnsi="Arial"/>
                <w:sz w:val="25"/>
                <w:szCs w:val="25"/>
                <w:color w:val="auto"/>
                <w:vertAlign w:val="subscript"/>
              </w:rPr>
              <w:t>​</w:t>
            </w:r>
            <w:r>
              <w:rPr>
                <w:rFonts w:ascii="Arial" w:cs="Arial" w:eastAsia="Arial" w:hAnsi="Arial"/>
                <w:sz w:val="13"/>
                <w:szCs w:val="13"/>
                <w:color w:val="auto"/>
              </w:rPr>
              <w:t xml:space="preserve">1,800,000 </w:t>
            </w:r>
            <w:r>
              <w:rPr>
                <w:rFonts w:ascii="Arial" w:cs="Arial" w:eastAsia="Arial" w:hAnsi="Arial"/>
                <w:sz w:val="25"/>
                <w:szCs w:val="25"/>
                <w:color w:val="auto"/>
                <w:vertAlign w:val="subscript"/>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26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tcBorders>
          </w:tcPr>
          <w:p>
            <w:pPr>
              <w:ind w:left="8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24E6A"/>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680" w:type="dxa"/>
            <w:vAlign w:val="bottom"/>
            <w:tcBorders>
              <w:bottom w:val="single" w:sz="8" w:color="424E6A"/>
            </w:tcBorders>
          </w:tcPr>
          <w:p>
            <w:pPr>
              <w:jc w:val="right"/>
              <w:ind w:right="17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24E6A"/>
            </w:tcBorders>
          </w:tcPr>
          <w:p>
            <w:pPr>
              <w:ind w:left="1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424E6A"/>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1060" w:type="dxa"/>
            <w:vAlign w:val="bottom"/>
            <w:tcBorders>
              <w:left w:val="single" w:sz="8" w:color="424E6A"/>
              <w:bottom w:val="single" w:sz="8" w:color="424E6A"/>
            </w:tcBorders>
          </w:tcPr>
          <w:p>
            <w:pPr>
              <w:ind w:left="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424E6A"/>
            </w:tcBorders>
          </w:tcPr>
          <w:p>
            <w:pPr>
              <w:ind w:left="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​8/17/23</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6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gridSpan w:val="2"/>
          </w:tcPr>
          <w:p>
            <w:pPr>
              <w:jc w:val="right"/>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400" w:type="dxa"/>
            <w:vAlign w:val="bottom"/>
            <w:tcBorders>
              <w:bottom w:val="single" w:sz="8" w:color="424E6A"/>
            </w:tcBorders>
          </w:tcPr>
          <w:p>
            <w:pPr>
              <w:spacing w:after="0"/>
              <w:rPr>
                <w:sz w:val="19"/>
                <w:szCs w:val="19"/>
                <w:color w:val="auto"/>
              </w:rPr>
            </w:pPr>
          </w:p>
        </w:tc>
        <w:tc>
          <w:tcPr>
            <w:tcW w:w="30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26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bottom w:val="single" w:sz="8" w:color="424E6A"/>
            </w:tcBorders>
          </w:tcPr>
          <w:p>
            <w:pPr>
              <w:spacing w:after="0"/>
              <w:rPr>
                <w:sz w:val="19"/>
                <w:szCs w:val="19"/>
                <w:color w:val="auto"/>
              </w:rPr>
            </w:pPr>
          </w:p>
        </w:tc>
        <w:tc>
          <w:tcPr>
            <w:tcW w:w="320" w:type="dxa"/>
            <w:vAlign w:val="bottom"/>
            <w:tcBorders>
              <w:bottom w:val="single" w:sz="8" w:color="424E6A"/>
              <w:right w:val="single" w:sz="8" w:color="424E6A"/>
            </w:tcBorders>
          </w:tcPr>
          <w:p>
            <w:pPr>
              <w:jc w:val="right"/>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424E6A"/>
            </w:tcBorders>
          </w:tcPr>
          <w:p>
            <w:pPr>
              <w:ind w:left="2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14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65,825</w:t>
            </w:r>
            <w:r>
              <w:rPr>
                <w:rFonts w:ascii="Arial" w:cs="Arial" w:eastAsia="Arial" w:hAnsi="Arial"/>
                <w:sz w:val="25"/>
                <w:szCs w:val="25"/>
                <w:color w:val="auto"/>
                <w:vertAlign w:val="subscript"/>
              </w:rPr>
              <w:t>​​</w:t>
            </w:r>
          </w:p>
        </w:tc>
        <w:tc>
          <w:tcPr>
            <w:tcW w:w="100" w:type="dxa"/>
            <w:vAlign w:val="bottom"/>
            <w:tcBorders>
              <w:bottom w:val="single" w:sz="8" w:color="424E6A"/>
            </w:tcBorders>
          </w:tcPr>
          <w:p>
            <w:pPr>
              <w:ind w:left="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424E6A"/>
            </w:tcBorders>
            <w:gridSpan w:val="2"/>
          </w:tcPr>
          <w:p>
            <w:pPr>
              <w:ind w:left="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​131,650</w:t>
            </w:r>
          </w:p>
        </w:tc>
        <w:tc>
          <w:tcPr>
            <w:tcW w:w="2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424E6A"/>
            </w:tcBorders>
            <w:gridSpan w:val="2"/>
          </w:tcPr>
          <w:p>
            <w:pPr>
              <w:ind w:left="2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65,825</w:t>
            </w:r>
          </w:p>
        </w:tc>
        <w:tc>
          <w:tcPr>
            <w:tcW w:w="12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424E6A"/>
            </w:tcBorders>
            <w:gridSpan w:val="2"/>
          </w:tcPr>
          <w:p>
            <w:pPr>
              <w:ind w:left="18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1,485,999</w:t>
            </w:r>
          </w:p>
        </w:tc>
        <w:tc>
          <w:tcPr>
            <w:tcW w:w="10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-2922270</wp:posOffset>
            </wp:positionV>
            <wp:extent cx="4629150" cy="2922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29150" cy="2922905"/>
                    </a:xfrm>
                    <a:prstGeom prst="rect">
                      <a:avLst/>
                    </a:prstGeom>
                    <a:noFill/>
                  </pic:spPr>
                </pic:pic>
              </a:graphicData>
            </a:graphic>
          </wp:anchor>
        </w:drawing>
      </w:r>
    </w:p>
    <w:p>
      <w:pPr>
        <w:spacing w:after="0" w:line="177" w:lineRule="exact"/>
        <w:rPr>
          <w:sz w:val="20"/>
          <w:szCs w:val="20"/>
          <w:color w:val="auto"/>
        </w:rPr>
      </w:pPr>
    </w:p>
    <w:p>
      <w:pPr>
        <w:ind w:left="1620" w:right="820" w:hanging="360"/>
        <w:spacing w:after="0" w:line="242"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performance-based phantom units granted in August 2023. These phantom units will potentially vest on the August 2026 distribution date at a scaled payout range of between 0% and 200% based on: (i) with respect to 50% of the performance-based award, PAA’s TSR over the three-year period ending June 30, 2026 relative to the TSR of the TSR Comparator Peer Group described on page 30 (payout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associated with these performance-based awards will accrue during the three-year performance period and be paid in cash in a lump sum on the August 2026 distribution date with respect to the number of such phantom units, if any, that vest on such date.</w:t>
      </w:r>
    </w:p>
    <w:p>
      <w:pPr>
        <w:spacing w:after="0" w:line="43" w:lineRule="exact"/>
        <w:rPr>
          <w:rFonts w:ascii="Arial" w:cs="Arial" w:eastAsia="Arial" w:hAnsi="Arial"/>
          <w:sz w:val="27"/>
          <w:szCs w:val="27"/>
          <w:color w:val="auto"/>
          <w:vertAlign w:val="superscript"/>
        </w:rPr>
      </w:pPr>
    </w:p>
    <w:p>
      <w:pPr>
        <w:ind w:left="1620" w:right="960" w:hanging="360"/>
        <w:spacing w:after="0" w:line="232"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2023. These phantom units will vest on the August 2026 distribution date. DERs associated with these time-based awards will accrue for the first year and such accrued amount will be paid in cash in a lump sum on the August 2024 distribution date; beginning in November 2024, DERs on such time-based portion will be paid quarterly until the associated phantom units vest.</w:t>
      </w:r>
    </w:p>
    <w:p>
      <w:pPr>
        <w:spacing w:after="0" w:line="60" w:lineRule="exact"/>
        <w:rPr>
          <w:rFonts w:ascii="Arial" w:cs="Arial" w:eastAsia="Arial" w:hAnsi="Arial"/>
          <w:sz w:val="27"/>
          <w:szCs w:val="27"/>
          <w:color w:val="auto"/>
          <w:vertAlign w:val="superscript"/>
        </w:rPr>
      </w:pPr>
    </w:p>
    <w:p>
      <w:pPr>
        <w:ind w:left="1620" w:right="760" w:hanging="360"/>
        <w:spacing w:after="0" w:line="237" w:lineRule="auto"/>
        <w:tabs>
          <w:tab w:leader="none" w:pos="16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Represents the aggregate grant date fair values of phantom units granted in August 2023 based on the probable outcome of underlying performance conditions pursuant to FASB ASC Topic 718. For phantom unit grants awarded in August 2023, 75% were deemed probable of vesting on the grant date. The maximum fair value of phantom unit grants awarded in August 2023, assuming that the highest level of performance conditions will be met, was $4,877,705 for Mr. Chiang, $1,537,358 for each of Messrs. Swanson and McGee, and $1,981,333 for each of Messrs. Chandler and Goebel.</w:t>
      </w:r>
    </w:p>
    <w:p>
      <w:pPr>
        <w:spacing w:after="0" w:line="37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58" w:lineRule="exact"/>
        <w:rPr>
          <w:sz w:val="20"/>
          <w:szCs w:val="20"/>
          <w:color w:val="auto"/>
        </w:rPr>
      </w:pPr>
    </w:p>
    <w:p>
      <w:pPr>
        <w:ind w:left="1260" w:right="599" w:firstLine="360"/>
        <w:spacing w:after="0" w:line="276" w:lineRule="auto"/>
        <w:rPr>
          <w:sz w:val="20"/>
          <w:szCs w:val="20"/>
          <w:color w:val="auto"/>
        </w:rPr>
      </w:pPr>
      <w:r>
        <w:rPr>
          <w:rFonts w:ascii="Arial" w:cs="Arial" w:eastAsia="Arial" w:hAnsi="Arial"/>
          <w:sz w:val="18"/>
          <w:szCs w:val="18"/>
          <w:color w:val="auto"/>
        </w:rPr>
        <w:t>A narrative description of all material factors necessary to an understanding of the information included in the above Summary Compensation Table is included in “— Compensation Discussion and Analysis” and in the footnotes to such table.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Contracts</w:t>
      </w:r>
    </w:p>
    <w:p>
      <w:pPr>
        <w:spacing w:after="0" w:line="158" w:lineRule="exact"/>
        <w:rPr>
          <w:sz w:val="20"/>
          <w:szCs w:val="20"/>
          <w:color w:val="auto"/>
        </w:rPr>
      </w:pPr>
    </w:p>
    <w:p>
      <w:pPr>
        <w:ind w:left="1260" w:right="619" w:firstLine="360"/>
        <w:spacing w:after="0" w:line="267" w:lineRule="auto"/>
        <w:rPr>
          <w:sz w:val="20"/>
          <w:szCs w:val="20"/>
          <w:color w:val="auto"/>
        </w:rPr>
      </w:pPr>
      <w:r>
        <w:rPr>
          <w:rFonts w:ascii="Arial" w:cs="Arial" w:eastAsia="Arial" w:hAnsi="Arial"/>
          <w:sz w:val="18"/>
          <w:szCs w:val="18"/>
          <w:color w:val="auto"/>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p>
    <w:p>
      <w:pPr>
        <w:spacing w:after="0" w:line="118" w:lineRule="exact"/>
        <w:rPr>
          <w:sz w:val="20"/>
          <w:szCs w:val="20"/>
          <w:color w:val="auto"/>
        </w:rPr>
      </w:pPr>
    </w:p>
    <w:p>
      <w:pPr>
        <w:ind w:left="1260" w:right="419" w:firstLine="360"/>
        <w:spacing w:after="0" w:line="264" w:lineRule="auto"/>
        <w:rPr>
          <w:sz w:val="20"/>
          <w:szCs w:val="20"/>
          <w:color w:val="auto"/>
        </w:rPr>
      </w:pPr>
      <w:r>
        <w:rPr>
          <w:rFonts w:ascii="Arial" w:cs="Arial" w:eastAsia="Arial" w:hAnsi="Arial"/>
          <w:sz w:val="18"/>
          <w:szCs w:val="18"/>
          <w:color w:val="auto"/>
        </w:rPr>
        <w:t>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employment agreement related to termination, change of control and related payment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table sets forth certain information regarding outstanding equity awards as in effect at</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2023 with respect to our Named Executive Officers:</w:t>
      </w:r>
    </w:p>
    <w:p>
      <w:pPr>
        <w:spacing w:after="0" w:line="185" w:lineRule="exact"/>
        <w:rPr>
          <w:sz w:val="20"/>
          <w:szCs w:val="20"/>
          <w:color w:val="auto"/>
        </w:rPr>
      </w:pPr>
    </w:p>
    <w:tbl>
      <w:tblPr>
        <w:tblLayout w:type="fixed"/>
        <w:tblInd w:w="1270" w:type="dxa"/>
        <w:tblCellMar>
          <w:top w:w="0" w:type="dxa"/>
          <w:left w:w="0" w:type="dxa"/>
          <w:bottom w:w="0" w:type="dxa"/>
          <w:right w:w="0" w:type="dxa"/>
        </w:tblCellMar>
      </w:tblPr>
      <w:tr>
        <w:trPr>
          <w:trHeight w:val="242"/>
        </w:trPr>
        <w:tc>
          <w:tcPr>
            <w:tcW w:w="2160" w:type="dxa"/>
            <w:vAlign w:val="bottom"/>
            <w:tcBorders>
              <w:left w:val="single" w:sz="8" w:color="424E6A"/>
              <w:bottom w:val="single" w:sz="8" w:color="424E6A"/>
            </w:tcBorders>
            <w:shd w:val="clear" w:color="auto" w:fill="424E6A"/>
          </w:tcPr>
          <w:p>
            <w:pPr>
              <w:spacing w:after="0"/>
              <w:rPr>
                <w:sz w:val="21"/>
                <w:szCs w:val="21"/>
                <w:color w:val="auto"/>
              </w:rPr>
            </w:pPr>
          </w:p>
        </w:tc>
        <w:tc>
          <w:tcPr>
            <w:tcW w:w="960" w:type="dxa"/>
            <w:vAlign w:val="bottom"/>
            <w:tcBorders>
              <w:bottom w:val="single" w:sz="8" w:color="424E6A"/>
              <w:right w:val="single" w:sz="8" w:color="424E6A"/>
            </w:tcBorders>
            <w:shd w:val="clear" w:color="auto" w:fill="424E6A"/>
          </w:tcPr>
          <w:p>
            <w:pPr>
              <w:spacing w:after="0"/>
              <w:rPr>
                <w:sz w:val="21"/>
                <w:szCs w:val="21"/>
                <w:color w:val="auto"/>
              </w:rPr>
            </w:pPr>
          </w:p>
        </w:tc>
        <w:tc>
          <w:tcPr>
            <w:tcW w:w="140" w:type="dxa"/>
            <w:vAlign w:val="bottom"/>
            <w:tcBorders>
              <w:bottom w:val="single" w:sz="8" w:color="auto"/>
            </w:tcBorders>
            <w:shd w:val="clear" w:color="auto" w:fill="424E6A"/>
          </w:tcPr>
          <w:p>
            <w:pPr>
              <w:spacing w:after="0"/>
              <w:rPr>
                <w:sz w:val="21"/>
                <w:szCs w:val="21"/>
                <w:color w:val="auto"/>
              </w:rPr>
            </w:pPr>
          </w:p>
        </w:tc>
        <w:tc>
          <w:tcPr>
            <w:tcW w:w="260" w:type="dxa"/>
            <w:vAlign w:val="bottom"/>
            <w:tcBorders>
              <w:bottom w:val="single" w:sz="8" w:color="auto"/>
            </w:tcBorders>
            <w:shd w:val="clear" w:color="auto" w:fill="424E6A"/>
          </w:tcPr>
          <w:p>
            <w:pPr>
              <w:spacing w:after="0"/>
              <w:rPr>
                <w:sz w:val="21"/>
                <w:szCs w:val="21"/>
                <w:color w:val="auto"/>
              </w:rPr>
            </w:pPr>
          </w:p>
        </w:tc>
        <w:tc>
          <w:tcPr>
            <w:tcW w:w="580" w:type="dxa"/>
            <w:vAlign w:val="bottom"/>
            <w:tcBorders>
              <w:bottom w:val="single" w:sz="8" w:color="auto"/>
            </w:tcBorders>
            <w:shd w:val="clear" w:color="auto" w:fill="424E6A"/>
          </w:tcPr>
          <w:p>
            <w:pPr>
              <w:spacing w:after="0"/>
              <w:rPr>
                <w:sz w:val="21"/>
                <w:szCs w:val="21"/>
                <w:color w:val="auto"/>
              </w:rPr>
            </w:pPr>
          </w:p>
        </w:tc>
        <w:tc>
          <w:tcPr>
            <w:tcW w:w="160" w:type="dxa"/>
            <w:vAlign w:val="bottom"/>
            <w:tcBorders>
              <w:bottom w:val="single" w:sz="8" w:color="auto"/>
            </w:tcBorders>
            <w:shd w:val="clear" w:color="auto" w:fill="424E6A"/>
          </w:tcPr>
          <w:p>
            <w:pPr>
              <w:spacing w:after="0"/>
              <w:rPr>
                <w:sz w:val="21"/>
                <w:szCs w:val="21"/>
                <w:color w:val="auto"/>
              </w:rPr>
            </w:pPr>
          </w:p>
        </w:tc>
        <w:tc>
          <w:tcPr>
            <w:tcW w:w="180" w:type="dxa"/>
            <w:vAlign w:val="bottom"/>
            <w:tcBorders>
              <w:bottom w:val="single" w:sz="8" w:color="auto"/>
              <w:right w:val="single" w:sz="8" w:color="424E6A"/>
            </w:tcBorders>
            <w:shd w:val="clear" w:color="auto" w:fill="424E6A"/>
          </w:tcPr>
          <w:p>
            <w:pPr>
              <w:spacing w:after="0"/>
              <w:rPr>
                <w:sz w:val="21"/>
                <w:szCs w:val="21"/>
                <w:color w:val="auto"/>
              </w:rPr>
            </w:pPr>
          </w:p>
        </w:tc>
        <w:tc>
          <w:tcPr>
            <w:tcW w:w="220" w:type="dxa"/>
            <w:vAlign w:val="bottom"/>
            <w:tcBorders>
              <w:bottom w:val="single" w:sz="8" w:color="auto"/>
            </w:tcBorders>
            <w:shd w:val="clear" w:color="auto" w:fill="424E6A"/>
          </w:tcPr>
          <w:p>
            <w:pPr>
              <w:spacing w:after="0"/>
              <w:rPr>
                <w:sz w:val="21"/>
                <w:szCs w:val="21"/>
                <w:color w:val="auto"/>
              </w:rPr>
            </w:pPr>
          </w:p>
        </w:tc>
        <w:tc>
          <w:tcPr>
            <w:tcW w:w="1900" w:type="dxa"/>
            <w:vAlign w:val="bottom"/>
            <w:tcBorders>
              <w:bottom w:val="single" w:sz="8" w:color="auto"/>
            </w:tcBorders>
            <w:gridSpan w:val="5"/>
            <w:shd w:val="clear" w:color="auto" w:fill="424E6A"/>
          </w:tcPr>
          <w:p>
            <w:pPr>
              <w:jc w:val="right"/>
              <w:ind w:right="364"/>
              <w:spacing w:after="0"/>
              <w:rPr>
                <w:sz w:val="20"/>
                <w:szCs w:val="20"/>
                <w:color w:val="auto"/>
              </w:rPr>
            </w:pPr>
            <w:r>
              <w:rPr>
                <w:rFonts w:ascii="Arial" w:cs="Arial" w:eastAsia="Arial" w:hAnsi="Arial"/>
                <w:sz w:val="14"/>
                <w:szCs w:val="14"/>
                <w:b w:val="1"/>
                <w:bCs w:val="1"/>
                <w:color w:val="FFFFFF"/>
              </w:rPr>
              <w:t>Unit Awards</w:t>
            </w:r>
          </w:p>
        </w:tc>
        <w:tc>
          <w:tcPr>
            <w:tcW w:w="160" w:type="dxa"/>
            <w:vAlign w:val="bottom"/>
            <w:tcBorders>
              <w:bottom w:val="single" w:sz="8" w:color="auto"/>
            </w:tcBorders>
            <w:shd w:val="clear" w:color="auto" w:fill="424E6A"/>
          </w:tcPr>
          <w:p>
            <w:pPr>
              <w:spacing w:after="0"/>
              <w:rPr>
                <w:sz w:val="21"/>
                <w:szCs w:val="21"/>
                <w:color w:val="auto"/>
              </w:rPr>
            </w:pPr>
          </w:p>
        </w:tc>
        <w:tc>
          <w:tcPr>
            <w:tcW w:w="180" w:type="dxa"/>
            <w:vAlign w:val="bottom"/>
            <w:tcBorders>
              <w:bottom w:val="single" w:sz="8" w:color="auto"/>
              <w:right w:val="single" w:sz="8" w:color="424E6A"/>
            </w:tcBorders>
            <w:shd w:val="clear" w:color="auto" w:fill="424E6A"/>
          </w:tcPr>
          <w:p>
            <w:pPr>
              <w:spacing w:after="0"/>
              <w:rPr>
                <w:sz w:val="21"/>
                <w:szCs w:val="21"/>
                <w:color w:val="auto"/>
              </w:rPr>
            </w:pPr>
          </w:p>
        </w:tc>
        <w:tc>
          <w:tcPr>
            <w:tcW w:w="160" w:type="dxa"/>
            <w:vAlign w:val="bottom"/>
            <w:tcBorders>
              <w:bottom w:val="single" w:sz="8" w:color="auto"/>
            </w:tcBorders>
            <w:shd w:val="clear" w:color="auto" w:fill="424E6A"/>
          </w:tcPr>
          <w:p>
            <w:pPr>
              <w:spacing w:after="0"/>
              <w:rPr>
                <w:sz w:val="21"/>
                <w:szCs w:val="21"/>
                <w:color w:val="auto"/>
              </w:rPr>
            </w:pPr>
          </w:p>
        </w:tc>
        <w:tc>
          <w:tcPr>
            <w:tcW w:w="180" w:type="dxa"/>
            <w:vAlign w:val="bottom"/>
            <w:tcBorders>
              <w:bottom w:val="single" w:sz="8" w:color="auto"/>
            </w:tcBorders>
            <w:shd w:val="clear" w:color="auto" w:fill="424E6A"/>
          </w:tcPr>
          <w:p>
            <w:pPr>
              <w:spacing w:after="0"/>
              <w:rPr>
                <w:sz w:val="21"/>
                <w:szCs w:val="21"/>
                <w:color w:val="auto"/>
              </w:rPr>
            </w:pPr>
          </w:p>
        </w:tc>
        <w:tc>
          <w:tcPr>
            <w:tcW w:w="880" w:type="dxa"/>
            <w:vAlign w:val="bottom"/>
            <w:tcBorders>
              <w:bottom w:val="single" w:sz="8" w:color="auto"/>
            </w:tcBorders>
            <w:shd w:val="clear" w:color="auto" w:fill="424E6A"/>
          </w:tcPr>
          <w:p>
            <w:pPr>
              <w:spacing w:after="0"/>
              <w:rPr>
                <w:sz w:val="21"/>
                <w:szCs w:val="21"/>
                <w:color w:val="auto"/>
              </w:rPr>
            </w:pPr>
          </w:p>
        </w:tc>
        <w:tc>
          <w:tcPr>
            <w:tcW w:w="100" w:type="dxa"/>
            <w:vAlign w:val="bottom"/>
            <w:tcBorders>
              <w:bottom w:val="single" w:sz="8" w:color="auto"/>
              <w:right w:val="single" w:sz="8" w:color="424E6A"/>
            </w:tcBorders>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160" w:type="dxa"/>
            <w:vAlign w:val="bottom"/>
            <w:tcBorders>
              <w:left w:val="single" w:sz="8" w:color="424E6A"/>
            </w:tcBorders>
            <w:shd w:val="clear" w:color="auto" w:fill="424E6A"/>
          </w:tcPr>
          <w:p>
            <w:pPr>
              <w:spacing w:after="0"/>
              <w:rPr>
                <w:sz w:val="13"/>
                <w:szCs w:val="13"/>
                <w:color w:val="auto"/>
              </w:rPr>
            </w:pPr>
          </w:p>
        </w:tc>
        <w:tc>
          <w:tcPr>
            <w:tcW w:w="960" w:type="dxa"/>
            <w:vAlign w:val="bottom"/>
            <w:tcBorders>
              <w:right w:val="single" w:sz="8" w:color="424E6A"/>
            </w:tcBorders>
            <w:shd w:val="clear" w:color="auto" w:fill="424E6A"/>
          </w:tcPr>
          <w:p>
            <w:pPr>
              <w:spacing w:after="0"/>
              <w:rPr>
                <w:sz w:val="13"/>
                <w:szCs w:val="13"/>
                <w:color w:val="auto"/>
              </w:rPr>
            </w:pPr>
          </w:p>
        </w:tc>
        <w:tc>
          <w:tcPr>
            <w:tcW w:w="140" w:type="dxa"/>
            <w:vAlign w:val="bottom"/>
            <w:shd w:val="clear" w:color="auto" w:fill="424E6A"/>
          </w:tcPr>
          <w:p>
            <w:pPr>
              <w:spacing w:after="0"/>
              <w:rPr>
                <w:sz w:val="13"/>
                <w:szCs w:val="13"/>
                <w:color w:val="auto"/>
              </w:rPr>
            </w:pPr>
          </w:p>
        </w:tc>
        <w:tc>
          <w:tcPr>
            <w:tcW w:w="260" w:type="dxa"/>
            <w:vAlign w:val="bottom"/>
            <w:shd w:val="clear" w:color="auto" w:fill="424E6A"/>
          </w:tcPr>
          <w:p>
            <w:pPr>
              <w:spacing w:after="0"/>
              <w:rPr>
                <w:sz w:val="13"/>
                <w:szCs w:val="13"/>
                <w:color w:val="auto"/>
              </w:rPr>
            </w:pPr>
          </w:p>
        </w:tc>
        <w:tc>
          <w:tcPr>
            <w:tcW w:w="580" w:type="dxa"/>
            <w:vAlign w:val="bottom"/>
            <w:shd w:val="clear" w:color="auto" w:fill="424E6A"/>
          </w:tcPr>
          <w:p>
            <w:pPr>
              <w:spacing w:after="0"/>
              <w:rPr>
                <w:sz w:val="13"/>
                <w:szCs w:val="13"/>
                <w:color w:val="auto"/>
              </w:rPr>
            </w:pPr>
          </w:p>
        </w:tc>
        <w:tc>
          <w:tcPr>
            <w:tcW w:w="160" w:type="dxa"/>
            <w:vAlign w:val="bottom"/>
            <w:shd w:val="clear" w:color="auto" w:fill="424E6A"/>
          </w:tcPr>
          <w:p>
            <w:pPr>
              <w:spacing w:after="0"/>
              <w:rPr>
                <w:sz w:val="13"/>
                <w:szCs w:val="13"/>
                <w:color w:val="auto"/>
              </w:rPr>
            </w:pPr>
          </w:p>
        </w:tc>
        <w:tc>
          <w:tcPr>
            <w:tcW w:w="180" w:type="dxa"/>
            <w:vAlign w:val="bottom"/>
            <w:tcBorders>
              <w:right w:val="single" w:sz="8" w:color="424E6A"/>
            </w:tcBorders>
            <w:shd w:val="clear" w:color="auto" w:fill="424E6A"/>
          </w:tcPr>
          <w:p>
            <w:pPr>
              <w:spacing w:after="0"/>
              <w:rPr>
                <w:sz w:val="13"/>
                <w:szCs w:val="13"/>
                <w:color w:val="auto"/>
              </w:rPr>
            </w:pPr>
          </w:p>
        </w:tc>
        <w:tc>
          <w:tcPr>
            <w:tcW w:w="220" w:type="dxa"/>
            <w:vAlign w:val="bottom"/>
            <w:shd w:val="clear" w:color="auto" w:fill="424E6A"/>
          </w:tcPr>
          <w:p>
            <w:pPr>
              <w:spacing w:after="0"/>
              <w:rPr>
                <w:sz w:val="13"/>
                <w:szCs w:val="13"/>
                <w:color w:val="auto"/>
              </w:rPr>
            </w:pPr>
          </w:p>
        </w:tc>
        <w:tc>
          <w:tcPr>
            <w:tcW w:w="760" w:type="dxa"/>
            <w:vAlign w:val="bottom"/>
            <w:shd w:val="clear" w:color="auto" w:fill="424E6A"/>
          </w:tcPr>
          <w:p>
            <w:pPr>
              <w:spacing w:after="0"/>
              <w:rPr>
                <w:sz w:val="13"/>
                <w:szCs w:val="13"/>
                <w:color w:val="auto"/>
              </w:rPr>
            </w:pPr>
          </w:p>
        </w:tc>
        <w:tc>
          <w:tcPr>
            <w:tcW w:w="180" w:type="dxa"/>
            <w:vAlign w:val="bottom"/>
            <w:tcBorders>
              <w:right w:val="single" w:sz="8" w:color="424E6A"/>
            </w:tcBorders>
            <w:shd w:val="clear" w:color="auto" w:fill="424E6A"/>
          </w:tcPr>
          <w:p>
            <w:pPr>
              <w:spacing w:after="0"/>
              <w:rPr>
                <w:sz w:val="13"/>
                <w:szCs w:val="13"/>
                <w:color w:val="auto"/>
              </w:rPr>
            </w:pPr>
          </w:p>
        </w:tc>
        <w:tc>
          <w:tcPr>
            <w:tcW w:w="140" w:type="dxa"/>
            <w:vAlign w:val="bottom"/>
            <w:shd w:val="clear" w:color="auto" w:fill="424E6A"/>
          </w:tcPr>
          <w:p>
            <w:pPr>
              <w:spacing w:after="0"/>
              <w:rPr>
                <w:sz w:val="13"/>
                <w:szCs w:val="13"/>
                <w:color w:val="auto"/>
              </w:rPr>
            </w:pPr>
          </w:p>
        </w:tc>
        <w:tc>
          <w:tcPr>
            <w:tcW w:w="200" w:type="dxa"/>
            <w:vAlign w:val="bottom"/>
            <w:shd w:val="clear" w:color="auto" w:fill="424E6A"/>
          </w:tcPr>
          <w:p>
            <w:pPr>
              <w:spacing w:after="0"/>
              <w:rPr>
                <w:sz w:val="13"/>
                <w:szCs w:val="13"/>
                <w:color w:val="auto"/>
              </w:rPr>
            </w:pPr>
          </w:p>
        </w:tc>
        <w:tc>
          <w:tcPr>
            <w:tcW w:w="620" w:type="dxa"/>
            <w:vAlign w:val="bottom"/>
            <w:shd w:val="clear" w:color="auto" w:fill="424E6A"/>
          </w:tcPr>
          <w:p>
            <w:pPr>
              <w:spacing w:after="0"/>
              <w:rPr>
                <w:sz w:val="13"/>
                <w:szCs w:val="13"/>
                <w:color w:val="auto"/>
              </w:rPr>
            </w:pPr>
          </w:p>
        </w:tc>
        <w:tc>
          <w:tcPr>
            <w:tcW w:w="160" w:type="dxa"/>
            <w:vAlign w:val="bottom"/>
            <w:shd w:val="clear" w:color="auto" w:fill="424E6A"/>
          </w:tcPr>
          <w:p>
            <w:pPr>
              <w:spacing w:after="0"/>
              <w:rPr>
                <w:sz w:val="13"/>
                <w:szCs w:val="13"/>
                <w:color w:val="auto"/>
              </w:rPr>
            </w:pPr>
          </w:p>
        </w:tc>
        <w:tc>
          <w:tcPr>
            <w:tcW w:w="180" w:type="dxa"/>
            <w:vAlign w:val="bottom"/>
            <w:tcBorders>
              <w:right w:val="single" w:sz="8" w:color="424E6A"/>
            </w:tcBorders>
            <w:shd w:val="clear" w:color="auto" w:fill="424E6A"/>
          </w:tcPr>
          <w:p>
            <w:pPr>
              <w:spacing w:after="0"/>
              <w:rPr>
                <w:sz w:val="13"/>
                <w:szCs w:val="13"/>
                <w:color w:val="auto"/>
              </w:rPr>
            </w:pPr>
          </w:p>
        </w:tc>
        <w:tc>
          <w:tcPr>
            <w:tcW w:w="160" w:type="dxa"/>
            <w:vAlign w:val="bottom"/>
            <w:shd w:val="clear" w:color="auto" w:fill="424E6A"/>
          </w:tcPr>
          <w:p>
            <w:pPr>
              <w:spacing w:after="0"/>
              <w:rPr>
                <w:sz w:val="13"/>
                <w:szCs w:val="13"/>
                <w:color w:val="auto"/>
              </w:rPr>
            </w:pPr>
          </w:p>
        </w:tc>
        <w:tc>
          <w:tcPr>
            <w:tcW w:w="180" w:type="dxa"/>
            <w:vAlign w:val="bottom"/>
            <w:shd w:val="clear" w:color="auto" w:fill="424E6A"/>
          </w:tcPr>
          <w:p>
            <w:pPr>
              <w:spacing w:after="0"/>
              <w:rPr>
                <w:sz w:val="13"/>
                <w:szCs w:val="13"/>
                <w:color w:val="auto"/>
              </w:rPr>
            </w:pPr>
          </w:p>
        </w:tc>
        <w:tc>
          <w:tcPr>
            <w:tcW w:w="880" w:type="dxa"/>
            <w:vAlign w:val="bottom"/>
            <w:shd w:val="clear" w:color="auto" w:fill="424E6A"/>
          </w:tcPr>
          <w:p>
            <w:pPr>
              <w:jc w:val="center"/>
              <w:ind w:right="155"/>
              <w:spacing w:after="0"/>
              <w:rPr>
                <w:sz w:val="20"/>
                <w:szCs w:val="20"/>
                <w:color w:val="auto"/>
              </w:rPr>
            </w:pPr>
            <w:r>
              <w:rPr>
                <w:rFonts w:ascii="Arial" w:cs="Arial" w:eastAsia="Arial" w:hAnsi="Arial"/>
                <w:sz w:val="14"/>
                <w:szCs w:val="14"/>
                <w:b w:val="1"/>
                <w:bCs w:val="1"/>
                <w:color w:val="FFFFFF"/>
              </w:rPr>
              <w:t>Equity</w:t>
            </w:r>
          </w:p>
        </w:tc>
        <w:tc>
          <w:tcPr>
            <w:tcW w:w="100" w:type="dxa"/>
            <w:vAlign w:val="bottom"/>
            <w:tcBorders>
              <w:right w:val="single" w:sz="8" w:color="424E6A"/>
            </w:tcBorders>
            <w:shd w:val="clear" w:color="auto" w:fill="424E6A"/>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62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w w:val="98"/>
              </w:rPr>
              <w:t>Equity</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5"/>
              <w:spacing w:after="0"/>
              <w:rPr>
                <w:sz w:val="20"/>
                <w:szCs w:val="20"/>
                <w:color w:val="auto"/>
              </w:rPr>
            </w:pPr>
            <w:r>
              <w:rPr>
                <w:rFonts w:ascii="Arial" w:cs="Arial" w:eastAsia="Arial" w:hAnsi="Arial"/>
                <w:sz w:val="14"/>
                <w:szCs w:val="14"/>
                <w:b w:val="1"/>
                <w:bCs w:val="1"/>
                <w:color w:val="FFFFFF"/>
              </w:rPr>
              <w:t>Incentive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20" w:type="dxa"/>
            <w:vAlign w:val="bottom"/>
            <w:gridSpan w:val="2"/>
            <w:shd w:val="clear" w:color="auto" w:fill="424E6A"/>
          </w:tcPr>
          <w:p>
            <w:pPr>
              <w:jc w:val="center"/>
              <w:ind w:left="46"/>
              <w:spacing w:after="0"/>
              <w:rPr>
                <w:sz w:val="20"/>
                <w:szCs w:val="20"/>
                <w:color w:val="auto"/>
              </w:rPr>
            </w:pPr>
            <w:r>
              <w:rPr>
                <w:rFonts w:ascii="Arial" w:cs="Arial" w:eastAsia="Arial" w:hAnsi="Arial"/>
                <w:sz w:val="14"/>
                <w:szCs w:val="14"/>
                <w:b w:val="1"/>
                <w:bCs w:val="1"/>
                <w:color w:val="FFFFFF"/>
              </w:rPr>
              <w:t>Incentive</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Plan Awards: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5"/>
              <w:spacing w:after="0"/>
              <w:rPr>
                <w:sz w:val="20"/>
                <w:szCs w:val="20"/>
                <w:color w:val="auto"/>
              </w:rPr>
            </w:pPr>
            <w:r>
              <w:rPr>
                <w:rFonts w:ascii="Arial" w:cs="Arial" w:eastAsia="Arial" w:hAnsi="Arial"/>
                <w:sz w:val="14"/>
                <w:szCs w:val="14"/>
                <w:b w:val="1"/>
                <w:bCs w:val="1"/>
                <w:color w:val="FFFFFF"/>
              </w:rPr>
              <w:t>Market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Market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Payout Value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580" w:type="dxa"/>
            <w:vAlign w:val="bottom"/>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w w:val="99"/>
              </w:rPr>
              <w:t>Value of</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20" w:type="dxa"/>
            <w:vAlign w:val="bottom"/>
            <w:gridSpan w:val="2"/>
            <w:shd w:val="clear" w:color="auto" w:fill="424E6A"/>
          </w:tcPr>
          <w:p>
            <w:pPr>
              <w:jc w:val="center"/>
              <w:ind w:left="46"/>
              <w:spacing w:after="0"/>
              <w:rPr>
                <w:sz w:val="20"/>
                <w:szCs w:val="20"/>
                <w:color w:val="auto"/>
              </w:rPr>
            </w:pPr>
            <w:r>
              <w:rPr>
                <w:rFonts w:ascii="Arial" w:cs="Arial" w:eastAsia="Arial" w:hAnsi="Arial"/>
                <w:sz w:val="14"/>
                <w:szCs w:val="14"/>
                <w:b w:val="1"/>
                <w:bCs w:val="1"/>
                <w:color w:val="FFFFFF"/>
              </w:rPr>
              <w:t>Unearned</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Unearned</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w:t>
            </w: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Shares or</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620" w:type="dxa"/>
            <w:vAlign w:val="bottom"/>
            <w:shd w:val="clear" w:color="auto" w:fill="424E6A"/>
          </w:tcPr>
          <w:p>
            <w:pPr>
              <w:jc w:val="center"/>
              <w:ind w:right="4"/>
              <w:spacing w:after="0"/>
              <w:rPr>
                <w:sz w:val="20"/>
                <w:szCs w:val="20"/>
                <w:color w:val="auto"/>
              </w:rPr>
            </w:pPr>
            <w:r>
              <w:rPr>
                <w:rFonts w:ascii="Arial" w:cs="Arial" w:eastAsia="Arial" w:hAnsi="Arial"/>
                <w:sz w:val="14"/>
                <w:szCs w:val="14"/>
                <w:b w:val="1"/>
                <w:bCs w:val="1"/>
                <w:color w:val="FFFFFF"/>
                <w:w w:val="98"/>
              </w:rPr>
              <w:t>Shares,</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55"/>
              <w:spacing w:after="0"/>
              <w:rPr>
                <w:sz w:val="20"/>
                <w:szCs w:val="20"/>
                <w:color w:val="auto"/>
              </w:rPr>
            </w:pPr>
            <w:r>
              <w:rPr>
                <w:rFonts w:ascii="Arial" w:cs="Arial" w:eastAsia="Arial" w:hAnsi="Arial"/>
                <w:sz w:val="14"/>
                <w:szCs w:val="14"/>
                <w:b w:val="1"/>
                <w:bCs w:val="1"/>
                <w:color w:val="FFFFFF"/>
              </w:rPr>
              <w:t>Shares,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40" w:type="dxa"/>
            <w:vAlign w:val="bottom"/>
            <w:gridSpan w:val="2"/>
            <w:shd w:val="clear" w:color="auto" w:fill="424E6A"/>
          </w:tcPr>
          <w:p>
            <w:pPr>
              <w:jc w:val="center"/>
              <w:ind w:left="64"/>
              <w:spacing w:after="0"/>
              <w:rPr>
                <w:sz w:val="20"/>
                <w:szCs w:val="20"/>
                <w:color w:val="auto"/>
              </w:rPr>
            </w:pPr>
            <w:r>
              <w:rPr>
                <w:rFonts w:ascii="Arial" w:cs="Arial" w:eastAsia="Arial" w:hAnsi="Arial"/>
                <w:sz w:val="14"/>
                <w:szCs w:val="14"/>
                <w:b w:val="1"/>
                <w:bCs w:val="1"/>
                <w:color w:val="FFFFFF"/>
              </w:rPr>
              <w:t>Shares or</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Units of</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20" w:type="dxa"/>
            <w:vAlign w:val="bottom"/>
            <w:gridSpan w:val="2"/>
            <w:shd w:val="clear" w:color="auto" w:fill="424E6A"/>
          </w:tcPr>
          <w:p>
            <w:pPr>
              <w:jc w:val="center"/>
              <w:ind w:left="46"/>
              <w:spacing w:after="0"/>
              <w:rPr>
                <w:sz w:val="20"/>
                <w:szCs w:val="20"/>
                <w:color w:val="auto"/>
              </w:rPr>
            </w:pPr>
            <w:r>
              <w:rPr>
                <w:rFonts w:ascii="Arial" w:cs="Arial" w:eastAsia="Arial" w:hAnsi="Arial"/>
                <w:sz w:val="14"/>
                <w:szCs w:val="14"/>
                <w:b w:val="1"/>
                <w:bCs w:val="1"/>
                <w:color w:val="FFFFFF"/>
              </w:rPr>
              <w:t>Units or</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880" w:type="dxa"/>
            <w:vAlign w:val="bottom"/>
            <w:shd w:val="clear" w:color="auto" w:fill="424E6A"/>
          </w:tcPr>
          <w:p>
            <w:pPr>
              <w:jc w:val="center"/>
              <w:ind w:right="135"/>
              <w:spacing w:after="0"/>
              <w:rPr>
                <w:sz w:val="20"/>
                <w:szCs w:val="20"/>
                <w:color w:val="auto"/>
              </w:rPr>
            </w:pPr>
            <w:r>
              <w:rPr>
                <w:rFonts w:ascii="Arial" w:cs="Arial" w:eastAsia="Arial" w:hAnsi="Arial"/>
                <w:sz w:val="14"/>
                <w:szCs w:val="14"/>
                <w:b w:val="1"/>
                <w:bCs w:val="1"/>
                <w:color w:val="FFFFFF"/>
              </w:rPr>
              <w:t>Units 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00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Units of Stock</w:t>
            </w:r>
          </w:p>
        </w:tc>
        <w:tc>
          <w:tcPr>
            <w:tcW w:w="180" w:type="dxa"/>
            <w:vAlign w:val="bottom"/>
            <w:tcBorders>
              <w:right w:val="single" w:sz="8" w:color="424E6A"/>
            </w:tcBorders>
            <w:shd w:val="clear" w:color="auto" w:fill="424E6A"/>
          </w:tcPr>
          <w:p>
            <w:pPr>
              <w:spacing w:after="0"/>
              <w:rPr>
                <w:sz w:val="14"/>
                <w:szCs w:val="14"/>
                <w:color w:val="auto"/>
              </w:rPr>
            </w:pPr>
          </w:p>
        </w:tc>
        <w:tc>
          <w:tcPr>
            <w:tcW w:w="980" w:type="dxa"/>
            <w:vAlign w:val="bottom"/>
            <w:gridSpan w:val="2"/>
            <w:shd w:val="clear" w:color="auto" w:fill="424E6A"/>
          </w:tcPr>
          <w:p>
            <w:pPr>
              <w:jc w:val="center"/>
              <w:ind w:left="47"/>
              <w:spacing w:after="0"/>
              <w:rPr>
                <w:sz w:val="20"/>
                <w:szCs w:val="20"/>
                <w:color w:val="auto"/>
              </w:rPr>
            </w:pPr>
            <w:r>
              <w:rPr>
                <w:rFonts w:ascii="Arial" w:cs="Arial" w:eastAsia="Arial" w:hAnsi="Arial"/>
                <w:sz w:val="14"/>
                <w:szCs w:val="14"/>
                <w:b w:val="1"/>
                <w:bCs w:val="1"/>
                <w:color w:val="FFFFFF"/>
              </w:rPr>
              <w:t>Stock That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98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Other Rights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Borders>
              <w:lef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40" w:type="dxa"/>
            <w:vAlign w:val="bottom"/>
            <w:gridSpan w:val="2"/>
            <w:shd w:val="clear" w:color="auto" w:fill="424E6A"/>
          </w:tcPr>
          <w:p>
            <w:pPr>
              <w:jc w:val="center"/>
              <w:ind w:left="84"/>
              <w:spacing w:after="0"/>
              <w:rPr>
                <w:sz w:val="20"/>
                <w:szCs w:val="20"/>
                <w:color w:val="auto"/>
              </w:rPr>
            </w:pPr>
            <w:r>
              <w:rPr>
                <w:rFonts w:ascii="Arial" w:cs="Arial" w:eastAsia="Arial" w:hAnsi="Arial"/>
                <w:sz w:val="14"/>
                <w:szCs w:val="14"/>
                <w:b w:val="1"/>
                <w:bCs w:val="1"/>
                <w:color w:val="FFFFFF"/>
              </w:rPr>
              <w:t>That Have</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220" w:type="dxa"/>
            <w:vAlign w:val="bottom"/>
            <w:shd w:val="clear" w:color="auto" w:fill="424E6A"/>
          </w:tcPr>
          <w:p>
            <w:pPr>
              <w:spacing w:after="0"/>
              <w:rPr>
                <w:sz w:val="14"/>
                <w:szCs w:val="14"/>
                <w:color w:val="auto"/>
              </w:rPr>
            </w:pPr>
          </w:p>
        </w:tc>
        <w:tc>
          <w:tcPr>
            <w:tcW w:w="760" w:type="dxa"/>
            <w:vAlign w:val="bottom"/>
            <w:shd w:val="clear" w:color="auto" w:fill="424E6A"/>
          </w:tcPr>
          <w:p>
            <w:pPr>
              <w:jc w:val="center"/>
              <w:ind w:right="15"/>
              <w:spacing w:after="0"/>
              <w:rPr>
                <w:sz w:val="20"/>
                <w:szCs w:val="20"/>
                <w:color w:val="auto"/>
              </w:rPr>
            </w:pPr>
            <w:r>
              <w:rPr>
                <w:rFonts w:ascii="Arial" w:cs="Arial" w:eastAsia="Arial" w:hAnsi="Arial"/>
                <w:sz w:val="14"/>
                <w:szCs w:val="14"/>
                <w:b w:val="1"/>
                <w:bCs w:val="1"/>
                <w:color w:val="FFFFFF"/>
              </w:rPr>
              <w:t>Have Not</w:t>
            </w:r>
          </w:p>
        </w:tc>
        <w:tc>
          <w:tcPr>
            <w:tcW w:w="180" w:type="dxa"/>
            <w:vAlign w:val="bottom"/>
            <w:tcBorders>
              <w:right w:val="single" w:sz="8" w:color="424E6A"/>
            </w:tcBorders>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820" w:type="dxa"/>
            <w:vAlign w:val="bottom"/>
            <w:gridSpan w:val="2"/>
            <w:shd w:val="clear" w:color="auto" w:fill="424E6A"/>
          </w:tcPr>
          <w:p>
            <w:pPr>
              <w:jc w:val="center"/>
              <w:ind w:left="46"/>
              <w:spacing w:after="0"/>
              <w:rPr>
                <w:sz w:val="20"/>
                <w:szCs w:val="20"/>
                <w:color w:val="auto"/>
              </w:rPr>
            </w:pPr>
            <w:r>
              <w:rPr>
                <w:rFonts w:ascii="Arial" w:cs="Arial" w:eastAsia="Arial" w:hAnsi="Arial"/>
                <w:sz w:val="14"/>
                <w:szCs w:val="14"/>
                <w:b w:val="1"/>
                <w:bCs w:val="1"/>
                <w:color w:val="FFFFFF"/>
              </w:rPr>
              <w:t>That Have</w:t>
            </w:r>
          </w:p>
        </w:tc>
        <w:tc>
          <w:tcPr>
            <w:tcW w:w="160" w:type="dxa"/>
            <w:vAlign w:val="bottom"/>
            <w:shd w:val="clear" w:color="auto" w:fill="424E6A"/>
          </w:tcPr>
          <w:p>
            <w:pPr>
              <w:spacing w:after="0"/>
              <w:rPr>
                <w:sz w:val="14"/>
                <w:szCs w:val="14"/>
                <w:color w:val="auto"/>
              </w:rPr>
            </w:pPr>
          </w:p>
        </w:tc>
        <w:tc>
          <w:tcPr>
            <w:tcW w:w="18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0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That Have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16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​Name</w:t>
            </w:r>
          </w:p>
        </w:tc>
        <w:tc>
          <w:tcPr>
            <w:tcW w:w="960" w:type="dxa"/>
            <w:vAlign w:val="bottom"/>
            <w:tcBorders>
              <w:right w:val="single" w:sz="8" w:color="424E6A"/>
            </w:tcBorders>
            <w:shd w:val="clear" w:color="auto" w:fill="424E6A"/>
          </w:tcPr>
          <w:p>
            <w:pPr>
              <w:ind w:left="880"/>
              <w:spacing w:after="0"/>
              <w:rPr>
                <w:sz w:val="20"/>
                <w:szCs w:val="20"/>
                <w:color w:val="auto"/>
              </w:rPr>
            </w:pPr>
            <w:r>
              <w:rPr>
                <w:rFonts w:ascii="Arial" w:cs="Arial" w:eastAsia="Arial" w:hAnsi="Arial"/>
                <w:sz w:val="14"/>
                <w:szCs w:val="14"/>
                <w:b w:val="1"/>
                <w:bCs w:val="1"/>
                <w:color w:val="FFFFFF"/>
              </w:rPr>
              <w:t>​</w:t>
            </w:r>
          </w:p>
        </w:tc>
        <w:tc>
          <w:tcPr>
            <w:tcW w:w="1140" w:type="dxa"/>
            <w:vAlign w:val="bottom"/>
            <w:gridSpan w:val="4"/>
            <w:shd w:val="clear" w:color="auto" w:fill="424E6A"/>
          </w:tcPr>
          <w:p>
            <w:pPr>
              <w:jc w:val="right"/>
              <w:spacing w:after="0"/>
              <w:rPr>
                <w:sz w:val="20"/>
                <w:szCs w:val="20"/>
                <w:color w:val="auto"/>
              </w:rPr>
            </w:pPr>
            <w:r>
              <w:rPr>
                <w:rFonts w:ascii="Arial" w:cs="Arial" w:eastAsia="Arial" w:hAnsi="Arial"/>
                <w:sz w:val="14"/>
                <w:szCs w:val="14"/>
                <w:b w:val="1"/>
                <w:bCs w:val="1"/>
                <w:color w:val="FFFFFF"/>
              </w:rPr>
              <w:t>​ Not Vested (#)</w:t>
            </w:r>
          </w:p>
        </w:tc>
        <w:tc>
          <w:tcPr>
            <w:tcW w:w="180" w:type="dxa"/>
            <w:vAlign w:val="bottom"/>
            <w:tcBorders>
              <w:right w:val="single" w:sz="8" w:color="424E6A"/>
            </w:tcBorders>
            <w:shd w:val="clear" w:color="auto" w:fill="424E6A"/>
          </w:tcPr>
          <w:p>
            <w:pPr>
              <w:ind w:left="100"/>
              <w:spacing w:after="0"/>
              <w:rPr>
                <w:sz w:val="20"/>
                <w:szCs w:val="20"/>
                <w:color w:val="auto"/>
              </w:rPr>
            </w:pPr>
            <w:r>
              <w:rPr>
                <w:rFonts w:ascii="Arial" w:cs="Arial" w:eastAsia="Arial" w:hAnsi="Arial"/>
                <w:sz w:val="14"/>
                <w:szCs w:val="14"/>
                <w:b w:val="1"/>
                <w:bCs w:val="1"/>
                <w:color w:val="FFFFFF"/>
              </w:rPr>
              <w:t>​</w:t>
            </w:r>
          </w:p>
        </w:tc>
        <w:tc>
          <w:tcPr>
            <w:tcW w:w="980" w:type="dxa"/>
            <w:vAlign w:val="bottom"/>
            <w:gridSpan w:val="2"/>
            <w:shd w:val="clear" w:color="auto" w:fill="424E6A"/>
          </w:tcPr>
          <w:p>
            <w:pPr>
              <w:ind w:left="80"/>
              <w:spacing w:after="0" w:line="185" w:lineRule="exact"/>
              <w:rPr>
                <w:sz w:val="20"/>
                <w:szCs w:val="20"/>
                <w:color w:val="auto"/>
              </w:rPr>
            </w:pPr>
            <w:r>
              <w:rPr>
                <w:rFonts w:ascii="Arial" w:cs="Arial" w:eastAsia="Arial" w:hAnsi="Arial"/>
                <w:sz w:val="14"/>
                <w:szCs w:val="14"/>
                <w:b w:val="1"/>
                <w:bCs w:val="1"/>
                <w:color w:val="FFFFFF"/>
              </w:rPr>
              <w:t>​ Vested ($)</w:t>
            </w:r>
            <w:r>
              <w:rPr>
                <w:rFonts w:ascii="Arial" w:cs="Arial" w:eastAsia="Arial" w:hAnsi="Arial"/>
                <w:sz w:val="17"/>
                <w:szCs w:val="17"/>
                <w:b w:val="1"/>
                <w:bCs w:val="1"/>
                <w:color w:val="FFFFFF"/>
                <w:vertAlign w:val="superscript"/>
              </w:rPr>
              <w:t>(1)</w:t>
            </w:r>
          </w:p>
        </w:tc>
        <w:tc>
          <w:tcPr>
            <w:tcW w:w="18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1120" w:type="dxa"/>
            <w:vAlign w:val="bottom"/>
            <w:gridSpan w:val="4"/>
            <w:shd w:val="clear" w:color="auto" w:fill="424E6A"/>
          </w:tcPr>
          <w:p>
            <w:pPr>
              <w:ind w:left="60"/>
              <w:spacing w:after="0"/>
              <w:rPr>
                <w:sz w:val="20"/>
                <w:szCs w:val="20"/>
                <w:color w:val="auto"/>
              </w:rPr>
            </w:pPr>
            <w:r>
              <w:rPr>
                <w:rFonts w:ascii="Arial" w:cs="Arial" w:eastAsia="Arial" w:hAnsi="Arial"/>
                <w:sz w:val="14"/>
                <w:szCs w:val="14"/>
                <w:b w:val="1"/>
                <w:bCs w:val="1"/>
                <w:color w:val="FFFFFF"/>
              </w:rPr>
              <w:t>​ Not Vested (#)</w:t>
            </w:r>
          </w:p>
        </w:tc>
        <w:tc>
          <w:tcPr>
            <w:tcW w:w="180" w:type="dxa"/>
            <w:vAlign w:val="bottom"/>
            <w:tcBorders>
              <w:right w:val="single" w:sz="8" w:color="424E6A"/>
            </w:tcBorders>
            <w:shd w:val="clear" w:color="auto" w:fill="424E6A"/>
          </w:tcPr>
          <w:p>
            <w:pPr>
              <w:ind w:left="80"/>
              <w:spacing w:after="0"/>
              <w:rPr>
                <w:sz w:val="20"/>
                <w:szCs w:val="20"/>
                <w:color w:val="auto"/>
              </w:rPr>
            </w:pPr>
            <w:r>
              <w:rPr>
                <w:rFonts w:ascii="Arial" w:cs="Arial" w:eastAsia="Arial" w:hAnsi="Arial"/>
                <w:sz w:val="14"/>
                <w:szCs w:val="14"/>
                <w:b w:val="1"/>
                <w:bCs w:val="1"/>
                <w:color w:val="FFFFFF"/>
              </w:rPr>
              <w:t>​</w:t>
            </w:r>
          </w:p>
        </w:tc>
        <w:tc>
          <w:tcPr>
            <w:tcW w:w="1220" w:type="dxa"/>
            <w:vAlign w:val="bottom"/>
            <w:gridSpan w:val="3"/>
            <w:shd w:val="clear" w:color="auto" w:fill="424E6A"/>
          </w:tcPr>
          <w:p>
            <w:pPr>
              <w:ind w:left="60"/>
              <w:spacing w:after="0" w:line="185" w:lineRule="exact"/>
              <w:rPr>
                <w:sz w:val="20"/>
                <w:szCs w:val="20"/>
                <w:color w:val="auto"/>
              </w:rPr>
            </w:pPr>
            <w:r>
              <w:rPr>
                <w:rFonts w:ascii="Arial" w:cs="Arial" w:eastAsia="Arial" w:hAnsi="Arial"/>
                <w:sz w:val="14"/>
                <w:szCs w:val="14"/>
                <w:b w:val="1"/>
                <w:bCs w:val="1"/>
                <w:color w:val="FFFFFF"/>
              </w:rPr>
              <w:t>​ Not Vested ($)</w:t>
            </w:r>
            <w:r>
              <w:rPr>
                <w:rFonts w:ascii="Arial" w:cs="Arial" w:eastAsia="Arial" w:hAnsi="Arial"/>
                <w:sz w:val="17"/>
                <w:szCs w:val="17"/>
                <w:b w:val="1"/>
                <w:bCs w:val="1"/>
                <w:color w:val="FFFFFF"/>
                <w:vertAlign w:val="superscript"/>
              </w:rPr>
              <w:t>(1)</w:t>
            </w:r>
          </w:p>
        </w:tc>
        <w:tc>
          <w:tcPr>
            <w:tcW w:w="1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tcBorders>
              <w:left w:val="single" w:sz="8" w:color="424E6A"/>
            </w:tcBorders>
          </w:tcPr>
          <w:p>
            <w:pPr>
              <w:ind w:left="60"/>
              <w:spacing w:after="0" w:line="176" w:lineRule="exact"/>
              <w:rPr>
                <w:sz w:val="20"/>
                <w:szCs w:val="20"/>
                <w:color w:val="auto"/>
              </w:rPr>
            </w:pPr>
            <w:r>
              <w:rPr>
                <w:rFonts w:ascii="Arial" w:cs="Arial" w:eastAsia="Arial" w:hAnsi="Arial"/>
                <w:sz w:val="18"/>
                <w:szCs w:val="18"/>
                <w:color w:val="auto"/>
              </w:rPr>
              <w:t>Willie Chiang</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line="176" w:lineRule="exact"/>
              <w:rPr>
                <w:sz w:val="20"/>
                <w:szCs w:val="20"/>
                <w:color w:val="auto"/>
              </w:rPr>
            </w:pPr>
            <w:r>
              <w:rPr>
                <w:rFonts w:ascii="Arial" w:cs="Arial" w:eastAsia="Arial" w:hAnsi="Arial"/>
                <w:sz w:val="16"/>
                <w:szCs w:val="16"/>
                <w:color w:val="auto"/>
              </w:rPr>
              <w:t>500,000</w:t>
            </w:r>
            <w:r>
              <w:rPr>
                <w:rFonts w:ascii="Arial" w:cs="Arial" w:eastAsia="Arial" w:hAnsi="Arial"/>
                <w:sz w:val="20"/>
                <w:szCs w:val="20"/>
                <w:color w:val="auto"/>
                <w:vertAlign w:val="superscript"/>
              </w:rPr>
              <w:t>(2)</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76" w:lineRule="exact"/>
              <w:rPr>
                <w:sz w:val="20"/>
                <w:szCs w:val="20"/>
                <w:color w:val="auto"/>
              </w:rPr>
            </w:pPr>
            <w:r>
              <w:rPr>
                <w:rFonts w:ascii="Arial" w:cs="Arial" w:eastAsia="Arial" w:hAnsi="Arial"/>
                <w:sz w:val="18"/>
                <w:szCs w:val="18"/>
                <w:color w:val="auto"/>
              </w:rPr>
              <w:t>7,575,000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tcBorders>
          </w:tcPr>
          <w:p>
            <w:pPr>
              <w:spacing w:after="0"/>
              <w:rPr>
                <w:sz w:val="19"/>
                <w:szCs w:val="19"/>
                <w:color w:val="auto"/>
              </w:rPr>
            </w:pP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3"/>
          </w:tcPr>
          <w:p>
            <w:pPr>
              <w:ind w:left="160"/>
              <w:spacing w:after="0" w:line="223" w:lineRule="exact"/>
              <w:rPr>
                <w:sz w:val="20"/>
                <w:szCs w:val="20"/>
                <w:color w:val="auto"/>
              </w:rPr>
            </w:pPr>
            <w:r>
              <w:rPr>
                <w:rFonts w:ascii="Arial" w:cs="Arial" w:eastAsia="Arial" w:hAnsi="Arial"/>
                <w:sz w:val="18"/>
                <w:szCs w:val="18"/>
                <w:color w:val="auto"/>
              </w:rPr>
              <w:t>​ 62,870</w:t>
            </w:r>
            <w:r>
              <w:rPr>
                <w:rFonts w:ascii="Arial" w:cs="Arial" w:eastAsia="Arial" w:hAnsi="Arial"/>
                <w:sz w:val="23"/>
                <w:szCs w:val="23"/>
                <w:color w:val="auto"/>
                <w:vertAlign w:val="superscript"/>
              </w:rPr>
              <w:t>(3)</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5"/>
              <w:spacing w:after="0"/>
              <w:rPr>
                <w:sz w:val="20"/>
                <w:szCs w:val="20"/>
                <w:color w:val="auto"/>
              </w:rPr>
            </w:pPr>
            <w:r>
              <w:rPr>
                <w:rFonts w:ascii="Arial" w:cs="Arial" w:eastAsia="Arial" w:hAnsi="Arial"/>
                <w:sz w:val="18"/>
                <w:szCs w:val="18"/>
                <w:color w:val="auto"/>
              </w:rPr>
              <w:t>952,481</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150,300</w:t>
            </w:r>
            <w:r>
              <w:rPr>
                <w:rFonts w:ascii="Arial" w:cs="Arial" w:eastAsia="Arial" w:hAnsi="Arial"/>
                <w:sz w:val="19"/>
                <w:szCs w:val="19"/>
                <w:color w:val="auto"/>
                <w:vertAlign w:val="superscript"/>
              </w:rPr>
              <w:t>(5)</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2,277,045</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150,300</w:t>
            </w:r>
            <w:r>
              <w:rPr>
                <w:rFonts w:ascii="Arial" w:cs="Arial" w:eastAsia="Arial" w:hAnsi="Arial"/>
                <w:sz w:val="19"/>
                <w:szCs w:val="19"/>
                <w:color w:val="auto"/>
                <w:vertAlign w:val="superscript"/>
              </w:rPr>
              <w:t>(6)</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2,277,045</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220,000</w:t>
            </w:r>
            <w:r>
              <w:rPr>
                <w:rFonts w:ascii="Arial" w:cs="Arial" w:eastAsia="Arial" w:hAnsi="Arial"/>
                <w:sz w:val="19"/>
                <w:szCs w:val="19"/>
                <w:color w:val="auto"/>
                <w:vertAlign w:val="superscript"/>
              </w:rPr>
              <w:t>(7)</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3,333,000</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220,000</w:t>
            </w:r>
            <w:r>
              <w:rPr>
                <w:rFonts w:ascii="Arial" w:cs="Arial" w:eastAsia="Arial" w:hAnsi="Arial"/>
                <w:sz w:val="19"/>
                <w:szCs w:val="19"/>
                <w:color w:val="auto"/>
                <w:vertAlign w:val="superscript"/>
              </w:rPr>
              <w:t>(8)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3,333,000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162,050</w:t>
            </w:r>
            <w:r>
              <w:rPr>
                <w:rFonts w:ascii="Arial" w:cs="Arial" w:eastAsia="Arial" w:hAnsi="Arial"/>
                <w:sz w:val="19"/>
                <w:szCs w:val="19"/>
                <w:color w:val="auto"/>
                <w:vertAlign w:val="superscript"/>
              </w:rPr>
              <w:t>(9)</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2,455,058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424E6A"/>
            </w:tcBorders>
            <w:gridSpan w:val="4"/>
          </w:tcPr>
          <w:p>
            <w:pPr>
              <w:jc w:val="right"/>
              <w:ind w:right="58"/>
              <w:spacing w:after="0" w:line="169" w:lineRule="exact"/>
              <w:rPr>
                <w:sz w:val="20"/>
                <w:szCs w:val="20"/>
                <w:color w:val="auto"/>
              </w:rPr>
            </w:pPr>
            <w:r>
              <w:rPr>
                <w:rFonts w:ascii="Arial" w:cs="Arial" w:eastAsia="Arial" w:hAnsi="Arial"/>
                <w:sz w:val="15"/>
                <w:szCs w:val="15"/>
                <w:color w:val="auto"/>
              </w:rPr>
              <w:t>162,050</w:t>
            </w:r>
            <w:r>
              <w:rPr>
                <w:rFonts w:ascii="Arial" w:cs="Arial" w:eastAsia="Arial" w:hAnsi="Arial"/>
                <w:sz w:val="19"/>
                <w:szCs w:val="19"/>
                <w:color w:val="auto"/>
                <w:vertAlign w:val="superscript"/>
              </w:rPr>
              <w:t>(10)</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2,455,058</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tcPr>
          <w:p>
            <w:pPr>
              <w:spacing w:after="0" w:line="54" w:lineRule="exact"/>
              <w:rPr>
                <w:sz w:val="20"/>
                <w:szCs w:val="20"/>
                <w:color w:val="auto"/>
              </w:rPr>
            </w:pPr>
            <w:r>
              <w:rPr>
                <w:rFonts w:ascii="Arial" w:cs="Arial" w:eastAsia="Arial" w:hAnsi="Arial"/>
                <w:sz w:val="6"/>
                <w:szCs w:val="6"/>
                <w:color w:val="auto"/>
              </w:rPr>
              <w:t>​ ​</w:t>
            </w: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62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3"/>
        </w:trPr>
        <w:tc>
          <w:tcPr>
            <w:tcW w:w="2160" w:type="dxa"/>
            <w:vAlign w:val="bottom"/>
            <w:tcBorders>
              <w:top w:val="single" w:sz="8" w:color="424E6A"/>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​Harry Pefanis</w:t>
            </w:r>
          </w:p>
        </w:tc>
        <w:tc>
          <w:tcPr>
            <w:tcW w:w="960" w:type="dxa"/>
            <w:vAlign w:val="bottom"/>
            <w:tcBorders>
              <w:top w:val="single" w:sz="8" w:color="424E6A"/>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bottom w:val="single" w:sz="8" w:color="424E6A"/>
            </w:tcBorders>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bottom w:val="single" w:sz="8" w:color="424E6A"/>
            </w:tcBorders>
          </w:tcPr>
          <w:p>
            <w:pPr>
              <w:spacing w:after="0"/>
              <w:rPr>
                <w:sz w:val="19"/>
                <w:szCs w:val="19"/>
                <w:color w:val="auto"/>
              </w:rPr>
            </w:pPr>
          </w:p>
        </w:tc>
        <w:tc>
          <w:tcPr>
            <w:tcW w:w="18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bottom w:val="single" w:sz="8" w:color="424E6A"/>
            </w:tcBorders>
          </w:tcPr>
          <w:p>
            <w:pPr>
              <w:ind w:left="1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424E6A"/>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424E6A"/>
              <w:bottom w:val="single" w:sz="8" w:color="424E6A"/>
            </w:tcBorders>
          </w:tcPr>
          <w:p>
            <w:pPr>
              <w:spacing w:after="0"/>
              <w:rPr>
                <w:sz w:val="19"/>
                <w:szCs w:val="19"/>
                <w:color w:val="auto"/>
              </w:rPr>
            </w:pPr>
          </w:p>
        </w:tc>
        <w:tc>
          <w:tcPr>
            <w:tcW w:w="180" w:type="dxa"/>
            <w:vAlign w:val="bottom"/>
            <w:tcBorders>
              <w:top w:val="single" w:sz="8" w:color="424E6A"/>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bottom w:val="single" w:sz="8" w:color="424E6A"/>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424E6A"/>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62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Al Swanson</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tcPr>
          <w:p>
            <w:pPr>
              <w:spacing w:after="0"/>
              <w:rPr>
                <w:sz w:val="14"/>
                <w:szCs w:val="14"/>
                <w:color w:val="auto"/>
              </w:rPr>
            </w:pP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gridSpan w:val="2"/>
          </w:tcPr>
          <w:p>
            <w:pPr>
              <w:jc w:val="right"/>
              <w:spacing w:after="0" w:line="169" w:lineRule="exact"/>
              <w:rPr>
                <w:sz w:val="20"/>
                <w:szCs w:val="20"/>
                <w:color w:val="auto"/>
              </w:rPr>
            </w:pPr>
            <w:r>
              <w:rPr>
                <w:rFonts w:ascii="Arial" w:cs="Arial" w:eastAsia="Arial" w:hAnsi="Arial"/>
                <w:sz w:val="15"/>
                <w:szCs w:val="15"/>
                <w:color w:val="auto"/>
              </w:rPr>
              <w:t>25,150</w:t>
            </w:r>
            <w:r>
              <w:rPr>
                <w:rFonts w:ascii="Arial" w:cs="Arial" w:eastAsia="Arial" w:hAnsi="Arial"/>
                <w:sz w:val="19"/>
                <w:szCs w:val="19"/>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5"/>
              <w:spacing w:after="0" w:line="169" w:lineRule="exact"/>
              <w:rPr>
                <w:sz w:val="20"/>
                <w:szCs w:val="20"/>
                <w:color w:val="auto"/>
              </w:rPr>
            </w:pPr>
            <w:r>
              <w:rPr>
                <w:rFonts w:ascii="Arial" w:cs="Arial" w:eastAsia="Arial" w:hAnsi="Arial"/>
                <w:sz w:val="18"/>
                <w:szCs w:val="18"/>
                <w:color w:val="auto"/>
              </w:rPr>
              <w:t>381,023</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3"/>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(5)</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910,515</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3"/>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5"/>
              <w:spacing w:after="0"/>
              <w:rPr>
                <w:sz w:val="20"/>
                <w:szCs w:val="20"/>
                <w:color w:val="auto"/>
              </w:rPr>
            </w:pPr>
            <w:r>
              <w:rPr>
                <w:rFonts w:ascii="Arial" w:cs="Arial" w:eastAsia="Arial" w:hAnsi="Arial"/>
                <w:sz w:val="18"/>
                <w:szCs w:val="18"/>
                <w:color w:val="auto"/>
              </w:rPr>
              <w:t>910,515</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69,300</w:t>
            </w:r>
            <w:r>
              <w:rPr>
                <w:rFonts w:ascii="Arial" w:cs="Arial" w:eastAsia="Arial" w:hAnsi="Arial"/>
                <w:sz w:val="19"/>
                <w:szCs w:val="19"/>
                <w:color w:val="auto"/>
                <w:vertAlign w:val="superscript"/>
              </w:rPr>
              <w:t>(7)</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1,049,895</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69,300</w:t>
            </w:r>
            <w:r>
              <w:rPr>
                <w:rFonts w:ascii="Arial" w:cs="Arial" w:eastAsia="Arial" w:hAnsi="Arial"/>
                <w:sz w:val="19"/>
                <w:szCs w:val="19"/>
                <w:color w:val="auto"/>
                <w:vertAlign w:val="superscript"/>
              </w:rPr>
              <w:t>(8)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1,049,895</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ind w:left="180"/>
              <w:spacing w:after="0"/>
              <w:rPr>
                <w:sz w:val="20"/>
                <w:szCs w:val="20"/>
                <w:color w:val="auto"/>
              </w:rPr>
            </w:pPr>
            <w:r>
              <w:rPr>
                <w:rFonts w:ascii="Arial" w:cs="Arial" w:eastAsia="Arial" w:hAnsi="Arial"/>
                <w:sz w:val="18"/>
                <w:szCs w:val="18"/>
                <w:color w:val="auto"/>
              </w:rPr>
              <w:t>​ 51,075</w:t>
            </w:r>
          </w:p>
        </w:tc>
        <w:tc>
          <w:tcPr>
            <w:tcW w:w="160" w:type="dxa"/>
            <w:vAlign w:val="bottom"/>
          </w:tcPr>
          <w:p>
            <w:pPr>
              <w:jc w:val="right"/>
              <w:spacing w:after="0" w:line="88" w:lineRule="exact"/>
              <w:rPr>
                <w:sz w:val="20"/>
                <w:szCs w:val="20"/>
                <w:color w:val="auto"/>
              </w:rPr>
            </w:pPr>
            <w:r>
              <w:rPr>
                <w:rFonts w:ascii="Arial" w:cs="Arial" w:eastAsia="Arial" w:hAnsi="Arial"/>
                <w:sz w:val="9"/>
                <w:szCs w:val="9"/>
                <w:color w:val="auto"/>
              </w:rPr>
              <w:t>(9)</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773,786</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ind w:left="160"/>
              <w:spacing w:after="0"/>
              <w:rPr>
                <w:sz w:val="20"/>
                <w:szCs w:val="20"/>
                <w:color w:val="auto"/>
              </w:rPr>
            </w:pPr>
            <w:r>
              <w:rPr>
                <w:rFonts w:ascii="Arial" w:cs="Arial" w:eastAsia="Arial" w:hAnsi="Arial"/>
                <w:sz w:val="18"/>
                <w:szCs w:val="18"/>
                <w:color w:val="auto"/>
              </w:rPr>
              <w:t>​ 51,075</w:t>
            </w:r>
          </w:p>
        </w:tc>
        <w:tc>
          <w:tcPr>
            <w:tcW w:w="340" w:type="dxa"/>
            <w:vAlign w:val="bottom"/>
            <w:tcBorders>
              <w:right w:val="single" w:sz="8" w:color="424E6A"/>
            </w:tcBorders>
            <w:gridSpan w:val="2"/>
          </w:tcPr>
          <w:p>
            <w:pPr>
              <w:jc w:val="right"/>
              <w:ind w:right="58"/>
              <w:spacing w:after="0" w:line="88" w:lineRule="exact"/>
              <w:rPr>
                <w:sz w:val="20"/>
                <w:szCs w:val="20"/>
                <w:color w:val="auto"/>
              </w:rPr>
            </w:pPr>
            <w:r>
              <w:rPr>
                <w:rFonts w:ascii="Arial" w:cs="Arial" w:eastAsia="Arial" w:hAnsi="Arial"/>
                <w:sz w:val="9"/>
                <w:szCs w:val="9"/>
                <w:color w:val="auto"/>
              </w:rPr>
              <w:t>(10)</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5"/>
              <w:spacing w:after="0"/>
              <w:rPr>
                <w:sz w:val="20"/>
                <w:szCs w:val="20"/>
                <w:color w:val="auto"/>
              </w:rPr>
            </w:pPr>
            <w:r>
              <w:rPr>
                <w:rFonts w:ascii="Arial" w:cs="Arial" w:eastAsia="Arial" w:hAnsi="Arial"/>
                <w:sz w:val="18"/>
                <w:szCs w:val="18"/>
                <w:color w:val="auto"/>
              </w:rPr>
              <w:t>773,786</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160" w:type="dxa"/>
            <w:vAlign w:val="bottom"/>
            <w:tcBorders>
              <w:left w:val="single" w:sz="8" w:color="424E6A"/>
              <w:bottom w:val="single" w:sz="8" w:color="424E6A"/>
            </w:tcBorders>
            <w:vMerge w:val="continue"/>
          </w:tcPr>
          <w:p>
            <w:pPr>
              <w:spacing w:after="0"/>
              <w:rPr>
                <w:sz w:val="11"/>
                <w:szCs w:val="11"/>
                <w:color w:val="auto"/>
              </w:rPr>
            </w:pPr>
          </w:p>
        </w:tc>
        <w:tc>
          <w:tcPr>
            <w:tcW w:w="96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4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220" w:type="dxa"/>
            <w:vAlign w:val="bottom"/>
            <w:tcBorders>
              <w:bottom w:val="single" w:sz="8" w:color="424E6A"/>
            </w:tcBorders>
            <w:vMerge w:val="continue"/>
          </w:tcPr>
          <w:p>
            <w:pPr>
              <w:spacing w:after="0"/>
              <w:rPr>
                <w:sz w:val="11"/>
                <w:szCs w:val="11"/>
                <w:color w:val="auto"/>
              </w:rPr>
            </w:pPr>
          </w:p>
        </w:tc>
        <w:tc>
          <w:tcPr>
            <w:tcW w:w="7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2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tcPr>
          <w:p>
            <w:pPr>
              <w:spacing w:after="0" w:line="135" w:lineRule="exact"/>
              <w:rPr>
                <w:sz w:val="20"/>
                <w:szCs w:val="20"/>
                <w:color w:val="auto"/>
              </w:rPr>
            </w:pPr>
            <w:r>
              <w:rPr>
                <w:rFonts w:ascii="Arial" w:cs="Arial" w:eastAsia="Arial" w:hAnsi="Arial"/>
                <w:sz w:val="15"/>
                <w:szCs w:val="15"/>
                <w:color w:val="auto"/>
              </w:rPr>
              <w:t>​ ​</w:t>
            </w:r>
          </w:p>
        </w:tc>
        <w:tc>
          <w:tcPr>
            <w:tcW w:w="1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880" w:type="dxa"/>
            <w:vAlign w:val="bottom"/>
            <w:tcBorders>
              <w:bottom w:val="single" w:sz="8" w:color="424E6A"/>
            </w:tcBorders>
            <w:vMerge w:val="continue"/>
          </w:tcPr>
          <w:p>
            <w:pPr>
              <w:spacing w:after="0"/>
              <w:rPr>
                <w:sz w:val="11"/>
                <w:szCs w:val="11"/>
                <w:color w:val="auto"/>
              </w:rPr>
            </w:pPr>
          </w:p>
        </w:tc>
        <w:tc>
          <w:tcPr>
            <w:tcW w:w="100" w:type="dxa"/>
            <w:vAlign w:val="bottom"/>
            <w:tcBorders>
              <w:bottom w:val="single" w:sz="8" w:color="424E6A"/>
              <w:right w:val="single" w:sz="8" w:color="424E6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62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Richard McGee</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tcPr>
          <w:p>
            <w:pPr>
              <w:spacing w:after="0"/>
              <w:rPr>
                <w:sz w:val="14"/>
                <w:szCs w:val="14"/>
                <w:color w:val="auto"/>
              </w:rPr>
            </w:pP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gridSpan w:val="2"/>
          </w:tcPr>
          <w:p>
            <w:pPr>
              <w:jc w:val="right"/>
              <w:spacing w:after="0" w:line="169" w:lineRule="exact"/>
              <w:rPr>
                <w:sz w:val="20"/>
                <w:szCs w:val="20"/>
                <w:color w:val="auto"/>
              </w:rPr>
            </w:pPr>
            <w:r>
              <w:rPr>
                <w:rFonts w:ascii="Arial" w:cs="Arial" w:eastAsia="Arial" w:hAnsi="Arial"/>
                <w:sz w:val="15"/>
                <w:szCs w:val="15"/>
                <w:color w:val="auto"/>
              </w:rPr>
              <w:t>25,150</w:t>
            </w:r>
            <w:r>
              <w:rPr>
                <w:rFonts w:ascii="Arial" w:cs="Arial" w:eastAsia="Arial" w:hAnsi="Arial"/>
                <w:sz w:val="19"/>
                <w:szCs w:val="19"/>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5"/>
              <w:spacing w:after="0" w:line="169" w:lineRule="exact"/>
              <w:rPr>
                <w:sz w:val="20"/>
                <w:szCs w:val="20"/>
                <w:color w:val="auto"/>
              </w:rPr>
            </w:pPr>
            <w:r>
              <w:rPr>
                <w:rFonts w:ascii="Arial" w:cs="Arial" w:eastAsia="Arial" w:hAnsi="Arial"/>
                <w:sz w:val="18"/>
                <w:szCs w:val="18"/>
                <w:color w:val="auto"/>
              </w:rPr>
              <w:t>381,023</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3"/>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(5)</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910,515</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3"/>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5"/>
              <w:spacing w:after="0"/>
              <w:rPr>
                <w:sz w:val="20"/>
                <w:szCs w:val="20"/>
                <w:color w:val="auto"/>
              </w:rPr>
            </w:pPr>
            <w:r>
              <w:rPr>
                <w:rFonts w:ascii="Arial" w:cs="Arial" w:eastAsia="Arial" w:hAnsi="Arial"/>
                <w:sz w:val="18"/>
                <w:szCs w:val="18"/>
                <w:color w:val="auto"/>
              </w:rPr>
              <w:t>910,515</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69,300</w:t>
            </w:r>
            <w:r>
              <w:rPr>
                <w:rFonts w:ascii="Arial" w:cs="Arial" w:eastAsia="Arial" w:hAnsi="Arial"/>
                <w:sz w:val="19"/>
                <w:szCs w:val="19"/>
                <w:color w:val="auto"/>
                <w:vertAlign w:val="superscript"/>
              </w:rPr>
              <w:t>(7)</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1,049,895</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69,300</w:t>
            </w:r>
            <w:r>
              <w:rPr>
                <w:rFonts w:ascii="Arial" w:cs="Arial" w:eastAsia="Arial" w:hAnsi="Arial"/>
                <w:sz w:val="19"/>
                <w:szCs w:val="19"/>
                <w:color w:val="auto"/>
                <w:vertAlign w:val="superscript"/>
              </w:rPr>
              <w:t>(8)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1,049,895</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ind w:left="180"/>
              <w:spacing w:after="0"/>
              <w:rPr>
                <w:sz w:val="20"/>
                <w:szCs w:val="20"/>
                <w:color w:val="auto"/>
              </w:rPr>
            </w:pPr>
            <w:r>
              <w:rPr>
                <w:rFonts w:ascii="Arial" w:cs="Arial" w:eastAsia="Arial" w:hAnsi="Arial"/>
                <w:sz w:val="18"/>
                <w:szCs w:val="18"/>
                <w:color w:val="auto"/>
              </w:rPr>
              <w:t>​ 51,075</w:t>
            </w:r>
          </w:p>
        </w:tc>
        <w:tc>
          <w:tcPr>
            <w:tcW w:w="160" w:type="dxa"/>
            <w:vAlign w:val="bottom"/>
          </w:tcPr>
          <w:p>
            <w:pPr>
              <w:jc w:val="right"/>
              <w:spacing w:after="0" w:line="88" w:lineRule="exact"/>
              <w:rPr>
                <w:sz w:val="20"/>
                <w:szCs w:val="20"/>
                <w:color w:val="auto"/>
              </w:rPr>
            </w:pPr>
            <w:r>
              <w:rPr>
                <w:rFonts w:ascii="Arial" w:cs="Arial" w:eastAsia="Arial" w:hAnsi="Arial"/>
                <w:sz w:val="9"/>
                <w:szCs w:val="9"/>
                <w:color w:val="auto"/>
              </w:rPr>
              <w:t>(9)</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773,786</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ind w:left="160"/>
              <w:spacing w:after="0"/>
              <w:rPr>
                <w:sz w:val="20"/>
                <w:szCs w:val="20"/>
                <w:color w:val="auto"/>
              </w:rPr>
            </w:pPr>
            <w:r>
              <w:rPr>
                <w:rFonts w:ascii="Arial" w:cs="Arial" w:eastAsia="Arial" w:hAnsi="Arial"/>
                <w:sz w:val="18"/>
                <w:szCs w:val="18"/>
                <w:color w:val="auto"/>
              </w:rPr>
              <w:t>​ 51,075</w:t>
            </w:r>
          </w:p>
        </w:tc>
        <w:tc>
          <w:tcPr>
            <w:tcW w:w="340" w:type="dxa"/>
            <w:vAlign w:val="bottom"/>
            <w:tcBorders>
              <w:right w:val="single" w:sz="8" w:color="424E6A"/>
            </w:tcBorders>
            <w:gridSpan w:val="2"/>
          </w:tcPr>
          <w:p>
            <w:pPr>
              <w:jc w:val="right"/>
              <w:ind w:right="58"/>
              <w:spacing w:after="0" w:line="88" w:lineRule="exact"/>
              <w:rPr>
                <w:sz w:val="20"/>
                <w:szCs w:val="20"/>
                <w:color w:val="auto"/>
              </w:rPr>
            </w:pPr>
            <w:r>
              <w:rPr>
                <w:rFonts w:ascii="Arial" w:cs="Arial" w:eastAsia="Arial" w:hAnsi="Arial"/>
                <w:sz w:val="9"/>
                <w:szCs w:val="9"/>
                <w:color w:val="auto"/>
              </w:rPr>
              <w:t>(10)</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5"/>
              <w:spacing w:after="0"/>
              <w:rPr>
                <w:sz w:val="20"/>
                <w:szCs w:val="20"/>
                <w:color w:val="auto"/>
              </w:rPr>
            </w:pPr>
            <w:r>
              <w:rPr>
                <w:rFonts w:ascii="Arial" w:cs="Arial" w:eastAsia="Arial" w:hAnsi="Arial"/>
                <w:sz w:val="18"/>
                <w:szCs w:val="18"/>
                <w:color w:val="auto"/>
              </w:rPr>
              <w:t>773,786</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160" w:type="dxa"/>
            <w:vAlign w:val="bottom"/>
            <w:tcBorders>
              <w:left w:val="single" w:sz="8" w:color="424E6A"/>
              <w:bottom w:val="single" w:sz="8" w:color="424E6A"/>
            </w:tcBorders>
            <w:vMerge w:val="continue"/>
          </w:tcPr>
          <w:p>
            <w:pPr>
              <w:spacing w:after="0"/>
              <w:rPr>
                <w:sz w:val="11"/>
                <w:szCs w:val="11"/>
                <w:color w:val="auto"/>
              </w:rPr>
            </w:pPr>
          </w:p>
        </w:tc>
        <w:tc>
          <w:tcPr>
            <w:tcW w:w="96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4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220" w:type="dxa"/>
            <w:vAlign w:val="bottom"/>
            <w:tcBorders>
              <w:bottom w:val="single" w:sz="8" w:color="424E6A"/>
            </w:tcBorders>
            <w:vMerge w:val="continue"/>
          </w:tcPr>
          <w:p>
            <w:pPr>
              <w:spacing w:after="0"/>
              <w:rPr>
                <w:sz w:val="11"/>
                <w:szCs w:val="11"/>
                <w:color w:val="auto"/>
              </w:rPr>
            </w:pPr>
          </w:p>
        </w:tc>
        <w:tc>
          <w:tcPr>
            <w:tcW w:w="7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2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tcPr>
          <w:p>
            <w:pPr>
              <w:spacing w:after="0" w:line="135" w:lineRule="exact"/>
              <w:rPr>
                <w:sz w:val="20"/>
                <w:szCs w:val="20"/>
                <w:color w:val="auto"/>
              </w:rPr>
            </w:pPr>
            <w:r>
              <w:rPr>
                <w:rFonts w:ascii="Arial" w:cs="Arial" w:eastAsia="Arial" w:hAnsi="Arial"/>
                <w:sz w:val="15"/>
                <w:szCs w:val="15"/>
                <w:color w:val="auto"/>
              </w:rPr>
              <w:t>​ ​</w:t>
            </w:r>
          </w:p>
        </w:tc>
        <w:tc>
          <w:tcPr>
            <w:tcW w:w="1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880" w:type="dxa"/>
            <w:vAlign w:val="bottom"/>
            <w:tcBorders>
              <w:bottom w:val="single" w:sz="8" w:color="424E6A"/>
            </w:tcBorders>
            <w:vMerge w:val="continue"/>
          </w:tcPr>
          <w:p>
            <w:pPr>
              <w:spacing w:after="0"/>
              <w:rPr>
                <w:sz w:val="11"/>
                <w:szCs w:val="11"/>
                <w:color w:val="auto"/>
              </w:rPr>
            </w:pPr>
          </w:p>
        </w:tc>
        <w:tc>
          <w:tcPr>
            <w:tcW w:w="100" w:type="dxa"/>
            <w:vAlign w:val="bottom"/>
            <w:tcBorders>
              <w:bottom w:val="single" w:sz="8" w:color="424E6A"/>
              <w:right w:val="single" w:sz="8" w:color="424E6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62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Chris Chandler</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tcPr>
          <w:p>
            <w:pPr>
              <w:spacing w:after="0"/>
              <w:rPr>
                <w:sz w:val="14"/>
                <w:szCs w:val="14"/>
                <w:color w:val="auto"/>
              </w:rPr>
            </w:pP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gridSpan w:val="2"/>
          </w:tcPr>
          <w:p>
            <w:pPr>
              <w:jc w:val="right"/>
              <w:spacing w:after="0" w:line="169" w:lineRule="exact"/>
              <w:rPr>
                <w:sz w:val="20"/>
                <w:szCs w:val="20"/>
                <w:color w:val="auto"/>
              </w:rPr>
            </w:pPr>
            <w:r>
              <w:rPr>
                <w:rFonts w:ascii="Arial" w:cs="Arial" w:eastAsia="Arial" w:hAnsi="Arial"/>
                <w:sz w:val="15"/>
                <w:szCs w:val="15"/>
                <w:color w:val="auto"/>
              </w:rPr>
              <w:t>25,150</w:t>
            </w:r>
            <w:r>
              <w:rPr>
                <w:rFonts w:ascii="Arial" w:cs="Arial" w:eastAsia="Arial" w:hAnsi="Arial"/>
                <w:sz w:val="19"/>
                <w:szCs w:val="19"/>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5"/>
              <w:spacing w:after="0" w:line="169" w:lineRule="exact"/>
              <w:rPr>
                <w:sz w:val="20"/>
                <w:szCs w:val="20"/>
                <w:color w:val="auto"/>
              </w:rPr>
            </w:pPr>
            <w:r>
              <w:rPr>
                <w:rFonts w:ascii="Arial" w:cs="Arial" w:eastAsia="Arial" w:hAnsi="Arial"/>
                <w:sz w:val="18"/>
                <w:szCs w:val="18"/>
                <w:color w:val="auto"/>
              </w:rPr>
              <w:t>381,023</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3,787,500</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3,787,500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3"/>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(5)</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910,515</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3"/>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5"/>
              <w:spacing w:after="0"/>
              <w:rPr>
                <w:sz w:val="20"/>
                <w:szCs w:val="20"/>
                <w:color w:val="auto"/>
              </w:rPr>
            </w:pPr>
            <w:r>
              <w:rPr>
                <w:rFonts w:ascii="Arial" w:cs="Arial" w:eastAsia="Arial" w:hAnsi="Arial"/>
                <w:sz w:val="18"/>
                <w:szCs w:val="18"/>
                <w:color w:val="auto"/>
              </w:rPr>
              <w:t>910,515</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(7)</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1,353,653</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1,353,653</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ind w:left="180"/>
              <w:spacing w:after="0"/>
              <w:rPr>
                <w:sz w:val="20"/>
                <w:szCs w:val="20"/>
                <w:color w:val="auto"/>
              </w:rPr>
            </w:pPr>
            <w:r>
              <w:rPr>
                <w:rFonts w:ascii="Arial" w:cs="Arial" w:eastAsia="Arial" w:hAnsi="Arial"/>
                <w:sz w:val="18"/>
                <w:szCs w:val="18"/>
                <w:color w:val="auto"/>
              </w:rPr>
              <w:t>​ 65,825</w:t>
            </w:r>
          </w:p>
        </w:tc>
        <w:tc>
          <w:tcPr>
            <w:tcW w:w="160" w:type="dxa"/>
            <w:vAlign w:val="bottom"/>
          </w:tcPr>
          <w:p>
            <w:pPr>
              <w:jc w:val="right"/>
              <w:spacing w:after="0" w:line="88" w:lineRule="exact"/>
              <w:rPr>
                <w:sz w:val="20"/>
                <w:szCs w:val="20"/>
                <w:color w:val="auto"/>
              </w:rPr>
            </w:pPr>
            <w:r>
              <w:rPr>
                <w:rFonts w:ascii="Arial" w:cs="Arial" w:eastAsia="Arial" w:hAnsi="Arial"/>
                <w:sz w:val="9"/>
                <w:szCs w:val="9"/>
                <w:color w:val="auto"/>
              </w:rPr>
              <w:t>(9)</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997,249</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ind w:left="160"/>
              <w:spacing w:after="0"/>
              <w:rPr>
                <w:sz w:val="20"/>
                <w:szCs w:val="20"/>
                <w:color w:val="auto"/>
              </w:rPr>
            </w:pPr>
            <w:r>
              <w:rPr>
                <w:rFonts w:ascii="Arial" w:cs="Arial" w:eastAsia="Arial" w:hAnsi="Arial"/>
                <w:sz w:val="18"/>
                <w:szCs w:val="18"/>
                <w:color w:val="auto"/>
              </w:rPr>
              <w:t>​ 65,825</w:t>
            </w:r>
          </w:p>
        </w:tc>
        <w:tc>
          <w:tcPr>
            <w:tcW w:w="340" w:type="dxa"/>
            <w:vAlign w:val="bottom"/>
            <w:tcBorders>
              <w:right w:val="single" w:sz="8" w:color="424E6A"/>
            </w:tcBorders>
            <w:gridSpan w:val="2"/>
          </w:tcPr>
          <w:p>
            <w:pPr>
              <w:jc w:val="right"/>
              <w:ind w:right="58"/>
              <w:spacing w:after="0" w:line="88" w:lineRule="exact"/>
              <w:rPr>
                <w:sz w:val="20"/>
                <w:szCs w:val="20"/>
                <w:color w:val="auto"/>
              </w:rPr>
            </w:pPr>
            <w:r>
              <w:rPr>
                <w:rFonts w:ascii="Arial" w:cs="Arial" w:eastAsia="Arial" w:hAnsi="Arial"/>
                <w:sz w:val="9"/>
                <w:szCs w:val="9"/>
                <w:color w:val="auto"/>
              </w:rPr>
              <w:t>(10)</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5"/>
              <w:spacing w:after="0"/>
              <w:rPr>
                <w:sz w:val="20"/>
                <w:szCs w:val="20"/>
                <w:color w:val="auto"/>
              </w:rPr>
            </w:pPr>
            <w:r>
              <w:rPr>
                <w:rFonts w:ascii="Arial" w:cs="Arial" w:eastAsia="Arial" w:hAnsi="Arial"/>
                <w:sz w:val="18"/>
                <w:szCs w:val="18"/>
                <w:color w:val="auto"/>
              </w:rPr>
              <w:t>997,249</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160" w:type="dxa"/>
            <w:vAlign w:val="bottom"/>
            <w:tcBorders>
              <w:left w:val="single" w:sz="8" w:color="424E6A"/>
              <w:bottom w:val="single" w:sz="8" w:color="424E6A"/>
            </w:tcBorders>
            <w:vMerge w:val="continue"/>
          </w:tcPr>
          <w:p>
            <w:pPr>
              <w:spacing w:after="0"/>
              <w:rPr>
                <w:sz w:val="11"/>
                <w:szCs w:val="11"/>
                <w:color w:val="auto"/>
              </w:rPr>
            </w:pPr>
          </w:p>
        </w:tc>
        <w:tc>
          <w:tcPr>
            <w:tcW w:w="96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4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220" w:type="dxa"/>
            <w:vAlign w:val="bottom"/>
            <w:tcBorders>
              <w:bottom w:val="single" w:sz="8" w:color="424E6A"/>
            </w:tcBorders>
            <w:vMerge w:val="continue"/>
          </w:tcPr>
          <w:p>
            <w:pPr>
              <w:spacing w:after="0"/>
              <w:rPr>
                <w:sz w:val="11"/>
                <w:szCs w:val="11"/>
                <w:color w:val="auto"/>
              </w:rPr>
            </w:pPr>
          </w:p>
        </w:tc>
        <w:tc>
          <w:tcPr>
            <w:tcW w:w="7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2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tcPr>
          <w:p>
            <w:pPr>
              <w:spacing w:after="0" w:line="135" w:lineRule="exact"/>
              <w:rPr>
                <w:sz w:val="20"/>
                <w:szCs w:val="20"/>
                <w:color w:val="auto"/>
              </w:rPr>
            </w:pPr>
            <w:r>
              <w:rPr>
                <w:rFonts w:ascii="Arial" w:cs="Arial" w:eastAsia="Arial" w:hAnsi="Arial"/>
                <w:sz w:val="15"/>
                <w:szCs w:val="15"/>
                <w:color w:val="auto"/>
              </w:rPr>
              <w:t>​ ​</w:t>
            </w:r>
          </w:p>
        </w:tc>
        <w:tc>
          <w:tcPr>
            <w:tcW w:w="1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880" w:type="dxa"/>
            <w:vAlign w:val="bottom"/>
            <w:tcBorders>
              <w:bottom w:val="single" w:sz="8" w:color="424E6A"/>
            </w:tcBorders>
            <w:vMerge w:val="continue"/>
          </w:tcPr>
          <w:p>
            <w:pPr>
              <w:spacing w:after="0"/>
              <w:rPr>
                <w:sz w:val="11"/>
                <w:szCs w:val="11"/>
                <w:color w:val="auto"/>
              </w:rPr>
            </w:pPr>
          </w:p>
        </w:tc>
        <w:tc>
          <w:tcPr>
            <w:tcW w:w="100" w:type="dxa"/>
            <w:vAlign w:val="bottom"/>
            <w:tcBorders>
              <w:bottom w:val="single" w:sz="8" w:color="424E6A"/>
              <w:right w:val="single" w:sz="8" w:color="424E6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2160" w:type="dxa"/>
            <w:vAlign w:val="bottom"/>
            <w:tcBorders>
              <w:left w:val="single" w:sz="8" w:color="424E6A"/>
              <w:bottom w:val="single" w:sz="8" w:color="D9DCE1"/>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960" w:type="dxa"/>
            <w:vAlign w:val="bottom"/>
            <w:tcBorders>
              <w:bottom w:val="single" w:sz="8" w:color="D9DCE1"/>
              <w:right w:val="single" w:sz="8" w:color="424E6A"/>
            </w:tcBorders>
            <w:shd w:val="clear" w:color="auto" w:fill="D9DCE1"/>
          </w:tcPr>
          <w:p>
            <w:pPr>
              <w:ind w:left="8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w:t>
            </w:r>
          </w:p>
        </w:tc>
        <w:tc>
          <w:tcPr>
            <w:tcW w:w="260" w:type="dxa"/>
            <w:vAlign w:val="bottom"/>
            <w:tcBorders>
              <w:bottom w:val="single" w:sz="8" w:color="D9DCE1"/>
            </w:tcBorders>
            <w:shd w:val="clear" w:color="auto" w:fill="D9DCE1"/>
          </w:tcPr>
          <w:p>
            <w:pPr>
              <w:ind w:left="180"/>
              <w:spacing w:after="0"/>
              <w:rPr>
                <w:sz w:val="20"/>
                <w:szCs w:val="20"/>
                <w:color w:val="auto"/>
              </w:rPr>
            </w:pPr>
            <w:r>
              <w:rPr>
                <w:rFonts w:ascii="Arial" w:cs="Arial" w:eastAsia="Arial" w:hAnsi="Arial"/>
                <w:sz w:val="14"/>
                <w:szCs w:val="14"/>
                <w:b w:val="1"/>
                <w:bCs w:val="1"/>
                <w:color w:val="FFFFFF"/>
              </w:rPr>
              <w:t>​</w:t>
            </w:r>
          </w:p>
        </w:tc>
        <w:tc>
          <w:tcPr>
            <w:tcW w:w="58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 ​</w:t>
            </w:r>
          </w:p>
        </w:tc>
        <w:tc>
          <w:tcPr>
            <w:tcW w:w="220" w:type="dxa"/>
            <w:vAlign w:val="bottom"/>
            <w:tcBorders>
              <w:bottom w:val="single" w:sz="8" w:color="D9DCE1"/>
            </w:tcBorders>
            <w:shd w:val="clear" w:color="auto" w:fill="D9DCE1"/>
          </w:tcPr>
          <w:p>
            <w:pPr>
              <w:ind w:left="80"/>
              <w:spacing w:after="0"/>
              <w:rPr>
                <w:sz w:val="20"/>
                <w:szCs w:val="20"/>
                <w:color w:val="auto"/>
              </w:rPr>
            </w:pPr>
            <w:r>
              <w:rPr>
                <w:rFonts w:ascii="Arial" w:cs="Arial" w:eastAsia="Arial" w:hAnsi="Arial"/>
                <w:sz w:val="14"/>
                <w:szCs w:val="14"/>
                <w:b w:val="1"/>
                <w:bCs w:val="1"/>
                <w:color w:val="FFFFFF"/>
              </w:rPr>
              <w:t>​ ​</w:t>
            </w:r>
          </w:p>
        </w:tc>
        <w:tc>
          <w:tcPr>
            <w:tcW w:w="7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4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200" w:type="dxa"/>
            <w:vAlign w:val="bottom"/>
            <w:tcBorders>
              <w:bottom w:val="single" w:sz="8" w:color="D9DCE1"/>
            </w:tcBorders>
            <w:shd w:val="clear" w:color="auto" w:fill="D9DCE1"/>
          </w:tcPr>
          <w:p>
            <w:pPr>
              <w:ind w:left="160"/>
              <w:spacing w:after="0"/>
              <w:rPr>
                <w:sz w:val="20"/>
                <w:szCs w:val="20"/>
                <w:color w:val="auto"/>
              </w:rPr>
            </w:pPr>
            <w:r>
              <w:rPr>
                <w:rFonts w:ascii="Arial" w:cs="Arial" w:eastAsia="Arial" w:hAnsi="Arial"/>
                <w:sz w:val="14"/>
                <w:szCs w:val="14"/>
                <w:b w:val="1"/>
                <w:bCs w:val="1"/>
                <w:color w:val="FFFFFF"/>
              </w:rPr>
              <w:t>​</w:t>
            </w:r>
          </w:p>
        </w:tc>
        <w:tc>
          <w:tcPr>
            <w:tcW w:w="620" w:type="dxa"/>
            <w:vAlign w:val="bottom"/>
            <w:tcBorders>
              <w:bottom w:val="single" w:sz="8" w:color="D9DCE1"/>
            </w:tcBorders>
            <w:shd w:val="clear" w:color="auto" w:fill="D9DCE1"/>
          </w:tcPr>
          <w:p>
            <w:pPr>
              <w:spacing w:after="0"/>
              <w:rPr>
                <w:sz w:val="24"/>
                <w:szCs w:val="24"/>
                <w:color w:val="auto"/>
              </w:rPr>
            </w:pPr>
          </w:p>
        </w:tc>
        <w:tc>
          <w:tcPr>
            <w:tcW w:w="160" w:type="dxa"/>
            <w:vAlign w:val="bottom"/>
            <w:tcBorders>
              <w:bottom w:val="single" w:sz="8" w:color="D9DCE1"/>
            </w:tcBorders>
            <w:shd w:val="clear" w:color="auto" w:fill="D9DCE1"/>
          </w:tcPr>
          <w:p>
            <w:pPr>
              <w:spacing w:after="0"/>
              <w:rPr>
                <w:sz w:val="24"/>
                <w:szCs w:val="24"/>
                <w:color w:val="auto"/>
              </w:rPr>
            </w:pPr>
          </w:p>
        </w:tc>
        <w:tc>
          <w:tcPr>
            <w:tcW w:w="180" w:type="dxa"/>
            <w:vAlign w:val="bottom"/>
            <w:tcBorders>
              <w:bottom w:val="single" w:sz="8" w:color="D9DCE1"/>
              <w:right w:val="single" w:sz="8" w:color="424E6A"/>
            </w:tcBorders>
            <w:shd w:val="clear" w:color="auto" w:fill="D9DCE1"/>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tcBorders>
              <w:bottom w:val="single" w:sz="8" w:color="D9DCE1"/>
            </w:tcBorders>
            <w:shd w:val="clear" w:color="auto" w:fill="D9DCE1"/>
          </w:tcPr>
          <w:p>
            <w:pPr>
              <w:ind w:left="60"/>
              <w:spacing w:after="0"/>
              <w:rPr>
                <w:sz w:val="20"/>
                <w:szCs w:val="20"/>
                <w:color w:val="auto"/>
              </w:rPr>
            </w:pPr>
            <w:r>
              <w:rPr>
                <w:rFonts w:ascii="Arial" w:cs="Arial" w:eastAsia="Arial" w:hAnsi="Arial"/>
                <w:sz w:val="14"/>
                <w:szCs w:val="14"/>
                <w:b w:val="1"/>
                <w:bCs w:val="1"/>
                <w:color w:val="FFFFFF"/>
              </w:rPr>
              <w:t>​</w:t>
            </w:r>
          </w:p>
        </w:tc>
        <w:tc>
          <w:tcPr>
            <w:tcW w:w="180" w:type="dxa"/>
            <w:vAlign w:val="bottom"/>
            <w:tcBorders>
              <w:bottom w:val="single" w:sz="8" w:color="D9DCE1"/>
            </w:tcBorders>
            <w:shd w:val="clear" w:color="auto" w:fill="D9DCE1"/>
          </w:tcPr>
          <w:p>
            <w:pPr>
              <w:ind w:left="120"/>
              <w:spacing w:after="0"/>
              <w:rPr>
                <w:sz w:val="20"/>
                <w:szCs w:val="20"/>
                <w:color w:val="auto"/>
              </w:rPr>
            </w:pPr>
            <w:r>
              <w:rPr>
                <w:rFonts w:ascii="Arial" w:cs="Arial" w:eastAsia="Arial" w:hAnsi="Arial"/>
                <w:sz w:val="14"/>
                <w:szCs w:val="14"/>
                <w:b w:val="1"/>
                <w:bCs w:val="1"/>
                <w:color w:val="FFFFFF"/>
              </w:rPr>
              <w:t>​</w:t>
            </w:r>
          </w:p>
        </w:tc>
        <w:tc>
          <w:tcPr>
            <w:tcW w:w="880" w:type="dxa"/>
            <w:vAlign w:val="bottom"/>
            <w:tcBorders>
              <w:bottom w:val="single" w:sz="8" w:color="D9DCE1"/>
            </w:tcBorders>
            <w:shd w:val="clear" w:color="auto" w:fill="D9DCE1"/>
          </w:tcPr>
          <w:p>
            <w:pPr>
              <w:spacing w:after="0"/>
              <w:rPr>
                <w:sz w:val="24"/>
                <w:szCs w:val="24"/>
                <w:color w:val="auto"/>
              </w:rPr>
            </w:pPr>
          </w:p>
        </w:tc>
        <w:tc>
          <w:tcPr>
            <w:tcW w:w="100" w:type="dxa"/>
            <w:vAlign w:val="bottom"/>
            <w:tcBorders>
              <w:bottom w:val="single" w:sz="8" w:color="D9DCE1"/>
              <w:right w:val="single" w:sz="8" w:color="424E6A"/>
            </w:tcBorders>
            <w:shd w:val="clear" w:color="auto" w:fill="D9DCE1"/>
          </w:tcPr>
          <w:p>
            <w:pPr>
              <w:ind w:left="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9"/>
        </w:trPr>
        <w:tc>
          <w:tcPr>
            <w:tcW w:w="2160" w:type="dxa"/>
            <w:vAlign w:val="bottom"/>
            <w:tcBorders>
              <w:top w:val="single" w:sz="8" w:color="424E6A"/>
              <w:left w:val="single" w:sz="8" w:color="424E6A"/>
            </w:tcBorders>
          </w:tcPr>
          <w:p>
            <w:pPr>
              <w:ind w:left="60"/>
              <w:spacing w:after="0" w:line="169" w:lineRule="exact"/>
              <w:rPr>
                <w:sz w:val="20"/>
                <w:szCs w:val="20"/>
                <w:color w:val="auto"/>
              </w:rPr>
            </w:pPr>
            <w:r>
              <w:rPr>
                <w:rFonts w:ascii="Arial" w:cs="Arial" w:eastAsia="Arial" w:hAnsi="Arial"/>
                <w:sz w:val="18"/>
                <w:szCs w:val="18"/>
                <w:color w:val="auto"/>
              </w:rPr>
              <w:t>Jeremy Goebel</w:t>
            </w:r>
          </w:p>
        </w:tc>
        <w:tc>
          <w:tcPr>
            <w:tcW w:w="960" w:type="dxa"/>
            <w:vAlign w:val="bottom"/>
            <w:tcBorders>
              <w:top w:val="single" w:sz="8" w:color="424E6A"/>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424E6A"/>
            </w:tcBorders>
            <w:vMerge w:val="restart"/>
          </w:tcPr>
          <w:p>
            <w:pPr>
              <w:ind w:left="1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424E6A"/>
            </w:tcBorders>
          </w:tcPr>
          <w:p>
            <w:pPr>
              <w:spacing w:after="0"/>
              <w:rPr>
                <w:sz w:val="14"/>
                <w:szCs w:val="14"/>
                <w:color w:val="auto"/>
              </w:rPr>
            </w:pPr>
          </w:p>
        </w:tc>
        <w:tc>
          <w:tcPr>
            <w:tcW w:w="18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top w:val="single" w:sz="8" w:color="424E6A"/>
            </w:tcBorders>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top w:val="single" w:sz="8" w:color="424E6A"/>
            </w:tcBorders>
          </w:tcPr>
          <w:p>
            <w:pPr>
              <w:jc w:val="right"/>
              <w:spacing w:after="0" w:line="169"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424E6A"/>
            </w:tcBorders>
            <w:gridSpan w:val="2"/>
          </w:tcPr>
          <w:p>
            <w:pPr>
              <w:jc w:val="right"/>
              <w:spacing w:after="0" w:line="169" w:lineRule="exact"/>
              <w:rPr>
                <w:sz w:val="20"/>
                <w:szCs w:val="20"/>
                <w:color w:val="auto"/>
              </w:rPr>
            </w:pPr>
            <w:r>
              <w:rPr>
                <w:rFonts w:ascii="Arial" w:cs="Arial" w:eastAsia="Arial" w:hAnsi="Arial"/>
                <w:sz w:val="15"/>
                <w:szCs w:val="15"/>
                <w:color w:val="auto"/>
              </w:rPr>
              <w:t>25,150</w:t>
            </w:r>
            <w:r>
              <w:rPr>
                <w:rFonts w:ascii="Arial" w:cs="Arial" w:eastAsia="Arial" w:hAnsi="Arial"/>
                <w:sz w:val="19"/>
                <w:szCs w:val="19"/>
                <w:color w:val="auto"/>
                <w:vertAlign w:val="superscript"/>
              </w:rPr>
              <w:t>(3)</w:t>
            </w:r>
          </w:p>
        </w:tc>
        <w:tc>
          <w:tcPr>
            <w:tcW w:w="180" w:type="dxa"/>
            <w:vAlign w:val="bottom"/>
            <w:tcBorders>
              <w:top w:val="single" w:sz="8" w:color="424E6A"/>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24E6A"/>
            </w:tcBorders>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424E6A"/>
            </w:tcBorders>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424E6A"/>
            </w:tcBorders>
          </w:tcPr>
          <w:p>
            <w:pPr>
              <w:jc w:val="right"/>
              <w:ind w:right="35"/>
              <w:spacing w:after="0" w:line="169" w:lineRule="exact"/>
              <w:rPr>
                <w:sz w:val="20"/>
                <w:szCs w:val="20"/>
                <w:color w:val="auto"/>
              </w:rPr>
            </w:pPr>
            <w:r>
              <w:rPr>
                <w:rFonts w:ascii="Arial" w:cs="Arial" w:eastAsia="Arial" w:hAnsi="Arial"/>
                <w:sz w:val="18"/>
                <w:szCs w:val="18"/>
                <w:color w:val="auto"/>
              </w:rPr>
              <w:t>381,023</w:t>
            </w:r>
          </w:p>
        </w:tc>
        <w:tc>
          <w:tcPr>
            <w:tcW w:w="100" w:type="dxa"/>
            <w:vAlign w:val="bottom"/>
            <w:tcBorders>
              <w:top w:val="single" w:sz="8" w:color="424E6A"/>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tcPr>
          <w:p>
            <w:pPr>
              <w:ind w:left="40"/>
              <w:spacing w:after="0" w:line="54" w:lineRule="exact"/>
              <w:rPr>
                <w:sz w:val="20"/>
                <w:szCs w:val="20"/>
                <w:color w:val="auto"/>
              </w:rPr>
            </w:pPr>
            <w:r>
              <w:rPr>
                <w:rFonts w:ascii="Arial" w:cs="Arial" w:eastAsia="Arial" w:hAnsi="Arial"/>
                <w:sz w:val="6"/>
                <w:szCs w:val="6"/>
                <w:color w:val="auto"/>
              </w:rPr>
              <w:t>​</w:t>
            </w: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vMerge w:val="continue"/>
          </w:tcPr>
          <w:p>
            <w:pPr>
              <w:spacing w:after="0"/>
              <w:rPr>
                <w:sz w:val="4"/>
                <w:szCs w:val="4"/>
                <w:color w:val="auto"/>
              </w:rPr>
            </w:pP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vMerge w:val="continue"/>
          </w:tcPr>
          <w:p>
            <w:pPr>
              <w:spacing w:after="0"/>
              <w:rPr>
                <w:sz w:val="4"/>
                <w:szCs w:val="4"/>
                <w:color w:val="auto"/>
              </w:rPr>
            </w:pP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3,787,500</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250,000</w:t>
            </w:r>
            <w:r>
              <w:rPr>
                <w:rFonts w:ascii="Arial" w:cs="Arial" w:eastAsia="Arial" w:hAnsi="Arial"/>
                <w:sz w:val="19"/>
                <w:szCs w:val="19"/>
                <w:color w:val="auto"/>
                <w:vertAlign w:val="superscript"/>
              </w:rPr>
              <w:t>(4)</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3,787,500</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tcPr>
          <w:p>
            <w:pPr>
              <w:ind w:left="180"/>
              <w:spacing w:after="0" w:line="54" w:lineRule="exact"/>
              <w:rPr>
                <w:sz w:val="20"/>
                <w:szCs w:val="20"/>
                <w:color w:val="auto"/>
              </w:rPr>
            </w:pPr>
            <w:r>
              <w:rPr>
                <w:rFonts w:ascii="Arial" w:cs="Arial" w:eastAsia="Arial" w:hAnsi="Arial"/>
                <w:sz w:val="6"/>
                <w:szCs w:val="6"/>
                <w:color w:val="auto"/>
              </w:rPr>
              <w:t>​</w:t>
            </w: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tcPr>
          <w:p>
            <w:pPr>
              <w:ind w:left="160"/>
              <w:spacing w:after="0" w:line="54" w:lineRule="exact"/>
              <w:rPr>
                <w:sz w:val="20"/>
                <w:szCs w:val="20"/>
                <w:color w:val="auto"/>
              </w:rPr>
            </w:pPr>
            <w:r>
              <w:rPr>
                <w:rFonts w:ascii="Arial" w:cs="Arial" w:eastAsia="Arial" w:hAnsi="Arial"/>
                <w:sz w:val="6"/>
                <w:szCs w:val="6"/>
                <w:color w:val="auto"/>
              </w:rPr>
              <w:t>​</w:t>
            </w: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424E6A"/>
              <w:right w:val="single" w:sz="8" w:color="424E6A"/>
            </w:tcBorders>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3"/>
          </w:tcPr>
          <w:p>
            <w:pPr>
              <w:ind w:left="18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(5)</w:t>
            </w:r>
          </w:p>
        </w:tc>
        <w:tc>
          <w:tcPr>
            <w:tcW w:w="18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910,515</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424E6A"/>
            </w:tcBorders>
            <w:gridSpan w:val="3"/>
          </w:tcPr>
          <w:p>
            <w:pPr>
              <w:ind w:left="160"/>
              <w:spacing w:after="0" w:line="223" w:lineRule="exact"/>
              <w:rPr>
                <w:sz w:val="20"/>
                <w:szCs w:val="20"/>
                <w:color w:val="auto"/>
              </w:rPr>
            </w:pPr>
            <w:r>
              <w:rPr>
                <w:rFonts w:ascii="Arial" w:cs="Arial" w:eastAsia="Arial" w:hAnsi="Arial"/>
                <w:sz w:val="18"/>
                <w:szCs w:val="18"/>
                <w:color w:val="auto"/>
              </w:rPr>
              <w:t>​ 60,100</w:t>
            </w:r>
            <w:r>
              <w:rPr>
                <w:rFonts w:ascii="Arial" w:cs="Arial" w:eastAsia="Arial" w:hAnsi="Arial"/>
                <w:sz w:val="23"/>
                <w:szCs w:val="23"/>
                <w:color w:val="auto"/>
                <w:vertAlign w:val="superscript"/>
              </w:rPr>
              <w:t>(6)</w:t>
            </w:r>
          </w:p>
        </w:tc>
        <w:tc>
          <w:tcPr>
            <w:tcW w:w="180" w:type="dxa"/>
            <w:vAlign w:val="bottom"/>
            <w:tcBorders>
              <w:bottom w:val="single" w:sz="8" w:color="424E6A"/>
              <w:right w:val="single" w:sz="8" w:color="424E6A"/>
            </w:tcBorders>
          </w:tcPr>
          <w:p>
            <w:pPr>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424E6A"/>
            </w:tcBorders>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424E6A"/>
            </w:tcBorders>
          </w:tcPr>
          <w:p>
            <w:pPr>
              <w:jc w:val="right"/>
              <w:ind w:right="35"/>
              <w:spacing w:after="0"/>
              <w:rPr>
                <w:sz w:val="20"/>
                <w:szCs w:val="20"/>
                <w:color w:val="auto"/>
              </w:rPr>
            </w:pPr>
            <w:r>
              <w:rPr>
                <w:rFonts w:ascii="Arial" w:cs="Arial" w:eastAsia="Arial" w:hAnsi="Arial"/>
                <w:sz w:val="18"/>
                <w:szCs w:val="18"/>
                <w:color w:val="auto"/>
              </w:rPr>
              <w:t>910,515</w:t>
            </w:r>
          </w:p>
        </w:tc>
        <w:tc>
          <w:tcPr>
            <w:tcW w:w="10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(7)</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1,353,653</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89,350</w:t>
            </w:r>
            <w:r>
              <w:rPr>
                <w:rFonts w:ascii="Arial" w:cs="Arial" w:eastAsia="Arial" w:hAnsi="Arial"/>
                <w:sz w:val="19"/>
                <w:szCs w:val="19"/>
                <w:color w:val="auto"/>
                <w:vertAlign w:val="superscript"/>
              </w:rPr>
              <w:t>(8)</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5"/>
              <w:spacing w:after="0" w:line="169" w:lineRule="exact"/>
              <w:rPr>
                <w:sz w:val="20"/>
                <w:szCs w:val="20"/>
                <w:color w:val="auto"/>
              </w:rPr>
            </w:pPr>
            <w:r>
              <w:rPr>
                <w:rFonts w:ascii="Arial" w:cs="Arial" w:eastAsia="Arial" w:hAnsi="Arial"/>
                <w:sz w:val="18"/>
                <w:szCs w:val="18"/>
                <w:color w:val="auto"/>
              </w:rPr>
              <w:t>1,353,653</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2160" w:type="dxa"/>
            <w:vAlign w:val="bottom"/>
            <w:tcBorders>
              <w:left w:val="single" w:sz="8" w:color="424E6A"/>
              <w:bottom w:val="single" w:sz="8" w:color="424E6A"/>
            </w:tcBorders>
            <w:vMerge w:val="continue"/>
          </w:tcPr>
          <w:p>
            <w:pPr>
              <w:spacing w:after="0"/>
              <w:rPr>
                <w:sz w:val="4"/>
                <w:szCs w:val="4"/>
                <w:color w:val="auto"/>
              </w:rPr>
            </w:pPr>
          </w:p>
        </w:tc>
        <w:tc>
          <w:tcPr>
            <w:tcW w:w="96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60" w:type="dxa"/>
            <w:vAlign w:val="bottom"/>
            <w:tcBorders>
              <w:bottom w:val="single" w:sz="8" w:color="424E6A"/>
            </w:tcBorders>
            <w:vMerge w:val="continue"/>
          </w:tcPr>
          <w:p>
            <w:pPr>
              <w:spacing w:after="0"/>
              <w:rPr>
                <w:sz w:val="4"/>
                <w:szCs w:val="4"/>
                <w:color w:val="auto"/>
              </w:rPr>
            </w:pPr>
          </w:p>
        </w:tc>
        <w:tc>
          <w:tcPr>
            <w:tcW w:w="58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220" w:type="dxa"/>
            <w:vAlign w:val="bottom"/>
            <w:tcBorders>
              <w:bottom w:val="single" w:sz="8" w:color="424E6A"/>
            </w:tcBorders>
          </w:tcPr>
          <w:p>
            <w:pPr>
              <w:ind w:left="80"/>
              <w:spacing w:after="0" w:line="54" w:lineRule="exact"/>
              <w:rPr>
                <w:sz w:val="20"/>
                <w:szCs w:val="20"/>
                <w:color w:val="auto"/>
              </w:rPr>
            </w:pPr>
            <w:r>
              <w:rPr>
                <w:rFonts w:ascii="Arial" w:cs="Arial" w:eastAsia="Arial" w:hAnsi="Arial"/>
                <w:sz w:val="6"/>
                <w:szCs w:val="6"/>
                <w:color w:val="auto"/>
              </w:rPr>
              <w:t>​ ​</w:t>
            </w:r>
          </w:p>
        </w:tc>
        <w:tc>
          <w:tcPr>
            <w:tcW w:w="7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40" w:type="dxa"/>
            <w:vAlign w:val="bottom"/>
            <w:tcBorders>
              <w:bottom w:val="single" w:sz="8" w:color="424E6A"/>
            </w:tcBorders>
            <w:vMerge w:val="continue"/>
          </w:tcPr>
          <w:p>
            <w:pPr>
              <w:spacing w:after="0"/>
              <w:rPr>
                <w:sz w:val="4"/>
                <w:szCs w:val="4"/>
                <w:color w:val="auto"/>
              </w:rPr>
            </w:pPr>
          </w:p>
        </w:tc>
        <w:tc>
          <w:tcPr>
            <w:tcW w:w="200" w:type="dxa"/>
            <w:vAlign w:val="bottom"/>
            <w:tcBorders>
              <w:bottom w:val="single" w:sz="8" w:color="424E6A"/>
            </w:tcBorders>
            <w:vMerge w:val="continue"/>
          </w:tcPr>
          <w:p>
            <w:pPr>
              <w:spacing w:after="0"/>
              <w:rPr>
                <w:sz w:val="4"/>
                <w:szCs w:val="4"/>
                <w:color w:val="auto"/>
              </w:rPr>
            </w:pPr>
          </w:p>
        </w:tc>
        <w:tc>
          <w:tcPr>
            <w:tcW w:w="620" w:type="dxa"/>
            <w:vAlign w:val="bottom"/>
            <w:tcBorders>
              <w:bottom w:val="single" w:sz="8" w:color="424E6A"/>
            </w:tcBorders>
          </w:tcPr>
          <w:p>
            <w:pPr>
              <w:spacing w:after="0"/>
              <w:rPr>
                <w:sz w:val="4"/>
                <w:szCs w:val="4"/>
                <w:color w:val="auto"/>
              </w:rPr>
            </w:pPr>
          </w:p>
        </w:tc>
        <w:tc>
          <w:tcPr>
            <w:tcW w:w="160" w:type="dxa"/>
            <w:vAlign w:val="bottom"/>
            <w:tcBorders>
              <w:bottom w:val="single" w:sz="8" w:color="424E6A"/>
            </w:tcBorders>
          </w:tcPr>
          <w:p>
            <w:pPr>
              <w:spacing w:after="0"/>
              <w:rPr>
                <w:sz w:val="4"/>
                <w:szCs w:val="4"/>
                <w:color w:val="auto"/>
              </w:rPr>
            </w:pPr>
          </w:p>
        </w:tc>
        <w:tc>
          <w:tcPr>
            <w:tcW w:w="180" w:type="dxa"/>
            <w:vAlign w:val="bottom"/>
            <w:tcBorders>
              <w:bottom w:val="single" w:sz="8" w:color="424E6A"/>
              <w:right w:val="single" w:sz="8" w:color="424E6A"/>
            </w:tcBorders>
            <w:vMerge w:val="continue"/>
          </w:tcPr>
          <w:p>
            <w:pPr>
              <w:spacing w:after="0"/>
              <w:rPr>
                <w:sz w:val="4"/>
                <w:szCs w:val="4"/>
                <w:color w:val="auto"/>
              </w:rPr>
            </w:pPr>
          </w:p>
        </w:tc>
        <w:tc>
          <w:tcPr>
            <w:tcW w:w="160" w:type="dxa"/>
            <w:vAlign w:val="bottom"/>
            <w:tcBorders>
              <w:bottom w:val="single" w:sz="8" w:color="424E6A"/>
            </w:tcBorders>
            <w:vMerge w:val="continue"/>
          </w:tcPr>
          <w:p>
            <w:pPr>
              <w:spacing w:after="0"/>
              <w:rPr>
                <w:sz w:val="4"/>
                <w:szCs w:val="4"/>
                <w:color w:val="auto"/>
              </w:rPr>
            </w:pPr>
          </w:p>
        </w:tc>
        <w:tc>
          <w:tcPr>
            <w:tcW w:w="180" w:type="dxa"/>
            <w:vAlign w:val="bottom"/>
            <w:tcBorders>
              <w:bottom w:val="single" w:sz="8" w:color="424E6A"/>
            </w:tcBorders>
          </w:tcPr>
          <w:p>
            <w:pPr>
              <w:ind w:left="120"/>
              <w:spacing w:after="0" w:line="54" w:lineRule="exact"/>
              <w:rPr>
                <w:sz w:val="20"/>
                <w:szCs w:val="20"/>
                <w:color w:val="auto"/>
              </w:rPr>
            </w:pPr>
            <w:r>
              <w:rPr>
                <w:rFonts w:ascii="Arial" w:cs="Arial" w:eastAsia="Arial" w:hAnsi="Arial"/>
                <w:sz w:val="6"/>
                <w:szCs w:val="6"/>
                <w:color w:val="auto"/>
              </w:rPr>
              <w:t>​</w:t>
            </w:r>
          </w:p>
        </w:tc>
        <w:tc>
          <w:tcPr>
            <w:tcW w:w="880" w:type="dxa"/>
            <w:vAlign w:val="bottom"/>
            <w:tcBorders>
              <w:bottom w:val="single" w:sz="8" w:color="424E6A"/>
            </w:tcBorders>
          </w:tcPr>
          <w:p>
            <w:pPr>
              <w:spacing w:after="0"/>
              <w:rPr>
                <w:sz w:val="4"/>
                <w:szCs w:val="4"/>
                <w:color w:val="auto"/>
              </w:rPr>
            </w:pPr>
          </w:p>
        </w:tc>
        <w:tc>
          <w:tcPr>
            <w:tcW w:w="100" w:type="dxa"/>
            <w:vAlign w:val="bottom"/>
            <w:tcBorders>
              <w:bottom w:val="single" w:sz="8" w:color="424E6A"/>
              <w:right w:val="single" w:sz="8" w:color="424E6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160" w:type="dxa"/>
            <w:vAlign w:val="bottom"/>
            <w:tcBorders>
              <w:left w:val="single" w:sz="8" w:color="424E6A"/>
            </w:tcBorders>
            <w:vMerge w:val="restart"/>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424E6A"/>
            </w:tcBorders>
            <w:vMerge w:val="restart"/>
          </w:tcPr>
          <w:p>
            <w:pPr>
              <w:ind w:left="8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ind w:left="180"/>
              <w:spacing w:after="0"/>
              <w:rPr>
                <w:sz w:val="20"/>
                <w:szCs w:val="20"/>
                <w:color w:val="auto"/>
              </w:rPr>
            </w:pPr>
            <w:r>
              <w:rPr>
                <w:rFonts w:ascii="Arial" w:cs="Arial" w:eastAsia="Arial" w:hAnsi="Arial"/>
                <w:sz w:val="18"/>
                <w:szCs w:val="18"/>
                <w:color w:val="auto"/>
              </w:rPr>
              <w:t>​ 65,825</w:t>
            </w:r>
          </w:p>
        </w:tc>
        <w:tc>
          <w:tcPr>
            <w:tcW w:w="160" w:type="dxa"/>
            <w:vAlign w:val="bottom"/>
          </w:tcPr>
          <w:p>
            <w:pPr>
              <w:jc w:val="right"/>
              <w:spacing w:after="0" w:line="88" w:lineRule="exact"/>
              <w:rPr>
                <w:sz w:val="20"/>
                <w:szCs w:val="20"/>
                <w:color w:val="auto"/>
              </w:rPr>
            </w:pPr>
            <w:r>
              <w:rPr>
                <w:rFonts w:ascii="Arial" w:cs="Arial" w:eastAsia="Arial" w:hAnsi="Arial"/>
                <w:sz w:val="9"/>
                <w:szCs w:val="9"/>
                <w:color w:val="auto"/>
              </w:rPr>
              <w:t>(9)</w:t>
            </w:r>
          </w:p>
        </w:tc>
        <w:tc>
          <w:tcPr>
            <w:tcW w:w="18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 ​</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997,249</w:t>
            </w:r>
          </w:p>
        </w:tc>
        <w:tc>
          <w:tcPr>
            <w:tcW w:w="180" w:type="dxa"/>
            <w:vAlign w:val="bottom"/>
            <w:tcBorders>
              <w:right w:val="single" w:sz="8" w:color="424E6A"/>
            </w:tcBorders>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ind w:left="160"/>
              <w:spacing w:after="0"/>
              <w:rPr>
                <w:sz w:val="20"/>
                <w:szCs w:val="20"/>
                <w:color w:val="auto"/>
              </w:rPr>
            </w:pPr>
            <w:r>
              <w:rPr>
                <w:rFonts w:ascii="Arial" w:cs="Arial" w:eastAsia="Arial" w:hAnsi="Arial"/>
                <w:sz w:val="18"/>
                <w:szCs w:val="18"/>
                <w:color w:val="auto"/>
              </w:rPr>
              <w:t>​ 65,825</w:t>
            </w:r>
          </w:p>
        </w:tc>
        <w:tc>
          <w:tcPr>
            <w:tcW w:w="340" w:type="dxa"/>
            <w:vAlign w:val="bottom"/>
            <w:tcBorders>
              <w:right w:val="single" w:sz="8" w:color="424E6A"/>
            </w:tcBorders>
            <w:gridSpan w:val="2"/>
          </w:tcPr>
          <w:p>
            <w:pPr>
              <w:jc w:val="right"/>
              <w:ind w:right="58"/>
              <w:spacing w:after="0" w:line="88" w:lineRule="exact"/>
              <w:rPr>
                <w:sz w:val="20"/>
                <w:szCs w:val="20"/>
                <w:color w:val="auto"/>
              </w:rPr>
            </w:pPr>
            <w:r>
              <w:rPr>
                <w:rFonts w:ascii="Arial" w:cs="Arial" w:eastAsia="Arial" w:hAnsi="Arial"/>
                <w:sz w:val="9"/>
                <w:szCs w:val="9"/>
                <w:color w:val="auto"/>
              </w:rPr>
              <w:t>(10)</w:t>
            </w: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5"/>
              <w:spacing w:after="0"/>
              <w:rPr>
                <w:sz w:val="20"/>
                <w:szCs w:val="20"/>
                <w:color w:val="auto"/>
              </w:rPr>
            </w:pPr>
            <w:r>
              <w:rPr>
                <w:rFonts w:ascii="Arial" w:cs="Arial" w:eastAsia="Arial" w:hAnsi="Arial"/>
                <w:sz w:val="18"/>
                <w:szCs w:val="18"/>
                <w:color w:val="auto"/>
              </w:rPr>
              <w:t>997,249</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160" w:type="dxa"/>
            <w:vAlign w:val="bottom"/>
            <w:tcBorders>
              <w:left w:val="single" w:sz="8" w:color="424E6A"/>
              <w:bottom w:val="single" w:sz="8" w:color="424E6A"/>
            </w:tcBorders>
            <w:vMerge w:val="continue"/>
          </w:tcPr>
          <w:p>
            <w:pPr>
              <w:spacing w:after="0"/>
              <w:rPr>
                <w:sz w:val="11"/>
                <w:szCs w:val="11"/>
                <w:color w:val="auto"/>
              </w:rPr>
            </w:pPr>
          </w:p>
        </w:tc>
        <w:tc>
          <w:tcPr>
            <w:tcW w:w="96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4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220" w:type="dxa"/>
            <w:vAlign w:val="bottom"/>
            <w:tcBorders>
              <w:bottom w:val="single" w:sz="8" w:color="424E6A"/>
            </w:tcBorders>
            <w:vMerge w:val="continue"/>
          </w:tcPr>
          <w:p>
            <w:pPr>
              <w:spacing w:after="0"/>
              <w:rPr>
                <w:sz w:val="11"/>
                <w:szCs w:val="11"/>
                <w:color w:val="auto"/>
              </w:rPr>
            </w:pPr>
          </w:p>
        </w:tc>
        <w:tc>
          <w:tcPr>
            <w:tcW w:w="7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right w:val="single" w:sz="8" w:color="424E6A"/>
            </w:tcBorders>
            <w:vMerge w:val="continue"/>
          </w:tcPr>
          <w:p>
            <w:pPr>
              <w:spacing w:after="0"/>
              <w:rPr>
                <w:sz w:val="11"/>
                <w:szCs w:val="11"/>
                <w:color w:val="auto"/>
              </w:rPr>
            </w:pPr>
          </w:p>
        </w:tc>
        <w:tc>
          <w:tcPr>
            <w:tcW w:w="140" w:type="dxa"/>
            <w:vAlign w:val="bottom"/>
            <w:tcBorders>
              <w:bottom w:val="single" w:sz="8" w:color="424E6A"/>
            </w:tcBorders>
            <w:vMerge w:val="continue"/>
          </w:tcPr>
          <w:p>
            <w:pPr>
              <w:spacing w:after="0"/>
              <w:rPr>
                <w:sz w:val="11"/>
                <w:szCs w:val="11"/>
                <w:color w:val="auto"/>
              </w:rPr>
            </w:pPr>
          </w:p>
        </w:tc>
        <w:tc>
          <w:tcPr>
            <w:tcW w:w="820" w:type="dxa"/>
            <w:vAlign w:val="bottom"/>
            <w:tcBorders>
              <w:bottom w:val="single" w:sz="8" w:color="424E6A"/>
            </w:tcBorders>
            <w:gridSpan w:val="2"/>
            <w:vMerge w:val="continue"/>
          </w:tcPr>
          <w:p>
            <w:pPr>
              <w:spacing w:after="0"/>
              <w:rPr>
                <w:sz w:val="11"/>
                <w:szCs w:val="11"/>
                <w:color w:val="auto"/>
              </w:rPr>
            </w:pPr>
          </w:p>
        </w:tc>
        <w:tc>
          <w:tcPr>
            <w:tcW w:w="160" w:type="dxa"/>
            <w:vAlign w:val="bottom"/>
            <w:tcBorders>
              <w:bottom w:val="single" w:sz="8" w:color="424E6A"/>
            </w:tcBorders>
          </w:tcPr>
          <w:p>
            <w:pPr>
              <w:spacing w:after="0"/>
              <w:rPr>
                <w:sz w:val="11"/>
                <w:szCs w:val="11"/>
                <w:color w:val="auto"/>
              </w:rPr>
            </w:pPr>
          </w:p>
        </w:tc>
        <w:tc>
          <w:tcPr>
            <w:tcW w:w="180" w:type="dxa"/>
            <w:vAlign w:val="bottom"/>
            <w:tcBorders>
              <w:bottom w:val="single" w:sz="8" w:color="424E6A"/>
              <w:right w:val="single" w:sz="8" w:color="424E6A"/>
            </w:tcBorders>
          </w:tcPr>
          <w:p>
            <w:pPr>
              <w:spacing w:after="0" w:line="135" w:lineRule="exact"/>
              <w:rPr>
                <w:sz w:val="20"/>
                <w:szCs w:val="20"/>
                <w:color w:val="auto"/>
              </w:rPr>
            </w:pPr>
            <w:r>
              <w:rPr>
                <w:rFonts w:ascii="Arial" w:cs="Arial" w:eastAsia="Arial" w:hAnsi="Arial"/>
                <w:sz w:val="15"/>
                <w:szCs w:val="15"/>
                <w:color w:val="auto"/>
              </w:rPr>
              <w:t>​ ​</w:t>
            </w:r>
          </w:p>
        </w:tc>
        <w:tc>
          <w:tcPr>
            <w:tcW w:w="160" w:type="dxa"/>
            <w:vAlign w:val="bottom"/>
            <w:tcBorders>
              <w:bottom w:val="single" w:sz="8" w:color="424E6A"/>
            </w:tcBorders>
            <w:vMerge w:val="continue"/>
          </w:tcPr>
          <w:p>
            <w:pPr>
              <w:spacing w:after="0"/>
              <w:rPr>
                <w:sz w:val="11"/>
                <w:szCs w:val="11"/>
                <w:color w:val="auto"/>
              </w:rPr>
            </w:pPr>
          </w:p>
        </w:tc>
        <w:tc>
          <w:tcPr>
            <w:tcW w:w="180" w:type="dxa"/>
            <w:vAlign w:val="bottom"/>
            <w:tcBorders>
              <w:bottom w:val="single" w:sz="8" w:color="424E6A"/>
            </w:tcBorders>
            <w:vMerge w:val="continue"/>
          </w:tcPr>
          <w:p>
            <w:pPr>
              <w:spacing w:after="0"/>
              <w:rPr>
                <w:sz w:val="11"/>
                <w:szCs w:val="11"/>
                <w:color w:val="auto"/>
              </w:rPr>
            </w:pPr>
          </w:p>
        </w:tc>
        <w:tc>
          <w:tcPr>
            <w:tcW w:w="880" w:type="dxa"/>
            <w:vAlign w:val="bottom"/>
            <w:tcBorders>
              <w:bottom w:val="single" w:sz="8" w:color="424E6A"/>
            </w:tcBorders>
            <w:vMerge w:val="continue"/>
          </w:tcPr>
          <w:p>
            <w:pPr>
              <w:spacing w:after="0"/>
              <w:rPr>
                <w:sz w:val="11"/>
                <w:szCs w:val="11"/>
                <w:color w:val="auto"/>
              </w:rPr>
            </w:pPr>
          </w:p>
        </w:tc>
        <w:tc>
          <w:tcPr>
            <w:tcW w:w="100" w:type="dxa"/>
            <w:vAlign w:val="bottom"/>
            <w:tcBorders>
              <w:bottom w:val="single" w:sz="8" w:color="424E6A"/>
              <w:right w:val="single" w:sz="8" w:color="424E6A"/>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-5811520</wp:posOffset>
            </wp:positionV>
            <wp:extent cx="26035" cy="1165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35" cy="1165860"/>
                    </a:xfrm>
                    <a:prstGeom prst="rect">
                      <a:avLst/>
                    </a:prstGeom>
                    <a:noFill/>
                  </pic:spPr>
                </pic:pic>
              </a:graphicData>
            </a:graphic>
          </wp:anchor>
        </w:drawing>
      </w:r>
    </w:p>
    <w:p>
      <w:pPr>
        <w:spacing w:after="0" w:line="42" w:lineRule="exact"/>
        <w:rPr>
          <w:sz w:val="20"/>
          <w:szCs w:val="20"/>
          <w:color w:val="auto"/>
        </w:rPr>
      </w:pPr>
    </w:p>
    <w:p>
      <w:pPr>
        <w:ind w:left="1620" w:right="579" w:hanging="360"/>
        <w:spacing w:after="0" w:line="228" w:lineRule="auto"/>
        <w:tabs>
          <w:tab w:leader="none" w:pos="16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Market value of phantom units reported in these columns is calculated by multiplying the closing market price ($15.15) of PAA’s common units on December 29, 2023 (the last trading day of the fiscal year) by the number of units. No discount is applied for remaining performance threshold or service period requirements.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19" w:hanging="360"/>
        <w:spacing w:after="0" w:line="245"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 (iii) immediately preceding, the applicable trailing four quarter period must begin on or after January 1, 2020.</w:t>
      </w:r>
    </w:p>
    <w:p>
      <w:pPr>
        <w:spacing w:after="0" w:line="41" w:lineRule="exact"/>
        <w:rPr>
          <w:rFonts w:ascii="Arial" w:cs="Arial" w:eastAsia="Arial" w:hAnsi="Arial"/>
          <w:sz w:val="27"/>
          <w:szCs w:val="27"/>
          <w:color w:val="auto"/>
          <w:vertAlign w:val="superscript"/>
        </w:rPr>
      </w:pPr>
    </w:p>
    <w:p>
      <w:pPr>
        <w:ind w:left="1620" w:right="439" w:hanging="360"/>
        <w:spacing w:after="0" w:line="238"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50% of phantom units granted in August 2019 that will vest on the first distribution date following PAA’s achievement of DCF per common unit of at least $2.65 on a trailing four quarter basis. The applicable trailing four quarter period for determining whether the requisite DCF per common unit has been achieved for vesting of such phantom units may not begin until after December 31, 2020. The associated DERs will vest on the first distribution date following January 1, 2021 on which PAA achieves DCF per common unit of at least $2.50 on a trailing four quarter basis. Any phantom units and associated DERs that have not vested by the August 2024 distribution date will expire at that time.</w:t>
      </w:r>
    </w:p>
    <w:p>
      <w:pPr>
        <w:spacing w:after="0" w:line="50" w:lineRule="exact"/>
        <w:rPr>
          <w:rFonts w:ascii="Arial" w:cs="Arial" w:eastAsia="Arial" w:hAnsi="Arial"/>
          <w:sz w:val="27"/>
          <w:szCs w:val="27"/>
          <w:color w:val="auto"/>
          <w:vertAlign w:val="superscript"/>
        </w:rPr>
      </w:pPr>
    </w:p>
    <w:p>
      <w:pPr>
        <w:ind w:left="1620" w:right="419" w:hanging="360"/>
        <w:spacing w:after="0" w:line="260"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common unit and CUE of at least $2.80 on a trailing four quarter basis, and (iii) 25% on the later of the August 2026 distribution date and the first distribution date following PAA’s achievement of DCF per common unit and CUE of at least $3.15 on a trailing four quarter basis. Vesting of a portion of the associated DERs was also tied to PAA’s achievement of specified DCF per common unit and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p>
    <w:p>
      <w:pPr>
        <w:spacing w:after="0" w:line="31" w:lineRule="exact"/>
        <w:rPr>
          <w:rFonts w:ascii="Arial" w:cs="Arial" w:eastAsia="Arial" w:hAnsi="Arial"/>
          <w:sz w:val="26"/>
          <w:szCs w:val="26"/>
          <w:color w:val="auto"/>
          <w:vertAlign w:val="superscript"/>
        </w:rPr>
      </w:pPr>
    </w:p>
    <w:p>
      <w:pPr>
        <w:ind w:left="1620" w:right="499" w:hanging="360"/>
        <w:spacing w:after="0" w:line="228" w:lineRule="auto"/>
        <w:tabs>
          <w:tab w:leader="none" w:pos="16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2021 that will vest on the August 2024 distribution date. The associated DERs accrued for the first year and such accrued amount was paid in cash in a lump sum on the August 2022 distribution date; beginning in November 2022, the associated DERs began being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99" w:hanging="360"/>
        <w:spacing w:after="0" w:line="253" w:lineRule="auto"/>
        <w:tabs>
          <w:tab w:leader="none" w:pos="1620" w:val="left"/>
        </w:tabs>
        <w:numPr>
          <w:ilvl w:val="0"/>
          <w:numId w:val="62"/>
        </w:numPr>
        <w:rPr>
          <w:rFonts w:ascii="Arial" w:cs="Arial" w:eastAsia="Arial" w:hAnsi="Arial"/>
          <w:sz w:val="26"/>
          <w:szCs w:val="26"/>
          <w:color w:val="auto"/>
          <w:vertAlign w:val="superscript"/>
        </w:rPr>
      </w:pPr>
      <w:r>
        <w:rPr>
          <w:rFonts w:ascii="Arial" w:cs="Arial" w:eastAsia="Arial" w:hAnsi="Arial"/>
          <w:sz w:val="17"/>
          <w:szCs w:val="17"/>
          <w:color w:val="auto"/>
        </w:rPr>
        <w:t>Represents the target number of performance-based phantom units granted in August 2021 that will potentially vest on the August 2024 distribution date at a scaled payout range of between 0% and 200% based on: (i) with respect to 50% of the performance-based award, PAA’s TSR over the three-year period ending June 30, 2024 compared to the TSR of the TSR Comparator Peer Group (payout may be reduced if absolute TSR is negative); and (ii) with respect to the other 50% of the performance-based award, PAA achieving cumulative DCF per CUE of $6.00 over the three-year period ending June 30, 2024 (payout may be decreased or increased by 50 gross percentage points (but not above 200%) based on PAA’s leverage ratio as of June 30, 2024 compared to the</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target leverage ratio set forth in PAA’s multi-year plan as of August 2021). As of December 31,</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2023, the estimated payout percentage for the TSR portion of these performance-based phantom</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units was approximately 157% and the estimated payout percentage for the DCF/CUE portion was</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approximately 200%. DERs will accrue during the three-year performance period and be paid in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in a lump sum on the August 2024 distribution date with respect to the number of</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phantom units, if any, that vest on such date. Any phantom units and associated DERs that have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vested by the August 2024 distribution date will expire at that time.</w:t>
      </w:r>
    </w:p>
    <w:p>
      <w:pPr>
        <w:spacing w:after="0" w:line="72" w:lineRule="exact"/>
        <w:rPr>
          <w:sz w:val="20"/>
          <w:szCs w:val="20"/>
          <w:color w:val="auto"/>
        </w:rPr>
      </w:pPr>
    </w:p>
    <w:p>
      <w:pPr>
        <w:ind w:left="1620" w:right="499" w:hanging="360"/>
        <w:spacing w:after="0" w:line="228"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2022 that will vest on the August 2025 distribution date. The associated DERs accrued for the first year and such accrued amount was paid in cash in a lump sum on the August 2023 distribution date; beginning in November 2023, the associated DERs began being paid quarterly in cash on each distribution payment date.</w:t>
      </w:r>
    </w:p>
    <w:p>
      <w:pPr>
        <w:spacing w:after="0" w:line="46" w:lineRule="exact"/>
        <w:rPr>
          <w:rFonts w:ascii="Arial" w:cs="Arial" w:eastAsia="Arial" w:hAnsi="Arial"/>
          <w:sz w:val="27"/>
          <w:szCs w:val="27"/>
          <w:color w:val="auto"/>
          <w:vertAlign w:val="superscript"/>
        </w:rPr>
      </w:pPr>
    </w:p>
    <w:p>
      <w:pPr>
        <w:ind w:left="1620" w:right="499" w:hanging="360"/>
        <w:spacing w:after="0" w:line="256" w:lineRule="auto"/>
        <w:tabs>
          <w:tab w:leader="none" w:pos="1620" w:val="left"/>
        </w:tabs>
        <w:numPr>
          <w:ilvl w:val="0"/>
          <w:numId w:val="63"/>
        </w:numPr>
        <w:rPr>
          <w:rFonts w:ascii="Arial" w:cs="Arial" w:eastAsia="Arial" w:hAnsi="Arial"/>
          <w:sz w:val="26"/>
          <w:szCs w:val="26"/>
          <w:color w:val="auto"/>
          <w:vertAlign w:val="superscript"/>
        </w:rPr>
      </w:pPr>
      <w:r>
        <w:rPr>
          <w:rFonts w:ascii="Arial" w:cs="Arial" w:eastAsia="Arial" w:hAnsi="Arial"/>
          <w:sz w:val="17"/>
          <w:szCs w:val="17"/>
          <w:color w:val="auto"/>
        </w:rPr>
        <w:t>Represents the target number of performance-based phantom units granted in August 2022 that will potentially vest on the August 2025 distribution date at a scaled payout range of between 0% and 200% based on: (i) with respect to 50% of the performance-based award, PAA’s TSR over the three-year period ending June 30, 2025 compared to the TSR of the TSR Comparator Peer Group (payout may be reduced if absolute TSR is negative); and (ii) with respect to the other 50% of the performance-based award, PAA achieving cumulative DCF per CUE of $7.05 over the three-year period ending June 30, 2025 (payout may be decreased by 25 basis points if PAA’s leverage ratio as of June 30, 2025 is greater than 3.5x). DERs will accrue during the three-year performance period and be paid in cash in a lump sum on the August 2025 distribution date with respect to the number of phantom units, if any, that vest on such date. Any phantom units and associated DERs that have not vested by the August 2025 distribution date will expire at that time.</w:t>
      </w:r>
    </w:p>
    <w:p>
      <w:pPr>
        <w:spacing w:after="0" w:line="39" w:lineRule="exact"/>
        <w:rPr>
          <w:rFonts w:ascii="Arial" w:cs="Arial" w:eastAsia="Arial" w:hAnsi="Arial"/>
          <w:sz w:val="26"/>
          <w:szCs w:val="26"/>
          <w:color w:val="auto"/>
          <w:vertAlign w:val="superscript"/>
        </w:rPr>
      </w:pPr>
    </w:p>
    <w:p>
      <w:pPr>
        <w:ind w:left="1620" w:right="539" w:hanging="360"/>
        <w:spacing w:after="0" w:line="228"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time-based phantom units granted in August 2023 that will vest on the August 2026 distribution date. The associated DERs will accrue for the first year and such accrued amount will be paid in cash in a lump sum on the August 2024 distribution date; beginning in November 2024, the associated DERs will be paid quarterly in cash on each distribution payment date.</w:t>
      </w:r>
    </w:p>
    <w:p>
      <w:pPr>
        <w:spacing w:after="0" w:line="60" w:lineRule="exact"/>
        <w:rPr>
          <w:rFonts w:ascii="Arial" w:cs="Arial" w:eastAsia="Arial" w:hAnsi="Arial"/>
          <w:sz w:val="27"/>
          <w:szCs w:val="27"/>
          <w:color w:val="auto"/>
          <w:vertAlign w:val="superscript"/>
        </w:rPr>
      </w:pPr>
    </w:p>
    <w:p>
      <w:pPr>
        <w:ind w:left="1620" w:right="499" w:hanging="360"/>
        <w:spacing w:after="0" w:line="242" w:lineRule="auto"/>
        <w:tabs>
          <w:tab w:leader="none" w:pos="1620" w:val="left"/>
        </w:tabs>
        <w:numPr>
          <w:ilvl w:val="0"/>
          <w:numId w:val="63"/>
        </w:numPr>
        <w:rPr>
          <w:rFonts w:ascii="Arial" w:cs="Arial" w:eastAsia="Arial" w:hAnsi="Arial"/>
          <w:sz w:val="27"/>
          <w:szCs w:val="27"/>
          <w:color w:val="auto"/>
          <w:vertAlign w:val="superscript"/>
        </w:rPr>
      </w:pPr>
      <w:r>
        <w:rPr>
          <w:rFonts w:ascii="Arial" w:cs="Arial" w:eastAsia="Arial" w:hAnsi="Arial"/>
          <w:sz w:val="18"/>
          <w:szCs w:val="18"/>
          <w:color w:val="auto"/>
        </w:rPr>
        <w:t>Represents the target number of performance-based phantom units granted in August 2023 that will potentially vest on the August 2026 distribution date at a scaled payout range of between 0% and 200% based on: (i) with respect to 50% of the performance-based award, PAA’s TSR over the three-year period ending June 30, 2026 compared to the TSR of the TSR Comparator Peer Group (payout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will accrue during the three-year performance period and be paid in cash in a lump sum on the August 2026 distribution date with respect to the number of phantom units, if any, that vest on such date. Any phantom units and associated DERs that have not vested by the August 2026 distribution date will expire at that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Exercises and Units Vested</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8"/>
          <w:szCs w:val="18"/>
          <w:color w:val="auto"/>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2023 with respect to our Named Executive Officers.</w:t>
      </w:r>
    </w:p>
    <w:p>
      <w:pPr>
        <w:spacing w:after="0" w:line="155" w:lineRule="exact"/>
        <w:rPr>
          <w:sz w:val="20"/>
          <w:szCs w:val="20"/>
          <w:color w:val="auto"/>
        </w:rPr>
      </w:pPr>
    </w:p>
    <w:tbl>
      <w:tblPr>
        <w:tblLayout w:type="fixed"/>
        <w:tblInd w:w="1270" w:type="dxa"/>
        <w:tblCellMar>
          <w:top w:w="0" w:type="dxa"/>
          <w:left w:w="0" w:type="dxa"/>
          <w:bottom w:w="0" w:type="dxa"/>
          <w:right w:w="0" w:type="dxa"/>
        </w:tblCellMar>
      </w:tblPr>
      <w:tr>
        <w:trPr>
          <w:trHeight w:val="250"/>
        </w:trPr>
        <w:tc>
          <w:tcPr>
            <w:tcW w:w="60" w:type="dxa"/>
            <w:vAlign w:val="bottom"/>
            <w:tcBorders>
              <w:left w:val="single" w:sz="8" w:color="424E6A"/>
              <w:bottom w:val="single" w:sz="8" w:color="424E6A"/>
            </w:tcBorders>
            <w:shd w:val="clear" w:color="auto" w:fill="424E6A"/>
          </w:tcPr>
          <w:p>
            <w:pPr>
              <w:spacing w:after="0"/>
              <w:rPr>
                <w:sz w:val="21"/>
                <w:szCs w:val="21"/>
                <w:color w:val="auto"/>
              </w:rPr>
            </w:pPr>
          </w:p>
        </w:tc>
        <w:tc>
          <w:tcPr>
            <w:tcW w:w="3360" w:type="dxa"/>
            <w:vAlign w:val="bottom"/>
            <w:tcBorders>
              <w:bottom w:val="single" w:sz="8" w:color="424E6A"/>
            </w:tcBorders>
            <w:shd w:val="clear" w:color="auto" w:fill="424E6A"/>
          </w:tcPr>
          <w:p>
            <w:pPr>
              <w:spacing w:after="0"/>
              <w:rPr>
                <w:sz w:val="21"/>
                <w:szCs w:val="21"/>
                <w:color w:val="auto"/>
              </w:rPr>
            </w:pPr>
          </w:p>
        </w:tc>
        <w:tc>
          <w:tcPr>
            <w:tcW w:w="2180" w:type="dxa"/>
            <w:vAlign w:val="bottom"/>
            <w:tcBorders>
              <w:bottom w:val="single" w:sz="8" w:color="424E6A"/>
              <w:right w:val="single" w:sz="8" w:color="424E6A"/>
            </w:tcBorders>
            <w:shd w:val="clear" w:color="auto" w:fill="424E6A"/>
          </w:tcPr>
          <w:p>
            <w:pPr>
              <w:spacing w:after="0"/>
              <w:rPr>
                <w:sz w:val="21"/>
                <w:szCs w:val="21"/>
                <w:color w:val="auto"/>
              </w:rPr>
            </w:pPr>
          </w:p>
        </w:tc>
        <w:tc>
          <w:tcPr>
            <w:tcW w:w="80" w:type="dxa"/>
            <w:vAlign w:val="bottom"/>
            <w:tcBorders>
              <w:bottom w:val="single" w:sz="8" w:color="auto"/>
            </w:tcBorders>
            <w:shd w:val="clear" w:color="auto" w:fill="424E6A"/>
          </w:tcPr>
          <w:p>
            <w:pPr>
              <w:spacing w:after="0"/>
              <w:rPr>
                <w:sz w:val="21"/>
                <w:szCs w:val="21"/>
                <w:color w:val="auto"/>
              </w:rPr>
            </w:pPr>
          </w:p>
        </w:tc>
        <w:tc>
          <w:tcPr>
            <w:tcW w:w="2380" w:type="dxa"/>
            <w:vAlign w:val="bottom"/>
            <w:tcBorders>
              <w:bottom w:val="single" w:sz="8" w:color="auto"/>
            </w:tcBorders>
            <w:gridSpan w:val="4"/>
            <w:shd w:val="clear" w:color="auto" w:fill="424E6A"/>
          </w:tcPr>
          <w:p>
            <w:pPr>
              <w:jc w:val="center"/>
              <w:spacing w:after="0"/>
              <w:rPr>
                <w:sz w:val="20"/>
                <w:szCs w:val="20"/>
                <w:color w:val="auto"/>
              </w:rPr>
            </w:pPr>
            <w:r>
              <w:rPr>
                <w:rFonts w:ascii="Arial" w:cs="Arial" w:eastAsia="Arial" w:hAnsi="Arial"/>
                <w:sz w:val="14"/>
                <w:szCs w:val="14"/>
                <w:b w:val="1"/>
                <w:bCs w:val="1"/>
                <w:color w:val="FFFFFF"/>
              </w:rPr>
              <w:t>Unit Awards</w:t>
            </w:r>
          </w:p>
        </w:tc>
        <w:tc>
          <w:tcPr>
            <w:tcW w:w="140" w:type="dxa"/>
            <w:vAlign w:val="bottom"/>
            <w:tcBorders>
              <w:bottom w:val="single" w:sz="8" w:color="auto"/>
            </w:tcBorders>
            <w:shd w:val="clear" w:color="auto" w:fill="424E6A"/>
          </w:tcPr>
          <w:p>
            <w:pPr>
              <w:spacing w:after="0"/>
              <w:rPr>
                <w:sz w:val="21"/>
                <w:szCs w:val="21"/>
                <w:color w:val="auto"/>
              </w:rPr>
            </w:pPr>
          </w:p>
        </w:tc>
        <w:tc>
          <w:tcPr>
            <w:tcW w:w="20" w:type="dxa"/>
            <w:vAlign w:val="bottom"/>
            <w:shd w:val="clear" w:color="auto" w:fill="424E6A"/>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0" w:type="dxa"/>
            <w:vAlign w:val="bottom"/>
            <w:tcBorders>
              <w:left w:val="single" w:sz="8" w:color="424E6A"/>
            </w:tcBorders>
            <w:shd w:val="clear" w:color="auto" w:fill="424E6A"/>
          </w:tcPr>
          <w:p>
            <w:pPr>
              <w:spacing w:after="0"/>
              <w:rPr>
                <w:sz w:val="15"/>
                <w:szCs w:val="15"/>
                <w:color w:val="auto"/>
              </w:rPr>
            </w:pPr>
          </w:p>
        </w:tc>
        <w:tc>
          <w:tcPr>
            <w:tcW w:w="3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FFFFFF"/>
              </w:rPr>
              <w:t>Value Realized</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tcBorders>
              <w:left w:val="single" w:sz="8" w:color="424E6A"/>
            </w:tcBorders>
            <w:shd w:val="clear" w:color="auto" w:fill="424E6A"/>
          </w:tcPr>
          <w:p>
            <w:pPr>
              <w:spacing w:after="0"/>
              <w:rPr>
                <w:sz w:val="14"/>
                <w:szCs w:val="14"/>
                <w:color w:val="auto"/>
              </w:rPr>
            </w:pPr>
          </w:p>
        </w:tc>
        <w:tc>
          <w:tcPr>
            <w:tcW w:w="3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FFFFF"/>
              </w:rPr>
              <w:t>Acquired 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FFFFFF"/>
              </w:rPr>
              <w:t>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0" w:type="dxa"/>
            <w:vAlign w:val="bottom"/>
            <w:tcBorders>
              <w:left w:val="single" w:sz="8" w:color="424E6A"/>
            </w:tcBorders>
            <w:shd w:val="clear" w:color="auto" w:fill="424E6A"/>
          </w:tcPr>
          <w:p>
            <w:pPr>
              <w:spacing w:after="0"/>
              <w:rPr>
                <w:sz w:val="13"/>
                <w:szCs w:val="13"/>
                <w:color w:val="auto"/>
              </w:rPr>
            </w:pPr>
          </w:p>
        </w:tc>
        <w:tc>
          <w:tcPr>
            <w:tcW w:w="3360" w:type="dxa"/>
            <w:vAlign w:val="bottom"/>
          </w:tcPr>
          <w:p>
            <w:pPr>
              <w:spacing w:after="0" w:line="150" w:lineRule="exact"/>
              <w:rPr>
                <w:sz w:val="20"/>
                <w:szCs w:val="20"/>
                <w:color w:val="auto"/>
              </w:rPr>
            </w:pPr>
            <w:r>
              <w:rPr>
                <w:rFonts w:ascii="Arial" w:cs="Arial" w:eastAsia="Arial" w:hAnsi="Arial"/>
                <w:sz w:val="14"/>
                <w:szCs w:val="14"/>
                <w:b w:val="1"/>
                <w:bCs w:val="1"/>
                <w:color w:val="FFFFFF"/>
              </w:rPr>
              <w:t>Name</w:t>
            </w: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center"/>
              <w:spacing w:after="0" w:line="150" w:lineRule="exact"/>
              <w:rPr>
                <w:sz w:val="20"/>
                <w:szCs w:val="20"/>
                <w:color w:val="auto"/>
              </w:rPr>
            </w:pPr>
            <w:r>
              <w:rPr>
                <w:rFonts w:ascii="Arial" w:cs="Arial" w:eastAsia="Arial" w:hAnsi="Arial"/>
                <w:sz w:val="14"/>
                <w:szCs w:val="14"/>
                <w:b w:val="1"/>
                <w:bCs w:val="1"/>
                <w:color w:val="FFFFFF"/>
                <w:w w:val="98"/>
              </w:rPr>
              <w:t>Vesting (#)</w:t>
            </w:r>
            <w:r>
              <w:rPr>
                <w:rFonts w:ascii="Arial" w:cs="Arial" w:eastAsia="Arial" w:hAnsi="Arial"/>
                <w:sz w:val="17"/>
                <w:szCs w:val="17"/>
                <w:b w:val="1"/>
                <w:bCs w:val="1"/>
                <w:color w:val="FFFFFF"/>
                <w:w w:val="98"/>
                <w:vertAlign w:val="superscript"/>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0" w:lineRule="exact"/>
              <w:rPr>
                <w:sz w:val="20"/>
                <w:szCs w:val="20"/>
                <w:color w:val="auto"/>
              </w:rPr>
            </w:pPr>
            <w:r>
              <w:rPr>
                <w:rFonts w:ascii="Arial" w:cs="Arial" w:eastAsia="Arial" w:hAnsi="Arial"/>
                <w:sz w:val="14"/>
                <w:szCs w:val="14"/>
                <w:b w:val="1"/>
                <w:bCs w:val="1"/>
                <w:color w:val="FFFFFF"/>
              </w:rPr>
              <w:t>Vesting ($)</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0" w:type="dxa"/>
            <w:vAlign w:val="bottom"/>
            <w:tcBorders>
              <w:left w:val="single" w:sz="8" w:color="424E6A"/>
              <w:bottom w:val="single" w:sz="8" w:color="424E6A"/>
            </w:tcBorders>
            <w:shd w:val="clear" w:color="auto" w:fill="424E6A"/>
          </w:tcPr>
          <w:p>
            <w:pPr>
              <w:spacing w:after="0"/>
              <w:rPr>
                <w:sz w:val="4"/>
                <w:szCs w:val="4"/>
                <w:color w:val="auto"/>
              </w:rPr>
            </w:pPr>
          </w:p>
        </w:tc>
        <w:tc>
          <w:tcPr>
            <w:tcW w:w="3360" w:type="dxa"/>
            <w:vAlign w:val="bottom"/>
            <w:vMerge w:val="restart"/>
          </w:tcPr>
          <w:p>
            <w:pPr>
              <w:spacing w:after="0"/>
              <w:rPr>
                <w:sz w:val="20"/>
                <w:szCs w:val="20"/>
                <w:color w:val="auto"/>
              </w:rPr>
            </w:pPr>
            <w:r>
              <w:rPr>
                <w:rFonts w:ascii="Arial" w:cs="Arial" w:eastAsia="Arial" w:hAnsi="Arial"/>
                <w:sz w:val="18"/>
                <w:szCs w:val="18"/>
                <w:color w:val="auto"/>
              </w:rPr>
              <w:t>Willie Chiang</w:t>
            </w:r>
          </w:p>
        </w:tc>
        <w:tc>
          <w:tcPr>
            <w:tcW w:w="2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430,103</w:t>
            </w:r>
            <w:r>
              <w:rPr>
                <w:rFonts w:ascii="Arial" w:cs="Arial" w:eastAsia="Arial" w:hAnsi="Arial"/>
                <w:sz w:val="23"/>
                <w:szCs w:val="23"/>
                <w:color w:val="auto"/>
                <w:vertAlign w:val="superscript"/>
              </w:rPr>
              <w:t>(2)</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6,559,071</w:t>
            </w:r>
            <w:r>
              <w:rPr>
                <w:rFonts w:ascii="Arial" w:cs="Arial" w:eastAsia="Arial" w:hAnsi="Arial"/>
                <w:sz w:val="23"/>
                <w:szCs w:val="23"/>
                <w:color w:val="auto"/>
                <w:vertAlign w:val="superscript"/>
              </w:rPr>
              <w:t>(3)</w:t>
            </w:r>
          </w:p>
        </w:tc>
        <w:tc>
          <w:tcPr>
            <w:tcW w:w="20" w:type="dxa"/>
            <w:vAlign w:val="bottom"/>
            <w:tcBorders>
              <w:bottom w:val="single" w:sz="8" w:color="424E6A"/>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 w:type="dxa"/>
            <w:vAlign w:val="bottom"/>
            <w:tcBorders>
              <w:left w:val="single" w:sz="8" w:color="424E6A"/>
              <w:bottom w:val="single" w:sz="8" w:color="424E6A"/>
            </w:tcBorders>
          </w:tcPr>
          <w:p>
            <w:pPr>
              <w:spacing w:after="0"/>
              <w:rPr>
                <w:sz w:val="20"/>
                <w:szCs w:val="20"/>
                <w:color w:val="auto"/>
              </w:rPr>
            </w:pPr>
          </w:p>
        </w:tc>
        <w:tc>
          <w:tcPr>
            <w:tcW w:w="3360" w:type="dxa"/>
            <w:vAlign w:val="bottom"/>
            <w:tcBorders>
              <w:bottom w:val="single" w:sz="8" w:color="424E6A"/>
            </w:tcBorders>
            <w:vMerge w:val="continue"/>
          </w:tcPr>
          <w:p>
            <w:pPr>
              <w:spacing w:after="0"/>
              <w:rPr>
                <w:sz w:val="20"/>
                <w:szCs w:val="20"/>
                <w:color w:val="auto"/>
              </w:rPr>
            </w:pPr>
          </w:p>
        </w:tc>
        <w:tc>
          <w:tcPr>
            <w:tcW w:w="2180" w:type="dxa"/>
            <w:vAlign w:val="bottom"/>
            <w:tcBorders>
              <w:bottom w:val="single" w:sz="8" w:color="424E6A"/>
              <w:right w:val="single" w:sz="8" w:color="424E6A"/>
            </w:tcBorders>
          </w:tcPr>
          <w:p>
            <w:pPr>
              <w:spacing w:after="0"/>
              <w:rPr>
                <w:sz w:val="20"/>
                <w:szCs w:val="20"/>
                <w:color w:val="auto"/>
              </w:rPr>
            </w:pPr>
          </w:p>
        </w:tc>
        <w:tc>
          <w:tcPr>
            <w:tcW w:w="80" w:type="dxa"/>
            <w:vAlign w:val="bottom"/>
            <w:tcBorders>
              <w:bottom w:val="single" w:sz="8" w:color="424E6A"/>
            </w:tcBorders>
          </w:tcPr>
          <w:p>
            <w:pPr>
              <w:spacing w:after="0"/>
              <w:rPr>
                <w:sz w:val="20"/>
                <w:szCs w:val="20"/>
                <w:color w:val="auto"/>
              </w:rPr>
            </w:pPr>
          </w:p>
        </w:tc>
        <w:tc>
          <w:tcPr>
            <w:tcW w:w="1140" w:type="dxa"/>
            <w:vAlign w:val="bottom"/>
            <w:tcBorders>
              <w:bottom w:val="single" w:sz="8" w:color="424E6A"/>
            </w:tcBorders>
            <w:vMerge w:val="continue"/>
          </w:tcPr>
          <w:p>
            <w:pPr>
              <w:spacing w:after="0"/>
              <w:rPr>
                <w:sz w:val="20"/>
                <w:szCs w:val="20"/>
                <w:color w:val="auto"/>
              </w:rPr>
            </w:pPr>
          </w:p>
        </w:tc>
        <w:tc>
          <w:tcPr>
            <w:tcW w:w="140" w:type="dxa"/>
            <w:vAlign w:val="bottom"/>
            <w:tcBorders>
              <w:bottom w:val="single" w:sz="8" w:color="424E6A"/>
              <w:right w:val="single" w:sz="8" w:color="424E6A"/>
            </w:tcBorders>
          </w:tcPr>
          <w:p>
            <w:pPr>
              <w:spacing w:after="0"/>
              <w:rPr>
                <w:sz w:val="20"/>
                <w:szCs w:val="20"/>
                <w:color w:val="auto"/>
              </w:rPr>
            </w:pPr>
          </w:p>
        </w:tc>
        <w:tc>
          <w:tcPr>
            <w:tcW w:w="80" w:type="dxa"/>
            <w:vAlign w:val="bottom"/>
            <w:tcBorders>
              <w:bottom w:val="single" w:sz="8" w:color="424E6A"/>
            </w:tcBorders>
          </w:tcPr>
          <w:p>
            <w:pPr>
              <w:spacing w:after="0"/>
              <w:rPr>
                <w:sz w:val="20"/>
                <w:szCs w:val="20"/>
                <w:color w:val="auto"/>
              </w:rPr>
            </w:pPr>
          </w:p>
        </w:tc>
        <w:tc>
          <w:tcPr>
            <w:tcW w:w="1160" w:type="dxa"/>
            <w:vAlign w:val="bottom"/>
            <w:tcBorders>
              <w:bottom w:val="single" w:sz="8" w:color="424E6A"/>
            </w:tcBorders>
            <w:gridSpan w:val="2"/>
            <w:vMerge w:val="continue"/>
          </w:tcPr>
          <w:p>
            <w:pPr>
              <w:spacing w:after="0"/>
              <w:rPr>
                <w:sz w:val="20"/>
                <w:szCs w:val="20"/>
                <w:color w:val="auto"/>
              </w:rPr>
            </w:pPr>
          </w:p>
        </w:tc>
        <w:tc>
          <w:tcPr>
            <w:tcW w:w="20" w:type="dxa"/>
            <w:vAlign w:val="bottom"/>
            <w:tcBorders>
              <w:bottom w:val="single" w:sz="8" w:color="424E6A"/>
            </w:tcBorders>
            <w:shd w:val="clear" w:color="auto" w:fill="424E6A"/>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20" w:type="dxa"/>
            <w:vAlign w:val="bottom"/>
            <w:tcBorders>
              <w:left w:val="single" w:sz="8" w:color="424E6A"/>
              <w:bottom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180" w:type="dxa"/>
            <w:vAlign w:val="bottom"/>
            <w:tcBorders>
              <w:bottom w:val="single" w:sz="8" w:color="424E6A"/>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424E6A"/>
            </w:tcBorders>
            <w:shd w:val="clear" w:color="auto" w:fill="D9DCE1"/>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424E6A"/>
            </w:tcBorders>
            <w:shd w:val="clear" w:color="auto" w:fill="D9DCE1"/>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424E6A"/>
              <w:bottom w:val="single" w:sz="8" w:color="424E6A"/>
            </w:tcBorders>
          </w:tcPr>
          <w:p>
            <w:pPr>
              <w:spacing w:after="0"/>
              <w:rPr>
                <w:sz w:val="20"/>
                <w:szCs w:val="20"/>
                <w:color w:val="auto"/>
              </w:rPr>
            </w:pPr>
          </w:p>
        </w:tc>
        <w:tc>
          <w:tcPr>
            <w:tcW w:w="336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Harry Pefanis</w:t>
            </w:r>
          </w:p>
        </w:tc>
        <w:tc>
          <w:tcPr>
            <w:tcW w:w="2180" w:type="dxa"/>
            <w:vAlign w:val="bottom"/>
            <w:tcBorders>
              <w:bottom w:val="single" w:sz="8" w:color="424E6A"/>
              <w:right w:val="single" w:sz="8" w:color="424E6A"/>
            </w:tcBorders>
          </w:tcPr>
          <w:p>
            <w:pPr>
              <w:spacing w:after="0"/>
              <w:rPr>
                <w:sz w:val="20"/>
                <w:szCs w:val="20"/>
                <w:color w:val="auto"/>
              </w:rPr>
            </w:pPr>
          </w:p>
        </w:tc>
        <w:tc>
          <w:tcPr>
            <w:tcW w:w="80" w:type="dxa"/>
            <w:vAlign w:val="bottom"/>
            <w:tcBorders>
              <w:bottom w:val="single" w:sz="8" w:color="424E6A"/>
            </w:tcBorders>
          </w:tcPr>
          <w:p>
            <w:pPr>
              <w:spacing w:after="0"/>
              <w:rPr>
                <w:sz w:val="20"/>
                <w:szCs w:val="20"/>
                <w:color w:val="auto"/>
              </w:rPr>
            </w:pPr>
          </w:p>
        </w:tc>
        <w:tc>
          <w:tcPr>
            <w:tcW w:w="1140" w:type="dxa"/>
            <w:vAlign w:val="bottom"/>
            <w:tcBorders>
              <w:bottom w:val="single" w:sz="8" w:color="424E6A"/>
            </w:tcBorders>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spacing w:after="0"/>
              <w:rPr>
                <w:sz w:val="20"/>
                <w:szCs w:val="20"/>
                <w:color w:val="auto"/>
              </w:rPr>
            </w:pPr>
          </w:p>
        </w:tc>
        <w:tc>
          <w:tcPr>
            <w:tcW w:w="80" w:type="dxa"/>
            <w:vAlign w:val="bottom"/>
            <w:tcBorders>
              <w:bottom w:val="single" w:sz="8" w:color="424E6A"/>
            </w:tcBorders>
          </w:tcPr>
          <w:p>
            <w:pPr>
              <w:spacing w:after="0"/>
              <w:rPr>
                <w:sz w:val="20"/>
                <w:szCs w:val="20"/>
                <w:color w:val="auto"/>
              </w:rPr>
            </w:pPr>
          </w:p>
        </w:tc>
        <w:tc>
          <w:tcPr>
            <w:tcW w:w="1020" w:type="dxa"/>
            <w:vAlign w:val="bottom"/>
            <w:tcBorders>
              <w:bottom w:val="single" w:sz="8" w:color="424E6A"/>
            </w:tcBorders>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tcBorders>
          </w:tcPr>
          <w:p>
            <w:pPr>
              <w:spacing w:after="0"/>
              <w:rPr>
                <w:sz w:val="20"/>
                <w:szCs w:val="20"/>
                <w:color w:val="auto"/>
              </w:rPr>
            </w:pPr>
          </w:p>
        </w:tc>
        <w:tc>
          <w:tcPr>
            <w:tcW w:w="20" w:type="dxa"/>
            <w:vAlign w:val="bottom"/>
            <w:tcBorders>
              <w:bottom w:val="single" w:sz="8" w:color="424E6A"/>
            </w:tcBorders>
            <w:shd w:val="clear" w:color="auto" w:fill="424E6A"/>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420" w:type="dxa"/>
            <w:vAlign w:val="bottom"/>
            <w:tcBorders>
              <w:left w:val="single" w:sz="8" w:color="424E6A"/>
              <w:bottom w:val="single" w:sz="8" w:color="D9DCE1"/>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180" w:type="dxa"/>
            <w:vAlign w:val="bottom"/>
            <w:tcBorders>
              <w:bottom w:val="single" w:sz="8" w:color="D9DCE1"/>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1140" w:type="dxa"/>
            <w:vAlign w:val="bottom"/>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right w:val="single" w:sz="8" w:color="424E6A"/>
            </w:tcBorders>
          </w:tcPr>
          <w:p>
            <w:pPr>
              <w:jc w:val="center"/>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1020" w:type="dxa"/>
            <w:vAlign w:val="bottom"/>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0" w:type="dxa"/>
            <w:vAlign w:val="bottom"/>
            <w:tcBorders>
              <w:left w:val="single" w:sz="8" w:color="424E6A"/>
              <w:bottom w:val="single" w:sz="8" w:color="424E6A"/>
            </w:tcBorders>
          </w:tcPr>
          <w:p>
            <w:pPr>
              <w:spacing w:after="0"/>
              <w:rPr>
                <w:sz w:val="22"/>
                <w:szCs w:val="22"/>
                <w:color w:val="auto"/>
              </w:rPr>
            </w:pPr>
          </w:p>
        </w:tc>
        <w:tc>
          <w:tcPr>
            <w:tcW w:w="336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Al Swanson</w:t>
            </w:r>
          </w:p>
        </w:tc>
        <w:tc>
          <w:tcPr>
            <w:tcW w:w="2180" w:type="dxa"/>
            <w:vAlign w:val="bottom"/>
            <w:tcBorders>
              <w:bottom w:val="single" w:sz="8" w:color="424E6A"/>
              <w:right w:val="single" w:sz="8" w:color="424E6A"/>
            </w:tcBorders>
          </w:tcPr>
          <w:p>
            <w:pPr>
              <w:spacing w:after="0"/>
              <w:rPr>
                <w:sz w:val="22"/>
                <w:szCs w:val="22"/>
                <w:color w:val="auto"/>
              </w:rPr>
            </w:pPr>
          </w:p>
        </w:tc>
        <w:tc>
          <w:tcPr>
            <w:tcW w:w="80" w:type="dxa"/>
            <w:vAlign w:val="bottom"/>
            <w:tcBorders>
              <w:bottom w:val="single" w:sz="8" w:color="424E6A"/>
            </w:tcBorders>
          </w:tcPr>
          <w:p>
            <w:pPr>
              <w:spacing w:after="0"/>
              <w:rPr>
                <w:sz w:val="22"/>
                <w:szCs w:val="22"/>
                <w:color w:val="auto"/>
              </w:rPr>
            </w:pPr>
          </w:p>
        </w:tc>
        <w:tc>
          <w:tcPr>
            <w:tcW w:w="1140" w:type="dxa"/>
            <w:vAlign w:val="bottom"/>
            <w:tcBorders>
              <w:bottom w:val="single" w:sz="8" w:color="424E6A"/>
            </w:tcBorders>
          </w:tcPr>
          <w:p>
            <w:pPr>
              <w:jc w:val="right"/>
              <w:spacing w:after="0" w:line="256" w:lineRule="exact"/>
              <w:rPr>
                <w:sz w:val="20"/>
                <w:szCs w:val="20"/>
                <w:color w:val="auto"/>
              </w:rPr>
            </w:pPr>
            <w:r>
              <w:rPr>
                <w:rFonts w:ascii="Arial" w:cs="Arial" w:eastAsia="Arial" w:hAnsi="Arial"/>
                <w:sz w:val="18"/>
                <w:szCs w:val="18"/>
                <w:color w:val="auto"/>
              </w:rPr>
              <w:t>172,046</w:t>
            </w:r>
            <w:r>
              <w:rPr>
                <w:rFonts w:ascii="Arial" w:cs="Arial" w:eastAsia="Arial" w:hAnsi="Arial"/>
                <w:sz w:val="23"/>
                <w:szCs w:val="23"/>
                <w:color w:val="auto"/>
                <w:vertAlign w:val="superscript"/>
              </w:rPr>
              <w:t>(2)</w:t>
            </w:r>
          </w:p>
        </w:tc>
        <w:tc>
          <w:tcPr>
            <w:tcW w:w="140" w:type="dxa"/>
            <w:vAlign w:val="bottom"/>
            <w:tcBorders>
              <w:bottom w:val="single" w:sz="8" w:color="424E6A"/>
              <w:right w:val="single" w:sz="8" w:color="424E6A"/>
            </w:tcBorders>
          </w:tcPr>
          <w:p>
            <w:pPr>
              <w:spacing w:after="0"/>
              <w:rPr>
                <w:sz w:val="22"/>
                <w:szCs w:val="22"/>
                <w:color w:val="auto"/>
              </w:rPr>
            </w:pPr>
          </w:p>
        </w:tc>
        <w:tc>
          <w:tcPr>
            <w:tcW w:w="80" w:type="dxa"/>
            <w:vAlign w:val="bottom"/>
            <w:tcBorders>
              <w:bottom w:val="single" w:sz="8" w:color="424E6A"/>
            </w:tcBorders>
          </w:tcPr>
          <w:p>
            <w:pPr>
              <w:spacing w:after="0"/>
              <w:rPr>
                <w:sz w:val="22"/>
                <w:szCs w:val="22"/>
                <w:color w:val="auto"/>
              </w:rPr>
            </w:pPr>
          </w:p>
        </w:tc>
        <w:tc>
          <w:tcPr>
            <w:tcW w:w="1160" w:type="dxa"/>
            <w:vAlign w:val="bottom"/>
            <w:tcBorders>
              <w:bottom w:val="single" w:sz="8" w:color="424E6A"/>
            </w:tcBorders>
            <w:gridSpan w:val="2"/>
          </w:tcPr>
          <w:p>
            <w:pPr>
              <w:jc w:val="right"/>
              <w:ind w:right="28"/>
              <w:spacing w:after="0" w:line="256" w:lineRule="exact"/>
              <w:rPr>
                <w:sz w:val="20"/>
                <w:szCs w:val="20"/>
                <w:color w:val="auto"/>
              </w:rPr>
            </w:pPr>
            <w:r>
              <w:rPr>
                <w:rFonts w:ascii="Arial" w:cs="Arial" w:eastAsia="Arial" w:hAnsi="Arial"/>
                <w:sz w:val="18"/>
                <w:szCs w:val="18"/>
                <w:color w:val="auto"/>
              </w:rPr>
              <w:t>2,623,702</w:t>
            </w:r>
            <w:r>
              <w:rPr>
                <w:rFonts w:ascii="Arial" w:cs="Arial" w:eastAsia="Arial" w:hAnsi="Arial"/>
                <w:sz w:val="23"/>
                <w:szCs w:val="23"/>
                <w:color w:val="auto"/>
                <w:vertAlign w:val="superscript"/>
              </w:rPr>
              <w:t>(3)</w:t>
            </w:r>
          </w:p>
        </w:tc>
        <w:tc>
          <w:tcPr>
            <w:tcW w:w="20" w:type="dxa"/>
            <w:vAlign w:val="bottom"/>
            <w:tcBorders>
              <w:bottom w:val="single" w:sz="8" w:color="424E6A"/>
            </w:tcBorders>
            <w:shd w:val="clear" w:color="auto" w:fill="424E6A"/>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420" w:type="dxa"/>
            <w:vAlign w:val="bottom"/>
            <w:tcBorders>
              <w:left w:val="single" w:sz="8" w:color="424E6A"/>
              <w:bottom w:val="single" w:sz="8" w:color="D9DCE1"/>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180" w:type="dxa"/>
            <w:vAlign w:val="bottom"/>
            <w:tcBorders>
              <w:bottom w:val="single" w:sz="8" w:color="D9DCE1"/>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1140" w:type="dxa"/>
            <w:vAlign w:val="bottom"/>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right w:val="single" w:sz="8" w:color="424E6A"/>
            </w:tcBorders>
          </w:tcPr>
          <w:p>
            <w:pPr>
              <w:jc w:val="center"/>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1020" w:type="dxa"/>
            <w:vAlign w:val="bottom"/>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0" w:type="dxa"/>
            <w:vAlign w:val="bottom"/>
            <w:tcBorders>
              <w:left w:val="single" w:sz="8" w:color="424E6A"/>
              <w:bottom w:val="single" w:sz="8" w:color="424E6A"/>
            </w:tcBorders>
          </w:tcPr>
          <w:p>
            <w:pPr>
              <w:spacing w:after="0"/>
              <w:rPr>
                <w:sz w:val="22"/>
                <w:szCs w:val="22"/>
                <w:color w:val="auto"/>
              </w:rPr>
            </w:pPr>
          </w:p>
        </w:tc>
        <w:tc>
          <w:tcPr>
            <w:tcW w:w="336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Richard McGee</w:t>
            </w:r>
          </w:p>
        </w:tc>
        <w:tc>
          <w:tcPr>
            <w:tcW w:w="2180" w:type="dxa"/>
            <w:vAlign w:val="bottom"/>
            <w:tcBorders>
              <w:bottom w:val="single" w:sz="8" w:color="424E6A"/>
              <w:right w:val="single" w:sz="8" w:color="424E6A"/>
            </w:tcBorders>
          </w:tcPr>
          <w:p>
            <w:pPr>
              <w:spacing w:after="0"/>
              <w:rPr>
                <w:sz w:val="22"/>
                <w:szCs w:val="22"/>
                <w:color w:val="auto"/>
              </w:rPr>
            </w:pPr>
          </w:p>
        </w:tc>
        <w:tc>
          <w:tcPr>
            <w:tcW w:w="80" w:type="dxa"/>
            <w:vAlign w:val="bottom"/>
            <w:tcBorders>
              <w:bottom w:val="single" w:sz="8" w:color="424E6A"/>
            </w:tcBorders>
          </w:tcPr>
          <w:p>
            <w:pPr>
              <w:spacing w:after="0"/>
              <w:rPr>
                <w:sz w:val="22"/>
                <w:szCs w:val="22"/>
                <w:color w:val="auto"/>
              </w:rPr>
            </w:pPr>
          </w:p>
        </w:tc>
        <w:tc>
          <w:tcPr>
            <w:tcW w:w="1140" w:type="dxa"/>
            <w:vAlign w:val="bottom"/>
            <w:tcBorders>
              <w:bottom w:val="single" w:sz="8" w:color="424E6A"/>
            </w:tcBorders>
          </w:tcPr>
          <w:p>
            <w:pPr>
              <w:jc w:val="right"/>
              <w:spacing w:after="0" w:line="256" w:lineRule="exact"/>
              <w:rPr>
                <w:sz w:val="20"/>
                <w:szCs w:val="20"/>
                <w:color w:val="auto"/>
              </w:rPr>
            </w:pPr>
            <w:r>
              <w:rPr>
                <w:rFonts w:ascii="Arial" w:cs="Arial" w:eastAsia="Arial" w:hAnsi="Arial"/>
                <w:sz w:val="18"/>
                <w:szCs w:val="18"/>
                <w:color w:val="auto"/>
              </w:rPr>
              <w:t>172,046</w:t>
            </w:r>
            <w:r>
              <w:rPr>
                <w:rFonts w:ascii="Arial" w:cs="Arial" w:eastAsia="Arial" w:hAnsi="Arial"/>
                <w:sz w:val="23"/>
                <w:szCs w:val="23"/>
                <w:color w:val="auto"/>
                <w:vertAlign w:val="superscript"/>
              </w:rPr>
              <w:t>(2)</w:t>
            </w:r>
          </w:p>
        </w:tc>
        <w:tc>
          <w:tcPr>
            <w:tcW w:w="140" w:type="dxa"/>
            <w:vAlign w:val="bottom"/>
            <w:tcBorders>
              <w:bottom w:val="single" w:sz="8" w:color="424E6A"/>
              <w:right w:val="single" w:sz="8" w:color="424E6A"/>
            </w:tcBorders>
          </w:tcPr>
          <w:p>
            <w:pPr>
              <w:spacing w:after="0"/>
              <w:rPr>
                <w:sz w:val="22"/>
                <w:szCs w:val="22"/>
                <w:color w:val="auto"/>
              </w:rPr>
            </w:pPr>
          </w:p>
        </w:tc>
        <w:tc>
          <w:tcPr>
            <w:tcW w:w="80" w:type="dxa"/>
            <w:vAlign w:val="bottom"/>
            <w:tcBorders>
              <w:bottom w:val="single" w:sz="8" w:color="424E6A"/>
            </w:tcBorders>
          </w:tcPr>
          <w:p>
            <w:pPr>
              <w:spacing w:after="0"/>
              <w:rPr>
                <w:sz w:val="22"/>
                <w:szCs w:val="22"/>
                <w:color w:val="auto"/>
              </w:rPr>
            </w:pPr>
          </w:p>
        </w:tc>
        <w:tc>
          <w:tcPr>
            <w:tcW w:w="1160" w:type="dxa"/>
            <w:vAlign w:val="bottom"/>
            <w:tcBorders>
              <w:bottom w:val="single" w:sz="8" w:color="424E6A"/>
            </w:tcBorders>
            <w:gridSpan w:val="2"/>
          </w:tcPr>
          <w:p>
            <w:pPr>
              <w:jc w:val="right"/>
              <w:ind w:right="28"/>
              <w:spacing w:after="0" w:line="256" w:lineRule="exact"/>
              <w:rPr>
                <w:sz w:val="20"/>
                <w:szCs w:val="20"/>
                <w:color w:val="auto"/>
              </w:rPr>
            </w:pPr>
            <w:r>
              <w:rPr>
                <w:rFonts w:ascii="Arial" w:cs="Arial" w:eastAsia="Arial" w:hAnsi="Arial"/>
                <w:sz w:val="18"/>
                <w:szCs w:val="18"/>
                <w:color w:val="auto"/>
              </w:rPr>
              <w:t>2,623,702</w:t>
            </w:r>
            <w:r>
              <w:rPr>
                <w:rFonts w:ascii="Arial" w:cs="Arial" w:eastAsia="Arial" w:hAnsi="Arial"/>
                <w:sz w:val="23"/>
                <w:szCs w:val="23"/>
                <w:color w:val="auto"/>
                <w:vertAlign w:val="superscript"/>
              </w:rPr>
              <w:t>(3)</w:t>
            </w:r>
          </w:p>
        </w:tc>
        <w:tc>
          <w:tcPr>
            <w:tcW w:w="20" w:type="dxa"/>
            <w:vAlign w:val="bottom"/>
            <w:tcBorders>
              <w:bottom w:val="single" w:sz="8" w:color="424E6A"/>
            </w:tcBorders>
            <w:shd w:val="clear" w:color="auto" w:fill="424E6A"/>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420" w:type="dxa"/>
            <w:vAlign w:val="bottom"/>
            <w:tcBorders>
              <w:left w:val="single" w:sz="8" w:color="424E6A"/>
              <w:bottom w:val="single" w:sz="8" w:color="D9DCE1"/>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180" w:type="dxa"/>
            <w:vAlign w:val="bottom"/>
            <w:tcBorders>
              <w:bottom w:val="single" w:sz="8" w:color="D9DCE1"/>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1140" w:type="dxa"/>
            <w:vAlign w:val="bottom"/>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right w:val="single" w:sz="8" w:color="424E6A"/>
            </w:tcBorders>
          </w:tcPr>
          <w:p>
            <w:pPr>
              <w:jc w:val="center"/>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1020" w:type="dxa"/>
            <w:vAlign w:val="bottom"/>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ind w:right="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424E6A"/>
            </w:tcBorders>
            <w:shd w:val="clear" w:color="auto" w:fill="424E6A"/>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0" w:type="dxa"/>
            <w:vAlign w:val="bottom"/>
            <w:tcBorders>
              <w:left w:val="single" w:sz="8" w:color="424E6A"/>
              <w:bottom w:val="single" w:sz="8" w:color="424E6A"/>
            </w:tcBorders>
          </w:tcPr>
          <w:p>
            <w:pPr>
              <w:spacing w:after="0"/>
              <w:rPr>
                <w:sz w:val="22"/>
                <w:szCs w:val="22"/>
                <w:color w:val="auto"/>
              </w:rPr>
            </w:pPr>
          </w:p>
        </w:tc>
        <w:tc>
          <w:tcPr>
            <w:tcW w:w="3360" w:type="dxa"/>
            <w:vAlign w:val="bottom"/>
            <w:tcBorders>
              <w:bottom w:val="single" w:sz="8" w:color="424E6A"/>
            </w:tcBorders>
          </w:tcPr>
          <w:p>
            <w:pPr>
              <w:spacing w:after="0"/>
              <w:rPr>
                <w:sz w:val="20"/>
                <w:szCs w:val="20"/>
                <w:color w:val="auto"/>
              </w:rPr>
            </w:pPr>
            <w:r>
              <w:rPr>
                <w:rFonts w:ascii="Arial" w:cs="Arial" w:eastAsia="Arial" w:hAnsi="Arial"/>
                <w:sz w:val="18"/>
                <w:szCs w:val="18"/>
                <w:color w:val="auto"/>
              </w:rPr>
              <w:t>Chris Chandler</w:t>
            </w:r>
          </w:p>
        </w:tc>
        <w:tc>
          <w:tcPr>
            <w:tcW w:w="2180" w:type="dxa"/>
            <w:vAlign w:val="bottom"/>
            <w:tcBorders>
              <w:bottom w:val="single" w:sz="8" w:color="424E6A"/>
              <w:right w:val="single" w:sz="8" w:color="424E6A"/>
            </w:tcBorders>
          </w:tcPr>
          <w:p>
            <w:pPr>
              <w:spacing w:after="0"/>
              <w:rPr>
                <w:sz w:val="22"/>
                <w:szCs w:val="22"/>
                <w:color w:val="auto"/>
              </w:rPr>
            </w:pPr>
          </w:p>
        </w:tc>
        <w:tc>
          <w:tcPr>
            <w:tcW w:w="80" w:type="dxa"/>
            <w:vAlign w:val="bottom"/>
            <w:tcBorders>
              <w:bottom w:val="single" w:sz="8" w:color="424E6A"/>
            </w:tcBorders>
          </w:tcPr>
          <w:p>
            <w:pPr>
              <w:spacing w:after="0"/>
              <w:rPr>
                <w:sz w:val="22"/>
                <w:szCs w:val="22"/>
                <w:color w:val="auto"/>
              </w:rPr>
            </w:pPr>
          </w:p>
        </w:tc>
        <w:tc>
          <w:tcPr>
            <w:tcW w:w="1140" w:type="dxa"/>
            <w:vAlign w:val="bottom"/>
            <w:tcBorders>
              <w:bottom w:val="single" w:sz="8" w:color="424E6A"/>
            </w:tcBorders>
          </w:tcPr>
          <w:p>
            <w:pPr>
              <w:jc w:val="right"/>
              <w:spacing w:after="0" w:line="256" w:lineRule="exact"/>
              <w:rPr>
                <w:sz w:val="20"/>
                <w:szCs w:val="20"/>
                <w:color w:val="auto"/>
              </w:rPr>
            </w:pPr>
            <w:r>
              <w:rPr>
                <w:rFonts w:ascii="Arial" w:cs="Arial" w:eastAsia="Arial" w:hAnsi="Arial"/>
                <w:sz w:val="18"/>
                <w:szCs w:val="18"/>
                <w:color w:val="auto"/>
              </w:rPr>
              <w:t>172,046</w:t>
            </w:r>
            <w:r>
              <w:rPr>
                <w:rFonts w:ascii="Arial" w:cs="Arial" w:eastAsia="Arial" w:hAnsi="Arial"/>
                <w:sz w:val="23"/>
                <w:szCs w:val="23"/>
                <w:color w:val="auto"/>
                <w:vertAlign w:val="superscript"/>
              </w:rPr>
              <w:t>(2)</w:t>
            </w:r>
          </w:p>
        </w:tc>
        <w:tc>
          <w:tcPr>
            <w:tcW w:w="140" w:type="dxa"/>
            <w:vAlign w:val="bottom"/>
            <w:tcBorders>
              <w:bottom w:val="single" w:sz="8" w:color="424E6A"/>
              <w:right w:val="single" w:sz="8" w:color="424E6A"/>
            </w:tcBorders>
          </w:tcPr>
          <w:p>
            <w:pPr>
              <w:spacing w:after="0"/>
              <w:rPr>
                <w:sz w:val="22"/>
                <w:szCs w:val="22"/>
                <w:color w:val="auto"/>
              </w:rPr>
            </w:pPr>
          </w:p>
        </w:tc>
        <w:tc>
          <w:tcPr>
            <w:tcW w:w="80" w:type="dxa"/>
            <w:vAlign w:val="bottom"/>
            <w:tcBorders>
              <w:bottom w:val="single" w:sz="8" w:color="424E6A"/>
            </w:tcBorders>
          </w:tcPr>
          <w:p>
            <w:pPr>
              <w:spacing w:after="0"/>
              <w:rPr>
                <w:sz w:val="22"/>
                <w:szCs w:val="22"/>
                <w:color w:val="auto"/>
              </w:rPr>
            </w:pPr>
          </w:p>
        </w:tc>
        <w:tc>
          <w:tcPr>
            <w:tcW w:w="1160" w:type="dxa"/>
            <w:vAlign w:val="bottom"/>
            <w:tcBorders>
              <w:bottom w:val="single" w:sz="8" w:color="424E6A"/>
            </w:tcBorders>
            <w:gridSpan w:val="2"/>
          </w:tcPr>
          <w:p>
            <w:pPr>
              <w:jc w:val="right"/>
              <w:ind w:right="28"/>
              <w:spacing w:after="0" w:line="256" w:lineRule="exact"/>
              <w:rPr>
                <w:sz w:val="20"/>
                <w:szCs w:val="20"/>
                <w:color w:val="auto"/>
              </w:rPr>
            </w:pPr>
            <w:r>
              <w:rPr>
                <w:rFonts w:ascii="Arial" w:cs="Arial" w:eastAsia="Arial" w:hAnsi="Arial"/>
                <w:sz w:val="18"/>
                <w:szCs w:val="18"/>
                <w:color w:val="auto"/>
              </w:rPr>
              <w:t>2,623,702</w:t>
            </w:r>
            <w:r>
              <w:rPr>
                <w:rFonts w:ascii="Arial" w:cs="Arial" w:eastAsia="Arial" w:hAnsi="Arial"/>
                <w:sz w:val="23"/>
                <w:szCs w:val="23"/>
                <w:color w:val="auto"/>
                <w:vertAlign w:val="superscript"/>
              </w:rPr>
              <w:t>(3)</w:t>
            </w:r>
          </w:p>
        </w:tc>
        <w:tc>
          <w:tcPr>
            <w:tcW w:w="20" w:type="dxa"/>
            <w:vAlign w:val="bottom"/>
            <w:tcBorders>
              <w:bottom w:val="single" w:sz="8" w:color="424E6A"/>
            </w:tcBorders>
            <w:shd w:val="clear" w:color="auto" w:fill="424E6A"/>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420" w:type="dxa"/>
            <w:vAlign w:val="bottom"/>
            <w:tcBorders>
              <w:left w:val="single" w:sz="8" w:color="424E6A"/>
              <w:bottom w:val="single" w:sz="8" w:color="424E6A"/>
            </w:tcBorders>
            <w:gridSpan w:val="2"/>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2180" w:type="dxa"/>
            <w:vAlign w:val="bottom"/>
            <w:tcBorders>
              <w:bottom w:val="single" w:sz="8" w:color="424E6A"/>
              <w:right w:val="single" w:sz="8" w:color="424E6A"/>
            </w:tcBorders>
            <w:shd w:val="clear" w:color="auto" w:fill="D9DCE1"/>
          </w:tcPr>
          <w:p>
            <w:pPr>
              <w:ind w:left="2100"/>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140" w:type="dxa"/>
            <w:vAlign w:val="bottom"/>
            <w:tcBorders>
              <w:bottom w:val="single" w:sz="8" w:color="424E6A"/>
            </w:tcBorders>
            <w:shd w:val="clear" w:color="auto" w:fill="D9DCE1"/>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4"/>
                <w:szCs w:val="14"/>
                <w:b w:val="1"/>
                <w:bCs w:val="1"/>
                <w:color w:val="FFFFFF"/>
              </w:rPr>
              <w:t>​</w:t>
            </w:r>
          </w:p>
        </w:tc>
        <w:tc>
          <w:tcPr>
            <w:tcW w:w="1020" w:type="dxa"/>
            <w:vAlign w:val="bottom"/>
            <w:tcBorders>
              <w:bottom w:val="single" w:sz="8" w:color="424E6A"/>
            </w:tcBorders>
            <w:shd w:val="clear" w:color="auto" w:fill="D9DCE1"/>
          </w:tcPr>
          <w:p>
            <w:pPr>
              <w:jc w:val="right"/>
              <w:ind w:right="78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b w:val="1"/>
                <w:bCs w:val="1"/>
                <w:color w:val="FFFFFF"/>
              </w:rPr>
              <w:t>​</w:t>
            </w:r>
          </w:p>
        </w:tc>
        <w:tc>
          <w:tcPr>
            <w:tcW w:w="20" w:type="dxa"/>
            <w:vAlign w:val="bottom"/>
            <w:tcBorders>
              <w:bottom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tcBorders>
              <w:left w:val="single" w:sz="8" w:color="424E6A"/>
            </w:tcBorders>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Jeremy Goebel</w:t>
            </w:r>
          </w:p>
        </w:tc>
        <w:tc>
          <w:tcPr>
            <w:tcW w:w="2180" w:type="dxa"/>
            <w:vAlign w:val="bottom"/>
            <w:tcBorders>
              <w:right w:val="single" w:sz="8" w:color="424E6A"/>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Arial" w:cs="Arial" w:eastAsia="Arial" w:hAnsi="Arial"/>
                <w:sz w:val="18"/>
                <w:szCs w:val="18"/>
                <w:color w:val="auto"/>
              </w:rPr>
              <w:t>172,046</w:t>
            </w:r>
            <w:r>
              <w:rPr>
                <w:rFonts w:ascii="Arial" w:cs="Arial" w:eastAsia="Arial" w:hAnsi="Arial"/>
                <w:sz w:val="23"/>
                <w:szCs w:val="23"/>
                <w:color w:val="auto"/>
                <w:vertAlign w:val="superscript"/>
              </w:rPr>
              <w:t>(2)</w:t>
            </w:r>
          </w:p>
        </w:tc>
        <w:tc>
          <w:tcPr>
            <w:tcW w:w="140" w:type="dxa"/>
            <w:vAlign w:val="bottom"/>
            <w:tcBorders>
              <w:right w:val="single" w:sz="8" w:color="424E6A"/>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
              <w:spacing w:after="0" w:line="215" w:lineRule="exact"/>
              <w:rPr>
                <w:sz w:val="20"/>
                <w:szCs w:val="20"/>
                <w:color w:val="auto"/>
              </w:rPr>
            </w:pPr>
            <w:r>
              <w:rPr>
                <w:rFonts w:ascii="Arial" w:cs="Arial" w:eastAsia="Arial" w:hAnsi="Arial"/>
                <w:sz w:val="18"/>
                <w:szCs w:val="18"/>
                <w:color w:val="auto"/>
              </w:rPr>
              <w:t>2,623,702</w:t>
            </w:r>
            <w:r>
              <w:rPr>
                <w:rFonts w:ascii="Arial" w:cs="Arial" w:eastAsia="Arial" w:hAnsi="Arial"/>
                <w:sz w:val="23"/>
                <w:szCs w:val="23"/>
                <w:color w:val="auto"/>
                <w:vertAlign w:val="superscript"/>
              </w:rPr>
              <w:t>(3)</w:t>
            </w:r>
          </w:p>
        </w:tc>
        <w:tc>
          <w:tcPr>
            <w:tcW w:w="20" w:type="dxa"/>
            <w:vAlign w:val="bottom"/>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60" w:type="dxa"/>
            <w:vAlign w:val="bottom"/>
            <w:tcBorders>
              <w:left w:val="single" w:sz="8" w:color="424E6A"/>
              <w:bottom w:val="single" w:sz="8" w:color="424E6A"/>
            </w:tcBorders>
          </w:tcPr>
          <w:p>
            <w:pPr>
              <w:spacing w:after="0"/>
              <w:rPr>
                <w:sz w:val="24"/>
                <w:szCs w:val="24"/>
                <w:color w:val="auto"/>
              </w:rPr>
            </w:pPr>
          </w:p>
        </w:tc>
        <w:tc>
          <w:tcPr>
            <w:tcW w:w="3360" w:type="dxa"/>
            <w:vAlign w:val="bottom"/>
            <w:tcBorders>
              <w:bottom w:val="single" w:sz="8" w:color="424E6A"/>
            </w:tcBorders>
          </w:tcPr>
          <w:p>
            <w:pPr>
              <w:spacing w:after="0"/>
              <w:rPr>
                <w:sz w:val="24"/>
                <w:szCs w:val="24"/>
                <w:color w:val="auto"/>
              </w:rPr>
            </w:pPr>
          </w:p>
        </w:tc>
        <w:tc>
          <w:tcPr>
            <w:tcW w:w="2180" w:type="dxa"/>
            <w:vAlign w:val="bottom"/>
            <w:tcBorders>
              <w:bottom w:val="single" w:sz="8" w:color="424E6A"/>
              <w:right w:val="single" w:sz="8" w:color="424E6A"/>
            </w:tcBorders>
          </w:tcPr>
          <w:p>
            <w:pPr>
              <w:spacing w:after="0"/>
              <w:rPr>
                <w:sz w:val="24"/>
                <w:szCs w:val="24"/>
                <w:color w:val="auto"/>
              </w:rPr>
            </w:pPr>
          </w:p>
        </w:tc>
        <w:tc>
          <w:tcPr>
            <w:tcW w:w="80" w:type="dxa"/>
            <w:vAlign w:val="bottom"/>
            <w:tcBorders>
              <w:bottom w:val="single" w:sz="8" w:color="424E6A"/>
            </w:tcBorders>
          </w:tcPr>
          <w:p>
            <w:pPr>
              <w:spacing w:after="0"/>
              <w:rPr>
                <w:sz w:val="24"/>
                <w:szCs w:val="24"/>
                <w:color w:val="auto"/>
              </w:rPr>
            </w:pPr>
          </w:p>
        </w:tc>
        <w:tc>
          <w:tcPr>
            <w:tcW w:w="1140" w:type="dxa"/>
            <w:vAlign w:val="bottom"/>
            <w:tcBorders>
              <w:bottom w:val="single" w:sz="8" w:color="424E6A"/>
            </w:tcBorders>
          </w:tcPr>
          <w:p>
            <w:pPr>
              <w:jc w:val="right"/>
              <w:ind w:right="160"/>
              <w:spacing w:after="0"/>
              <w:rPr>
                <w:sz w:val="20"/>
                <w:szCs w:val="20"/>
                <w:color w:val="auto"/>
              </w:rPr>
            </w:pPr>
            <w:r>
              <w:rPr>
                <w:rFonts w:ascii="Arial" w:cs="Arial" w:eastAsia="Arial" w:hAnsi="Arial"/>
                <w:sz w:val="18"/>
                <w:szCs w:val="18"/>
                <w:color w:val="auto"/>
              </w:rPr>
              <w:t>30,000</w:t>
            </w:r>
          </w:p>
        </w:tc>
        <w:tc>
          <w:tcPr>
            <w:tcW w:w="140" w:type="dxa"/>
            <w:vAlign w:val="bottom"/>
            <w:tcBorders>
              <w:bottom w:val="single" w:sz="8" w:color="424E6A"/>
              <w:right w:val="single" w:sz="8" w:color="424E6A"/>
            </w:tcBorders>
          </w:tcPr>
          <w:p>
            <w:pPr>
              <w:spacing w:after="0"/>
              <w:rPr>
                <w:sz w:val="24"/>
                <w:szCs w:val="24"/>
                <w:color w:val="auto"/>
              </w:rPr>
            </w:pPr>
          </w:p>
        </w:tc>
        <w:tc>
          <w:tcPr>
            <w:tcW w:w="80" w:type="dxa"/>
            <w:vAlign w:val="bottom"/>
            <w:tcBorders>
              <w:bottom w:val="single" w:sz="8" w:color="424E6A"/>
            </w:tcBorders>
          </w:tcPr>
          <w:p>
            <w:pPr>
              <w:spacing w:after="0"/>
              <w:rPr>
                <w:sz w:val="24"/>
                <w:szCs w:val="24"/>
                <w:color w:val="auto"/>
              </w:rPr>
            </w:pPr>
          </w:p>
        </w:tc>
        <w:tc>
          <w:tcPr>
            <w:tcW w:w="1160" w:type="dxa"/>
            <w:vAlign w:val="bottom"/>
            <w:tcBorders>
              <w:bottom w:val="single" w:sz="8" w:color="424E6A"/>
            </w:tcBorders>
            <w:gridSpan w:val="2"/>
          </w:tcPr>
          <w:p>
            <w:pPr>
              <w:jc w:val="right"/>
              <w:ind w:right="28"/>
              <w:spacing w:after="0"/>
              <w:rPr>
                <w:sz w:val="20"/>
                <w:szCs w:val="20"/>
                <w:color w:val="auto"/>
              </w:rPr>
            </w:pPr>
            <w:r>
              <w:rPr>
                <w:rFonts w:ascii="Arial" w:cs="Arial" w:eastAsia="Arial" w:hAnsi="Arial"/>
                <w:sz w:val="18"/>
                <w:szCs w:val="18"/>
                <w:color w:val="auto"/>
              </w:rPr>
              <w:t>352,800</w:t>
            </w:r>
            <w:r>
              <w:rPr>
                <w:rFonts w:ascii="Arial" w:cs="Arial" w:eastAsia="Arial" w:hAnsi="Arial"/>
                <w:sz w:val="23"/>
                <w:szCs w:val="23"/>
                <w:color w:val="auto"/>
                <w:vertAlign w:val="superscript"/>
              </w:rPr>
              <w:t>(4)</w:t>
            </w:r>
          </w:p>
        </w:tc>
        <w:tc>
          <w:tcPr>
            <w:tcW w:w="20" w:type="dxa"/>
            <w:vAlign w:val="bottom"/>
            <w:tcBorders>
              <w:bottom w:val="single" w:sz="8" w:color="424E6A"/>
            </w:tcBorders>
            <w:shd w:val="clear" w:color="auto" w:fill="424E6A"/>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-179705</wp:posOffset>
            </wp:positionV>
            <wp:extent cx="1671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-788035</wp:posOffset>
            </wp:positionV>
            <wp:extent cx="521208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-1088390</wp:posOffset>
            </wp:positionV>
            <wp:extent cx="521208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-1388110</wp:posOffset>
            </wp:positionV>
            <wp:extent cx="5212080"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-2202180</wp:posOffset>
            </wp:positionV>
            <wp:extent cx="5212080" cy="3600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360045"/>
                    </a:xfrm>
                    <a:prstGeom prst="rect">
                      <a:avLst/>
                    </a:prstGeom>
                    <a:noFill/>
                  </pic:spPr>
                </pic:pic>
              </a:graphicData>
            </a:graphic>
          </wp:anchor>
        </w:drawing>
      </w:r>
    </w:p>
    <w:p>
      <w:pPr>
        <w:spacing w:after="0" w:line="29" w:lineRule="exact"/>
        <w:rPr>
          <w:sz w:val="20"/>
          <w:szCs w:val="20"/>
          <w:color w:val="auto"/>
        </w:rPr>
      </w:pPr>
    </w:p>
    <w:p>
      <w:pPr>
        <w:ind w:left="1620" w:right="639" w:hanging="360"/>
        <w:spacing w:after="0" w:line="210"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Represents the gross number of phantom units that vested during the year ended December 31, 2023. The actual number of units delivered was net of income tax withholding.</w:t>
      </w:r>
    </w:p>
    <w:p>
      <w:pPr>
        <w:spacing w:after="0" w:line="60" w:lineRule="exact"/>
        <w:rPr>
          <w:rFonts w:ascii="Arial" w:cs="Arial" w:eastAsia="Arial" w:hAnsi="Arial"/>
          <w:sz w:val="27"/>
          <w:szCs w:val="27"/>
          <w:color w:val="auto"/>
          <w:vertAlign w:val="superscript"/>
        </w:rPr>
      </w:pPr>
    </w:p>
    <w:p>
      <w:pPr>
        <w:ind w:left="1620" w:right="459" w:hanging="360"/>
        <w:spacing w:after="0" w:line="257" w:lineRule="auto"/>
        <w:tabs>
          <w:tab w:leader="none" w:pos="1620" w:val="left"/>
        </w:tabs>
        <w:numPr>
          <w:ilvl w:val="0"/>
          <w:numId w:val="64"/>
        </w:numPr>
        <w:rPr>
          <w:rFonts w:ascii="Arial" w:cs="Arial" w:eastAsia="Arial" w:hAnsi="Arial"/>
          <w:sz w:val="26"/>
          <w:szCs w:val="26"/>
          <w:color w:val="auto"/>
          <w:vertAlign w:val="superscript"/>
        </w:rPr>
      </w:pPr>
      <w:r>
        <w:rPr>
          <w:rFonts w:ascii="Arial" w:cs="Arial" w:eastAsia="Arial" w:hAnsi="Arial"/>
          <w:sz w:val="17"/>
          <w:szCs w:val="17"/>
          <w:color w:val="auto"/>
        </w:rPr>
        <w:t>Represents phantom units originally granted in August 2020 that vested in August 2023. Pursuant to the terms of the 2020 grants, (i) 50% of the phantom units were time based with vesting to occur in August 2023, and (ii) 50% of the phantom units were performance based with potential vesting to occur in August 2023 at a scaled payout range of between 0% and 200% based on: (A) with respect to 50% of the performance-based portion, PAA’s TSR over the three year period ending June 30, 2023 compared to the TSR of the applicable TSR peer group and (B) with respect to the other 50% of the performance-based portion, PAA achieving a cumulative adjusted DCF per CUE target of $5.90 over the three-year period ending June 30, 2023. With respect to the performance-based portion of the 2020 grants, the final payout percentage for the TSR portion was 75% (based on a TSR ranking of 11 out of 17) and the final payout percentage for the DCF/​CUE portion was 182.6% (based on achieving cumulative DCF/CUE of $6.51). Taking all vesting criteria (50% time, 25% TSR and 25% DCF/CUE) into account, the 2020 grants paid out at 114.4% of target.</w:t>
      </w:r>
    </w:p>
    <w:p>
      <w:pPr>
        <w:spacing w:after="0" w:line="36" w:lineRule="exact"/>
        <w:rPr>
          <w:rFonts w:ascii="Arial" w:cs="Arial" w:eastAsia="Arial" w:hAnsi="Arial"/>
          <w:sz w:val="26"/>
          <w:szCs w:val="26"/>
          <w:color w:val="auto"/>
          <w:vertAlign w:val="superscript"/>
        </w:rPr>
      </w:pPr>
    </w:p>
    <w:p>
      <w:pPr>
        <w:ind w:left="1620" w:right="579" w:hanging="360"/>
        <w:spacing w:after="0" w:line="228"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($15.25) of PAA’s common units on August 11, 2023 (the trading date immediately preceding the vesting date) by the number of units that vested.</w:t>
      </w:r>
    </w:p>
    <w:p>
      <w:pPr>
        <w:spacing w:after="0" w:line="60" w:lineRule="exact"/>
        <w:rPr>
          <w:rFonts w:ascii="Arial" w:cs="Arial" w:eastAsia="Arial" w:hAnsi="Arial"/>
          <w:sz w:val="27"/>
          <w:szCs w:val="27"/>
          <w:color w:val="auto"/>
          <w:vertAlign w:val="superscript"/>
        </w:rPr>
      </w:pPr>
    </w:p>
    <w:p>
      <w:pPr>
        <w:ind w:left="1620" w:right="779" w:hanging="360"/>
        <w:spacing w:after="0" w:line="228" w:lineRule="auto"/>
        <w:tabs>
          <w:tab w:leader="none" w:pos="16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Consistent with the terms of the applicable Long-Term Incentive Plan, the value realized upon vesting is computed by multiplying the closing market price ($11.76) of PAA’s common units on December 30, 2022 (the trading date immediately preceding the vesting date) by the number of units that vested.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44" w:lineRule="exact"/>
        <w:rPr>
          <w:sz w:val="20"/>
          <w:szCs w:val="20"/>
          <w:color w:val="auto"/>
        </w:rPr>
      </w:pPr>
    </w:p>
    <w:p>
      <w:pPr>
        <w:jc w:val="both"/>
        <w:ind w:left="1260" w:right="739" w:firstLine="360"/>
        <w:spacing w:after="0" w:line="268" w:lineRule="auto"/>
        <w:rPr>
          <w:sz w:val="20"/>
          <w:szCs w:val="20"/>
          <w:color w:val="auto"/>
        </w:rPr>
      </w:pPr>
      <w:r>
        <w:rPr>
          <w:rFonts w:ascii="Arial" w:cs="Arial" w:eastAsia="Arial" w:hAnsi="Arial"/>
          <w:sz w:val="18"/>
          <w:szCs w:val="18"/>
          <w:color w:val="auto"/>
        </w:rPr>
        <w:t>GP LLC sponsors a 401(k) plan that is available to all U.S. employees. We do not maintain any pension or defined benefit programs in which any of our employees, including the Named Executive Officers, participate.</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 and Other Nonqualified Deferred Compensation Plans</w:t>
      </w:r>
    </w:p>
    <w:p>
      <w:pPr>
        <w:spacing w:after="0" w:line="144"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8"/>
          <w:szCs w:val="18"/>
          <w:color w:val="auto"/>
        </w:rPr>
        <w:t>We do not maintain any nonqualified deferred compensation plans or programs in which any of our employees, including our Named Executive Officers, participate.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58" w:lineRule="exact"/>
        <w:rPr>
          <w:sz w:val="20"/>
          <w:szCs w:val="20"/>
          <w:color w:val="auto"/>
        </w:rPr>
      </w:pPr>
    </w:p>
    <w:p>
      <w:pPr>
        <w:ind w:left="1260" w:right="599" w:firstLine="360"/>
        <w:spacing w:after="0" w:line="301" w:lineRule="auto"/>
        <w:rPr>
          <w:sz w:val="20"/>
          <w:szCs w:val="20"/>
          <w:color w:val="auto"/>
        </w:rPr>
      </w:pPr>
      <w:r>
        <w:rPr>
          <w:rFonts w:ascii="Arial" w:cs="Arial" w:eastAsia="Arial" w:hAnsi="Arial"/>
          <w:sz w:val="17"/>
          <w:szCs w:val="17"/>
          <w:color w:val="auto"/>
        </w:rPr>
        <w:t>The following table sets forth potential amounts payable to the Named Executive Officers upon termination of employment under various circumstances, and as if terminated on December 31, 2023.</w:t>
      </w:r>
    </w:p>
    <w:p>
      <w:pPr>
        <w:spacing w:after="0" w:line="123"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40" w:type="dxa"/>
            <w:vAlign w:val="bottom"/>
            <w:tcBorders>
              <w:left w:val="single" w:sz="8" w:color="424E6A"/>
            </w:tcBorders>
            <w:shd w:val="clear" w:color="auto" w:fill="424E6A"/>
          </w:tcPr>
          <w:p>
            <w:pPr>
              <w:spacing w:after="0"/>
              <w:rPr>
                <w:sz w:val="17"/>
                <w:szCs w:val="17"/>
                <w:color w:val="auto"/>
              </w:rPr>
            </w:pPr>
          </w:p>
        </w:tc>
        <w:tc>
          <w:tcPr>
            <w:tcW w:w="1900" w:type="dxa"/>
            <w:vAlign w:val="bottom"/>
            <w:tcBorders>
              <w:right w:val="single" w:sz="8" w:color="424E6A"/>
            </w:tcBorders>
            <w:shd w:val="clear" w:color="auto" w:fill="424E6A"/>
          </w:tcPr>
          <w:p>
            <w:pPr>
              <w:spacing w:after="0"/>
              <w:rPr>
                <w:sz w:val="17"/>
                <w:szCs w:val="17"/>
                <w:color w:val="auto"/>
              </w:rPr>
            </w:pPr>
          </w:p>
        </w:tc>
        <w:tc>
          <w:tcPr>
            <w:tcW w:w="280" w:type="dxa"/>
            <w:vAlign w:val="bottom"/>
            <w:shd w:val="clear" w:color="auto" w:fill="424E6A"/>
          </w:tcPr>
          <w:p>
            <w:pPr>
              <w:spacing w:after="0"/>
              <w:rPr>
                <w:sz w:val="17"/>
                <w:szCs w:val="17"/>
                <w:color w:val="auto"/>
              </w:rPr>
            </w:pPr>
          </w:p>
        </w:tc>
        <w:tc>
          <w:tcPr>
            <w:tcW w:w="78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280" w:type="dxa"/>
            <w:vAlign w:val="bottom"/>
            <w:shd w:val="clear" w:color="auto" w:fill="424E6A"/>
          </w:tcPr>
          <w:p>
            <w:pPr>
              <w:spacing w:after="0"/>
              <w:rPr>
                <w:sz w:val="17"/>
                <w:szCs w:val="17"/>
                <w:color w:val="auto"/>
              </w:rPr>
            </w:pPr>
          </w:p>
        </w:tc>
        <w:tc>
          <w:tcPr>
            <w:tcW w:w="780" w:type="dxa"/>
            <w:vAlign w:val="bottom"/>
            <w:shd w:val="clear" w:color="auto" w:fill="424E6A"/>
          </w:tcPr>
          <w:p>
            <w:pPr>
              <w:spacing w:after="0"/>
              <w:rPr>
                <w:sz w:val="17"/>
                <w:szCs w:val="17"/>
                <w:color w:val="auto"/>
              </w:rPr>
            </w:pPr>
          </w:p>
        </w:tc>
        <w:tc>
          <w:tcPr>
            <w:tcW w:w="14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960" w:type="dxa"/>
            <w:vAlign w:val="bottom"/>
            <w:tcBorders>
              <w:right w:val="single" w:sz="8" w:color="424E6A"/>
            </w:tcBorders>
            <w:shd w:val="clear" w:color="auto" w:fill="424E6A"/>
          </w:tcPr>
          <w:p>
            <w:pPr>
              <w:spacing w:after="0"/>
              <w:rPr>
                <w:sz w:val="17"/>
                <w:szCs w:val="17"/>
                <w:color w:val="auto"/>
              </w:rPr>
            </w:pPr>
          </w:p>
        </w:tc>
        <w:tc>
          <w:tcPr>
            <w:tcW w:w="260" w:type="dxa"/>
            <w:vAlign w:val="bottom"/>
            <w:shd w:val="clear" w:color="auto" w:fill="424E6A"/>
          </w:tcPr>
          <w:p>
            <w:pPr>
              <w:spacing w:after="0"/>
              <w:rPr>
                <w:sz w:val="17"/>
                <w:szCs w:val="17"/>
                <w:color w:val="auto"/>
              </w:rPr>
            </w:pPr>
          </w:p>
        </w:tc>
        <w:tc>
          <w:tcPr>
            <w:tcW w:w="680" w:type="dxa"/>
            <w:vAlign w:val="bottom"/>
            <w:shd w:val="clear" w:color="auto" w:fill="424E6A"/>
          </w:tcPr>
          <w:p>
            <w:pPr>
              <w:spacing w:after="0"/>
              <w:rPr>
                <w:sz w:val="17"/>
                <w:szCs w:val="17"/>
                <w:color w:val="auto"/>
              </w:rPr>
            </w:pPr>
          </w:p>
        </w:tc>
        <w:tc>
          <w:tcPr>
            <w:tcW w:w="220" w:type="dxa"/>
            <w:vAlign w:val="bottom"/>
            <w:tcBorders>
              <w:right w:val="single" w:sz="8" w:color="424E6A"/>
            </w:tcBorders>
            <w:shd w:val="clear" w:color="auto" w:fill="424E6A"/>
          </w:tcPr>
          <w:p>
            <w:pPr>
              <w:spacing w:after="0"/>
              <w:rPr>
                <w:sz w:val="17"/>
                <w:szCs w:val="17"/>
                <w:color w:val="auto"/>
              </w:rPr>
            </w:pPr>
          </w:p>
        </w:tc>
        <w:tc>
          <w:tcPr>
            <w:tcW w:w="120" w:type="dxa"/>
            <w:vAlign w:val="bottom"/>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In</w:t>
            </w:r>
          </w:p>
        </w:tc>
        <w:tc>
          <w:tcPr>
            <w:tcW w:w="22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0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jc w:val="center"/>
              <w:ind w:right="214"/>
              <w:spacing w:after="0"/>
              <w:rPr>
                <w:sz w:val="20"/>
                <w:szCs w:val="20"/>
                <w:color w:val="auto"/>
              </w:rPr>
            </w:pPr>
            <w:r>
              <w:rPr>
                <w:rFonts w:ascii="Arial" w:cs="Arial" w:eastAsia="Arial" w:hAnsi="Arial"/>
                <w:sz w:val="14"/>
                <w:szCs w:val="14"/>
                <w:b w:val="1"/>
                <w:bCs w:val="1"/>
                <w:color w:val="FFFFFF"/>
              </w:rPr>
              <w:t>By</w:t>
            </w:r>
          </w:p>
        </w:tc>
        <w:tc>
          <w:tcPr>
            <w:tcW w:w="26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21"/>
              <w:spacing w:after="0"/>
              <w:rPr>
                <w:sz w:val="20"/>
                <w:szCs w:val="20"/>
                <w:color w:val="auto"/>
              </w:rPr>
            </w:pPr>
            <w:r>
              <w:rPr>
                <w:rFonts w:ascii="Arial" w:cs="Arial" w:eastAsia="Arial" w:hAnsi="Arial"/>
                <w:sz w:val="14"/>
                <w:szCs w:val="14"/>
                <w:b w:val="1"/>
                <w:bCs w:val="1"/>
                <w:color w:val="FFFFFF"/>
              </w:rPr>
              <w:t>By</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Connection</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0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By</w:t>
            </w: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By</w:t>
            </w: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jc w:val="center"/>
              <w:ind w:right="214"/>
              <w:spacing w:after="0"/>
              <w:rPr>
                <w:sz w:val="20"/>
                <w:szCs w:val="20"/>
                <w:color w:val="auto"/>
              </w:rPr>
            </w:pPr>
            <w:r>
              <w:rPr>
                <w:rFonts w:ascii="Arial" w:cs="Arial" w:eastAsia="Arial" w:hAnsi="Arial"/>
                <w:sz w:val="14"/>
                <w:szCs w:val="14"/>
                <w:b w:val="1"/>
                <w:bCs w:val="1"/>
                <w:color w:val="FFFFFF"/>
              </w:rPr>
              <w:t>Company</w:t>
            </w:r>
          </w:p>
        </w:tc>
        <w:tc>
          <w:tcPr>
            <w:tcW w:w="940" w:type="dxa"/>
            <w:vAlign w:val="bottom"/>
            <w:gridSpan w:val="2"/>
            <w:shd w:val="clear" w:color="auto" w:fill="424E6A"/>
          </w:tcPr>
          <w:p>
            <w:pPr>
              <w:jc w:val="center"/>
              <w:ind w:left="82"/>
              <w:spacing w:after="0"/>
              <w:rPr>
                <w:sz w:val="20"/>
                <w:szCs w:val="20"/>
                <w:color w:val="auto"/>
              </w:rPr>
            </w:pPr>
            <w:r>
              <w:rPr>
                <w:rFonts w:ascii="Arial" w:cs="Arial" w:eastAsia="Arial" w:hAnsi="Arial"/>
                <w:sz w:val="14"/>
                <w:szCs w:val="14"/>
                <w:b w:val="1"/>
                <w:bCs w:val="1"/>
                <w:color w:val="FFFFFF"/>
              </w:rPr>
              <w:t>Executive</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with a</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0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Reason of</w:t>
            </w: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Reason of</w:t>
            </w: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jc w:val="center"/>
              <w:ind w:right="214"/>
              <w:spacing w:after="0"/>
              <w:rPr>
                <w:sz w:val="20"/>
                <w:szCs w:val="20"/>
                <w:color w:val="auto"/>
              </w:rPr>
            </w:pPr>
            <w:r>
              <w:rPr>
                <w:rFonts w:ascii="Arial" w:cs="Arial" w:eastAsia="Arial" w:hAnsi="Arial"/>
                <w:sz w:val="14"/>
                <w:szCs w:val="14"/>
                <w:b w:val="1"/>
                <w:bCs w:val="1"/>
                <w:color w:val="FFFFFF"/>
              </w:rPr>
              <w:t>without</w:t>
            </w:r>
          </w:p>
        </w:tc>
        <w:tc>
          <w:tcPr>
            <w:tcW w:w="940" w:type="dxa"/>
            <w:vAlign w:val="bottom"/>
            <w:gridSpan w:val="2"/>
            <w:shd w:val="clear" w:color="auto" w:fill="424E6A"/>
          </w:tcPr>
          <w:p>
            <w:pPr>
              <w:jc w:val="center"/>
              <w:ind w:left="82"/>
              <w:spacing w:after="0"/>
              <w:rPr>
                <w:sz w:val="20"/>
                <w:szCs w:val="20"/>
                <w:color w:val="auto"/>
              </w:rPr>
            </w:pPr>
            <w:r>
              <w:rPr>
                <w:rFonts w:ascii="Arial" w:cs="Arial" w:eastAsia="Arial" w:hAnsi="Arial"/>
                <w:sz w:val="14"/>
                <w:szCs w:val="14"/>
                <w:b w:val="1"/>
                <w:bCs w:val="1"/>
                <w:color w:val="FFFFFF"/>
              </w:rPr>
              <w:t>with Good</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Change In</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left w:val="single" w:sz="8" w:color="424E6A"/>
            </w:tcBorders>
            <w:shd w:val="clear" w:color="auto" w:fill="424E6A"/>
          </w:tcPr>
          <w:p>
            <w:pPr>
              <w:spacing w:after="0"/>
              <w:rPr>
                <w:sz w:val="14"/>
                <w:szCs w:val="14"/>
                <w:color w:val="auto"/>
              </w:rPr>
            </w:pPr>
          </w:p>
        </w:tc>
        <w:tc>
          <w:tcPr>
            <w:tcW w:w="190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Death</w:t>
            </w:r>
          </w:p>
        </w:tc>
        <w:tc>
          <w:tcPr>
            <w:tcW w:w="14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280" w:type="dxa"/>
            <w:vAlign w:val="bottom"/>
            <w:shd w:val="clear" w:color="auto" w:fill="424E6A"/>
          </w:tcPr>
          <w:p>
            <w:pPr>
              <w:spacing w:after="0"/>
              <w:rPr>
                <w:sz w:val="14"/>
                <w:szCs w:val="14"/>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Disability</w:t>
            </w:r>
          </w:p>
        </w:tc>
        <w:tc>
          <w:tcPr>
            <w:tcW w:w="14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jc w:val="center"/>
              <w:ind w:right="214"/>
              <w:spacing w:after="0"/>
              <w:rPr>
                <w:sz w:val="20"/>
                <w:szCs w:val="20"/>
                <w:color w:val="auto"/>
              </w:rPr>
            </w:pPr>
            <w:r>
              <w:rPr>
                <w:rFonts w:ascii="Arial" w:cs="Arial" w:eastAsia="Arial" w:hAnsi="Arial"/>
                <w:sz w:val="14"/>
                <w:szCs w:val="14"/>
                <w:b w:val="1"/>
                <w:bCs w:val="1"/>
                <w:color w:val="FFFFFF"/>
              </w:rPr>
              <w:t>Cause</w:t>
            </w:r>
          </w:p>
        </w:tc>
        <w:tc>
          <w:tcPr>
            <w:tcW w:w="260" w:type="dxa"/>
            <w:vAlign w:val="bottom"/>
            <w:shd w:val="clear" w:color="auto" w:fill="424E6A"/>
          </w:tcPr>
          <w:p>
            <w:pPr>
              <w:spacing w:after="0"/>
              <w:rPr>
                <w:sz w:val="14"/>
                <w:szCs w:val="14"/>
                <w:color w:val="auto"/>
              </w:rPr>
            </w:pPr>
          </w:p>
        </w:tc>
        <w:tc>
          <w:tcPr>
            <w:tcW w:w="680" w:type="dxa"/>
            <w:vAlign w:val="bottom"/>
            <w:shd w:val="clear" w:color="auto" w:fill="424E6A"/>
          </w:tcPr>
          <w:p>
            <w:pPr>
              <w:jc w:val="center"/>
              <w:ind w:right="41"/>
              <w:spacing w:after="0"/>
              <w:rPr>
                <w:sz w:val="20"/>
                <w:szCs w:val="20"/>
                <w:color w:val="auto"/>
              </w:rPr>
            </w:pPr>
            <w:r>
              <w:rPr>
                <w:rFonts w:ascii="Arial" w:cs="Arial" w:eastAsia="Arial" w:hAnsi="Arial"/>
                <w:sz w:val="14"/>
                <w:szCs w:val="14"/>
                <w:b w:val="1"/>
                <w:bCs w:val="1"/>
                <w:color w:val="FFFFFF"/>
              </w:rPr>
              <w:t>Reason</w:t>
            </w:r>
          </w:p>
        </w:tc>
        <w:tc>
          <w:tcPr>
            <w:tcW w:w="22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780" w:type="dxa"/>
            <w:vAlign w:val="bottom"/>
            <w:shd w:val="clear" w:color="auto" w:fill="424E6A"/>
          </w:tcPr>
          <w:p>
            <w:pPr>
              <w:jc w:val="center"/>
              <w:ind w:right="5"/>
              <w:spacing w:after="0"/>
              <w:rPr>
                <w:sz w:val="20"/>
                <w:szCs w:val="20"/>
                <w:color w:val="auto"/>
              </w:rPr>
            </w:pPr>
            <w:r>
              <w:rPr>
                <w:rFonts w:ascii="Arial" w:cs="Arial" w:eastAsia="Arial" w:hAnsi="Arial"/>
                <w:sz w:val="14"/>
                <w:szCs w:val="14"/>
                <w:b w:val="1"/>
                <w:bCs w:val="1"/>
                <w:color w:val="FFFFFF"/>
              </w:rPr>
              <w:t>Control</w:t>
            </w:r>
          </w:p>
        </w:tc>
        <w:tc>
          <w:tcPr>
            <w:tcW w:w="22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1900" w:type="dxa"/>
            <w:vAlign w:val="bottom"/>
            <w:tcBorders>
              <w:right w:val="single" w:sz="8" w:color="424E6A"/>
            </w:tcBorders>
            <w:shd w:val="clear" w:color="auto" w:fill="424E6A"/>
          </w:tcPr>
          <w:p>
            <w:pPr>
              <w:spacing w:after="0"/>
              <w:rPr>
                <w:sz w:val="18"/>
                <w:szCs w:val="18"/>
                <w:color w:val="auto"/>
              </w:rPr>
            </w:pPr>
          </w:p>
        </w:tc>
        <w:tc>
          <w:tcPr>
            <w:tcW w:w="280" w:type="dxa"/>
            <w:vAlign w:val="bottom"/>
            <w:shd w:val="clear" w:color="auto" w:fill="424E6A"/>
          </w:tcPr>
          <w:p>
            <w:pPr>
              <w:spacing w:after="0"/>
              <w:rPr>
                <w:sz w:val="18"/>
                <w:szCs w:val="18"/>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424E6A"/>
          </w:tcPr>
          <w:p>
            <w:pPr>
              <w:spacing w:after="0"/>
              <w:rPr>
                <w:sz w:val="18"/>
                <w:szCs w:val="18"/>
                <w:color w:val="auto"/>
              </w:rPr>
            </w:pPr>
          </w:p>
        </w:tc>
        <w:tc>
          <w:tcPr>
            <w:tcW w:w="120" w:type="dxa"/>
            <w:vAlign w:val="bottom"/>
            <w:tcBorders>
              <w:right w:val="single" w:sz="8" w:color="424E6A"/>
            </w:tcBorders>
            <w:shd w:val="clear" w:color="auto" w:fill="424E6A"/>
          </w:tcPr>
          <w:p>
            <w:pPr>
              <w:spacing w:after="0"/>
              <w:rPr>
                <w:sz w:val="18"/>
                <w:szCs w:val="18"/>
                <w:color w:val="auto"/>
              </w:rPr>
            </w:pPr>
          </w:p>
        </w:tc>
        <w:tc>
          <w:tcPr>
            <w:tcW w:w="280" w:type="dxa"/>
            <w:vAlign w:val="bottom"/>
            <w:shd w:val="clear" w:color="auto" w:fill="424E6A"/>
          </w:tcPr>
          <w:p>
            <w:pPr>
              <w:spacing w:after="0"/>
              <w:rPr>
                <w:sz w:val="18"/>
                <w:szCs w:val="18"/>
                <w:color w:val="auto"/>
              </w:rPr>
            </w:pPr>
          </w:p>
        </w:tc>
        <w:tc>
          <w:tcPr>
            <w:tcW w:w="780" w:type="dxa"/>
            <w:vAlign w:val="bottom"/>
            <w:shd w:val="clear" w:color="auto" w:fill="424E6A"/>
          </w:tcPr>
          <w:p>
            <w:pPr>
              <w:ind w:left="300"/>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424E6A"/>
          </w:tcPr>
          <w:p>
            <w:pPr>
              <w:spacing w:after="0"/>
              <w:rPr>
                <w:sz w:val="18"/>
                <w:szCs w:val="18"/>
                <w:color w:val="auto"/>
              </w:rPr>
            </w:pPr>
          </w:p>
        </w:tc>
        <w:tc>
          <w:tcPr>
            <w:tcW w:w="340" w:type="dxa"/>
            <w:vAlign w:val="bottom"/>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960" w:type="dxa"/>
            <w:vAlign w:val="bottom"/>
            <w:tcBorders>
              <w:right w:val="single" w:sz="8" w:color="424E6A"/>
            </w:tcBorders>
            <w:shd w:val="clear" w:color="auto" w:fill="424E6A"/>
          </w:tcPr>
          <w:p>
            <w:pPr>
              <w:jc w:val="center"/>
              <w:ind w:right="174"/>
              <w:spacing w:after="0"/>
              <w:rPr>
                <w:sz w:val="20"/>
                <w:szCs w:val="20"/>
                <w:color w:val="auto"/>
              </w:rPr>
            </w:pPr>
            <w:r>
              <w:rPr>
                <w:rFonts w:ascii="Arial" w:cs="Arial" w:eastAsia="Arial" w:hAnsi="Arial"/>
                <w:sz w:val="14"/>
                <w:szCs w:val="14"/>
                <w:b w:val="1"/>
                <w:bCs w:val="1"/>
                <w:color w:val="FFFFFF"/>
                <w:w w:val="93"/>
              </w:rPr>
              <w:t>($)</w:t>
            </w:r>
          </w:p>
        </w:tc>
        <w:tc>
          <w:tcPr>
            <w:tcW w:w="260" w:type="dxa"/>
            <w:vAlign w:val="bottom"/>
            <w:shd w:val="clear" w:color="auto" w:fill="424E6A"/>
          </w:tcPr>
          <w:p>
            <w:pPr>
              <w:spacing w:after="0"/>
              <w:rPr>
                <w:sz w:val="18"/>
                <w:szCs w:val="18"/>
                <w:color w:val="auto"/>
              </w:rPr>
            </w:pPr>
          </w:p>
        </w:tc>
        <w:tc>
          <w:tcPr>
            <w:tcW w:w="6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3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424E6A"/>
          </w:tcPr>
          <w:p>
            <w:pPr>
              <w:spacing w:after="0"/>
              <w:rPr>
                <w:sz w:val="18"/>
                <w:szCs w:val="18"/>
                <w:color w:val="auto"/>
              </w:rPr>
            </w:pPr>
          </w:p>
        </w:tc>
        <w:tc>
          <w:tcPr>
            <w:tcW w:w="7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right w:val="single" w:sz="8" w:color="424E6A"/>
            </w:tcBorders>
            <w:shd w:val="clear" w:color="auto" w:fill="424E6A"/>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40" w:type="dxa"/>
            <w:vAlign w:val="bottom"/>
            <w:tcBorders>
              <w:left w:val="single" w:sz="8" w:color="424E6A"/>
              <w:bottom w:val="single" w:sz="8" w:color="424E6A"/>
              <w:right w:val="single" w:sz="8" w:color="424E6A"/>
            </w:tcBorders>
            <w:gridSpan w:val="2"/>
            <w:shd w:val="clear" w:color="auto" w:fill="D9DCE1"/>
          </w:tcPr>
          <w:p>
            <w:pPr>
              <w:ind w:left="4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6"/>
                <w:szCs w:val="16"/>
                <w:b w:val="1"/>
                <w:bCs w:val="1"/>
                <w:color w:val="auto"/>
              </w:rPr>
              <w:t>Willie Chiang</w:t>
            </w:r>
            <w:r>
              <w:rPr>
                <w:rFonts w:ascii="Arial" w:cs="Arial" w:eastAsia="Arial" w:hAnsi="Arial"/>
                <w:sz w:val="19"/>
                <w:szCs w:val="19"/>
                <w:b w:val="1"/>
                <w:bCs w:val="1"/>
                <w:color w:val="auto"/>
                <w:vertAlign w:val="superscript"/>
              </w:rPr>
              <w:t>(7)</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3"/>
                <w:szCs w:val="23"/>
                <w:color w:val="auto"/>
              </w:rPr>
            </w:pPr>
          </w:p>
        </w:tc>
        <w:tc>
          <w:tcPr>
            <w:tcW w:w="140" w:type="dxa"/>
            <w:vAlign w:val="bottom"/>
            <w:tcBorders>
              <w:bottom w:val="single" w:sz="8" w:color="424E6A"/>
            </w:tcBorders>
            <w:shd w:val="clear" w:color="auto" w:fill="D9DCE1"/>
          </w:tcPr>
          <w:p>
            <w:pPr>
              <w:spacing w:after="0"/>
              <w:rPr>
                <w:sz w:val="23"/>
                <w:szCs w:val="23"/>
                <w:color w:val="auto"/>
              </w:rPr>
            </w:pP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3"/>
                <w:szCs w:val="23"/>
                <w:color w:val="auto"/>
              </w:rPr>
            </w:pPr>
          </w:p>
        </w:tc>
        <w:tc>
          <w:tcPr>
            <w:tcW w:w="140" w:type="dxa"/>
            <w:vAlign w:val="bottom"/>
            <w:tcBorders>
              <w:bottom w:val="single" w:sz="8" w:color="424E6A"/>
            </w:tcBorders>
            <w:shd w:val="clear" w:color="auto" w:fill="D9DCE1"/>
          </w:tcPr>
          <w:p>
            <w:pPr>
              <w:spacing w:after="0"/>
              <w:rPr>
                <w:sz w:val="23"/>
                <w:szCs w:val="23"/>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960" w:type="dxa"/>
            <w:vAlign w:val="bottom"/>
            <w:tcBorders>
              <w:bottom w:val="single" w:sz="8" w:color="424E6A"/>
              <w:right w:val="single" w:sz="8" w:color="424E6A"/>
            </w:tcBorders>
            <w:shd w:val="clear" w:color="auto" w:fill="D9DCE1"/>
          </w:tcPr>
          <w:p>
            <w:pPr>
              <w:jc w:val="right"/>
              <w:ind w:right="34"/>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3"/>
                <w:szCs w:val="23"/>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3"/>
                <w:szCs w:val="23"/>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Equity Compensation</w:t>
            </w:r>
          </w:p>
        </w:tc>
        <w:tc>
          <w:tcPr>
            <w:tcW w:w="12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19,747,571</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19,747,571</w:t>
            </w:r>
            <w:r>
              <w:rPr>
                <w:rFonts w:ascii="Arial" w:cs="Arial" w:eastAsia="Arial" w:hAnsi="Arial"/>
                <w:sz w:val="19"/>
                <w:szCs w:val="19"/>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424E6A"/>
            </w:tcBorders>
            <w:gridSpan w:val="2"/>
          </w:tcPr>
          <w:p>
            <w:pPr>
              <w:jc w:val="right"/>
              <w:spacing w:after="0" w:line="169" w:lineRule="exact"/>
              <w:rPr>
                <w:sz w:val="20"/>
                <w:szCs w:val="20"/>
                <w:color w:val="auto"/>
              </w:rPr>
            </w:pPr>
            <w:r>
              <w:rPr>
                <w:rFonts w:ascii="Arial" w:cs="Arial" w:eastAsia="Arial" w:hAnsi="Arial"/>
                <w:sz w:val="16"/>
                <w:szCs w:val="16"/>
                <w:color w:val="auto"/>
              </w:rPr>
              <w:t>15,158,624</w:t>
            </w:r>
            <w:r>
              <w:rPr>
                <w:rFonts w:ascii="Arial" w:cs="Arial" w:eastAsia="Arial" w:hAnsi="Arial"/>
                <w:sz w:val="19"/>
                <w:szCs w:val="19"/>
                <w:color w:val="auto"/>
                <w:vertAlign w:val="superscript"/>
              </w:rPr>
              <w:t>(2)</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tcBorders>
              <w:right w:val="single" w:sz="8" w:color="424E6A"/>
            </w:tcBorders>
            <w:gridSpan w:val="3"/>
          </w:tcPr>
          <w:p>
            <w:pPr>
              <w:jc w:val="right"/>
              <w:ind w:right="35"/>
              <w:spacing w:after="0" w:line="169" w:lineRule="exact"/>
              <w:rPr>
                <w:sz w:val="20"/>
                <w:szCs w:val="20"/>
                <w:color w:val="auto"/>
              </w:rPr>
            </w:pPr>
            <w:r>
              <w:rPr>
                <w:rFonts w:ascii="Arial" w:cs="Arial" w:eastAsia="Arial" w:hAnsi="Arial"/>
                <w:sz w:val="16"/>
                <w:szCs w:val="16"/>
                <w:color w:val="auto"/>
              </w:rPr>
              <w:t>24,657,686</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68"/>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00" w:type="dxa"/>
            <w:vAlign w:val="bottom"/>
            <w:tcBorders>
              <w:bottom w:val="single" w:sz="8" w:color="424E6A"/>
              <w:right w:val="single" w:sz="8" w:color="424E6A"/>
            </w:tcBorders>
          </w:tcPr>
          <w:p>
            <w:pPr>
              <w:spacing w:after="0"/>
              <w:rPr>
                <w:sz w:val="5"/>
                <w:szCs w:val="5"/>
                <w:color w:val="auto"/>
              </w:rPr>
            </w:pPr>
          </w:p>
        </w:tc>
        <w:tc>
          <w:tcPr>
            <w:tcW w:w="28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tcPr>
          <w:p>
            <w:pPr>
              <w:ind w:left="40"/>
              <w:spacing w:after="0" w:line="68" w:lineRule="exact"/>
              <w:rPr>
                <w:sz w:val="20"/>
                <w:szCs w:val="20"/>
                <w:color w:val="auto"/>
              </w:rPr>
            </w:pPr>
            <w:r>
              <w:rPr>
                <w:rFonts w:ascii="Arial" w:cs="Arial" w:eastAsia="Arial" w:hAnsi="Arial"/>
                <w:sz w:val="7"/>
                <w:szCs w:val="7"/>
                <w:color w:val="auto"/>
              </w:rPr>
              <w:t>​ ​</w:t>
            </w:r>
          </w:p>
        </w:tc>
        <w:tc>
          <w:tcPr>
            <w:tcW w:w="960" w:type="dxa"/>
            <w:vAlign w:val="bottom"/>
            <w:tcBorders>
              <w:bottom w:val="single" w:sz="8" w:color="424E6A"/>
              <w:right w:val="single" w:sz="8" w:color="424E6A"/>
            </w:tcBorders>
          </w:tcPr>
          <w:p>
            <w:pPr>
              <w:jc w:val="right"/>
              <w:ind w:right="34"/>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24E6A"/>
            </w:tcBorders>
            <w:vMerge w:val="continue"/>
          </w:tcPr>
          <w:p>
            <w:pPr>
              <w:spacing w:after="0"/>
              <w:rPr>
                <w:sz w:val="5"/>
                <w:szCs w:val="5"/>
                <w:color w:val="auto"/>
              </w:rPr>
            </w:pP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19,747,571</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19,747,571</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24E6A"/>
              <w:right w:val="single" w:sz="8" w:color="424E6A"/>
            </w:tcBorders>
            <w:gridSpan w:val="2"/>
          </w:tcPr>
          <w:p>
            <w:pPr>
              <w:jc w:val="right"/>
              <w:ind w:right="34"/>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15,158,624 </w:t>
            </w:r>
            <w:r>
              <w:rPr>
                <w:rFonts w:ascii="Arial" w:cs="Arial" w:eastAsia="Arial" w:hAnsi="Arial"/>
                <w:sz w:val="27"/>
                <w:szCs w:val="27"/>
                <w:color w:val="auto"/>
                <w:vertAlign w:val="subscript"/>
              </w:rPr>
              <w:t>​</w:t>
            </w: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24,657,686</w:t>
            </w:r>
          </w:p>
        </w:tc>
        <w:tc>
          <w:tcPr>
            <w:tcW w:w="220" w:type="dxa"/>
            <w:vAlign w:val="bottom"/>
            <w:tcBorders>
              <w:bottom w:val="single" w:sz="8" w:color="424E6A"/>
              <w:right w:val="single" w:sz="8" w:color="424E6A"/>
            </w:tcBorders>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04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Harry Pefanis</w:t>
            </w:r>
            <w:r>
              <w:rPr>
                <w:rFonts w:ascii="Arial" w:cs="Arial" w:eastAsia="Arial" w:hAnsi="Arial"/>
                <w:sz w:val="18"/>
                <w:szCs w:val="18"/>
                <w:b w:val="1"/>
                <w:bCs w:val="1"/>
                <w:color w:val="auto"/>
                <w:vertAlign w:val="superscript"/>
              </w:rPr>
              <w:t>(7)</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960" w:type="dxa"/>
            <w:vAlign w:val="bottom"/>
            <w:tcBorders>
              <w:bottom w:val="single" w:sz="8" w:color="424E6A"/>
              <w:right w:val="single" w:sz="8" w:color="424E6A"/>
            </w:tcBorders>
            <w:shd w:val="clear" w:color="auto" w:fill="D9DCE1"/>
          </w:tcPr>
          <w:p>
            <w:pPr>
              <w:jc w:val="right"/>
              <w:ind w:right="34"/>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Salary and Bonus</w:t>
            </w:r>
          </w:p>
        </w:tc>
        <w:tc>
          <w:tcPr>
            <w:tcW w:w="2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5,410,000</w:t>
            </w:r>
            <w:r>
              <w:rPr>
                <w:rFonts w:ascii="Arial" w:cs="Arial" w:eastAsia="Arial" w:hAnsi="Arial"/>
                <w:sz w:val="19"/>
                <w:szCs w:val="19"/>
                <w:color w:val="auto"/>
                <w:vertAlign w:val="superscript"/>
              </w:rPr>
              <w:t>(4)</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5,410,000</w:t>
            </w:r>
            <w:r>
              <w:rPr>
                <w:rFonts w:ascii="Arial" w:cs="Arial" w:eastAsia="Arial" w:hAnsi="Arial"/>
                <w:sz w:val="19"/>
                <w:szCs w:val="19"/>
                <w:color w:val="auto"/>
                <w:vertAlign w:val="superscript"/>
              </w:rPr>
              <w:t>(4)</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960" w:type="dxa"/>
            <w:vAlign w:val="bottom"/>
            <w:tcBorders>
              <w:right w:val="single" w:sz="8" w:color="424E6A"/>
            </w:tcBorders>
          </w:tcPr>
          <w:p>
            <w:pPr>
              <w:jc w:val="right"/>
              <w:spacing w:after="0" w:line="169" w:lineRule="exact"/>
              <w:rPr>
                <w:sz w:val="20"/>
                <w:szCs w:val="20"/>
                <w:color w:val="auto"/>
              </w:rPr>
            </w:pPr>
            <w:r>
              <w:rPr>
                <w:rFonts w:ascii="Arial" w:cs="Arial" w:eastAsia="Arial" w:hAnsi="Arial"/>
                <w:sz w:val="16"/>
                <w:szCs w:val="16"/>
                <w:color w:val="auto"/>
              </w:rPr>
              <w:t>5,410,000</w:t>
            </w:r>
            <w:r>
              <w:rPr>
                <w:rFonts w:ascii="Arial" w:cs="Arial" w:eastAsia="Arial" w:hAnsi="Arial"/>
                <w:sz w:val="19"/>
                <w:szCs w:val="19"/>
                <w:color w:val="auto"/>
                <w:vertAlign w:val="superscript"/>
              </w:rPr>
              <w:t>(4)</w:t>
            </w:r>
          </w:p>
        </w:tc>
        <w:tc>
          <w:tcPr>
            <w:tcW w:w="1160" w:type="dxa"/>
            <w:vAlign w:val="bottom"/>
            <w:tcBorders>
              <w:right w:val="single" w:sz="8" w:color="424E6A"/>
            </w:tcBorders>
            <w:gridSpan w:val="3"/>
          </w:tcPr>
          <w:p>
            <w:pPr>
              <w:jc w:val="right"/>
              <w:ind w:right="23"/>
              <w:spacing w:after="0" w:line="169" w:lineRule="exact"/>
              <w:rPr>
                <w:sz w:val="20"/>
                <w:szCs w:val="20"/>
                <w:color w:val="auto"/>
              </w:rPr>
            </w:pPr>
            <w:r>
              <w:rPr>
                <w:rFonts w:ascii="Arial" w:cs="Arial" w:eastAsia="Arial" w:hAnsi="Arial"/>
                <w:sz w:val="16"/>
                <w:szCs w:val="16"/>
                <w:color w:val="auto"/>
              </w:rPr>
              <w:t>5,410,000</w:t>
            </w:r>
            <w:r>
              <w:rPr>
                <w:rFonts w:ascii="Arial" w:cs="Arial" w:eastAsia="Arial" w:hAnsi="Arial"/>
                <w:sz w:val="19"/>
                <w:szCs w:val="19"/>
                <w:color w:val="auto"/>
                <w:vertAlign w:val="superscript"/>
              </w:rPr>
              <w:t>(4)</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1000" w:type="dxa"/>
            <w:vAlign w:val="bottom"/>
            <w:tcBorders>
              <w:right w:val="single" w:sz="8" w:color="424E6A"/>
            </w:tcBorders>
            <w:gridSpan w:val="2"/>
          </w:tcPr>
          <w:p>
            <w:pPr>
              <w:jc w:val="right"/>
              <w:ind w:right="35"/>
              <w:spacing w:after="0" w:line="169" w:lineRule="exact"/>
              <w:rPr>
                <w:sz w:val="20"/>
                <w:szCs w:val="20"/>
                <w:color w:val="auto"/>
              </w:rPr>
            </w:pPr>
            <w:r>
              <w:rPr>
                <w:rFonts w:ascii="Arial" w:cs="Arial" w:eastAsia="Arial" w:hAnsi="Arial"/>
                <w:sz w:val="16"/>
                <w:szCs w:val="16"/>
                <w:color w:val="auto"/>
              </w:rPr>
              <w:t>8,115,000</w:t>
            </w:r>
            <w:r>
              <w:rPr>
                <w:rFonts w:ascii="Arial" w:cs="Arial" w:eastAsia="Arial" w:hAnsi="Arial"/>
                <w:sz w:val="19"/>
                <w:szCs w:val="19"/>
                <w:color w:val="auto"/>
                <w:vertAlign w:val="superscript"/>
              </w:rPr>
              <w:t>(5)</w:t>
            </w:r>
          </w:p>
        </w:tc>
        <w:tc>
          <w:tcPr>
            <w:tcW w:w="0" w:type="dxa"/>
            <w:vAlign w:val="bottom"/>
          </w:tcPr>
          <w:p>
            <w:pPr>
              <w:spacing w:after="0"/>
              <w:rPr>
                <w:sz w:val="1"/>
                <w:szCs w:val="1"/>
                <w:color w:val="auto"/>
              </w:rPr>
            </w:pPr>
          </w:p>
        </w:tc>
      </w:tr>
      <w:tr>
        <w:trPr>
          <w:trHeight w:val="67"/>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00" w:type="dxa"/>
            <w:vAlign w:val="bottom"/>
            <w:tcBorders>
              <w:bottom w:val="single" w:sz="8" w:color="424E6A"/>
              <w:right w:val="single" w:sz="8" w:color="424E6A"/>
            </w:tcBorders>
          </w:tcPr>
          <w:p>
            <w:pPr>
              <w:spacing w:after="0"/>
              <w:rPr>
                <w:sz w:val="5"/>
                <w:szCs w:val="5"/>
                <w:color w:val="auto"/>
              </w:rPr>
            </w:pPr>
          </w:p>
        </w:tc>
        <w:tc>
          <w:tcPr>
            <w:tcW w:w="28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280" w:type="dxa"/>
            <w:vAlign w:val="bottom"/>
            <w:tcBorders>
              <w:bottom w:val="single" w:sz="8" w:color="424E6A"/>
            </w:tcBorders>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960" w:type="dxa"/>
            <w:vAlign w:val="bottom"/>
            <w:tcBorders>
              <w:bottom w:val="single" w:sz="8" w:color="424E6A"/>
              <w:right w:val="single" w:sz="8" w:color="424E6A"/>
            </w:tcBorders>
          </w:tcPr>
          <w:p>
            <w:pPr>
              <w:jc w:val="right"/>
              <w:ind w:right="34"/>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24E6A"/>
            </w:tcBorders>
          </w:tcPr>
          <w:p>
            <w:pPr>
              <w:ind w:left="200"/>
              <w:spacing w:after="0" w:line="68" w:lineRule="exact"/>
              <w:rPr>
                <w:sz w:val="20"/>
                <w:szCs w:val="20"/>
                <w:color w:val="auto"/>
              </w:rPr>
            </w:pPr>
            <w:r>
              <w:rPr>
                <w:rFonts w:ascii="Arial" w:cs="Arial" w:eastAsia="Arial" w:hAnsi="Arial"/>
                <w:sz w:val="7"/>
                <w:szCs w:val="7"/>
                <w:color w:val="auto"/>
              </w:rPr>
              <w:t>​</w:t>
            </w: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spacing w:after="0" w:line="68" w:lineRule="exact"/>
              <w:rPr>
                <w:sz w:val="20"/>
                <w:szCs w:val="20"/>
                <w:color w:val="auto"/>
              </w:rPr>
            </w:pPr>
            <w:r>
              <w:rPr>
                <w:rFonts w:ascii="Arial" w:cs="Arial" w:eastAsia="Arial" w:hAnsi="Arial"/>
                <w:sz w:val="7"/>
                <w:szCs w:val="7"/>
                <w:color w:val="auto"/>
              </w:rPr>
              <w:t>​​</w:t>
            </w:r>
          </w:p>
        </w:tc>
        <w:tc>
          <w:tcPr>
            <w:tcW w:w="200" w:type="dxa"/>
            <w:vAlign w:val="bottom"/>
            <w:tcBorders>
              <w:bottom w:val="single" w:sz="8" w:color="424E6A"/>
            </w:tcBorders>
            <w:gridSpan w:val="2"/>
            <w:vMerge w:val="continue"/>
          </w:tcPr>
          <w:p>
            <w:pPr>
              <w:spacing w:after="0"/>
              <w:rPr>
                <w:sz w:val="5"/>
                <w:szCs w:val="5"/>
                <w:color w:val="auto"/>
              </w:rPr>
            </w:pP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Health Benefits</w:t>
            </w:r>
          </w:p>
        </w:tc>
        <w:tc>
          <w:tcPr>
            <w:tcW w:w="2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8"/>
                <w:szCs w:val="8"/>
                <w:color w:val="auto"/>
              </w:rPr>
            </w:pP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ind w:left="300"/>
              <w:spacing w:after="0"/>
              <w:rPr>
                <w:sz w:val="20"/>
                <w:szCs w:val="20"/>
                <w:color w:val="auto"/>
              </w:rPr>
            </w:pPr>
            <w:r>
              <w:rPr>
                <w:rFonts w:ascii="Arial" w:cs="Arial" w:eastAsia="Arial" w:hAnsi="Arial"/>
                <w:sz w:val="16"/>
                <w:szCs w:val="16"/>
                <w:color w:val="auto"/>
                <w:w w:val="93"/>
              </w:rPr>
              <w:t>38,595</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(6)</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960" w:type="dxa"/>
            <w:vAlign w:val="bottom"/>
            <w:tcBorders>
              <w:right w:val="single" w:sz="8" w:color="424E6A"/>
            </w:tcBorders>
          </w:tcPr>
          <w:p>
            <w:pPr>
              <w:jc w:val="right"/>
              <w:spacing w:after="0" w:line="102" w:lineRule="exact"/>
              <w:rPr>
                <w:sz w:val="20"/>
                <w:szCs w:val="20"/>
                <w:color w:val="auto"/>
              </w:rPr>
            </w:pPr>
            <w:r>
              <w:rPr>
                <w:rFonts w:ascii="Arial" w:cs="Arial" w:eastAsia="Arial" w:hAnsi="Arial"/>
                <w:sz w:val="10"/>
                <w:szCs w:val="10"/>
                <w:color w:val="auto"/>
              </w:rPr>
              <w:t>(6)</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38,595</w:t>
            </w:r>
          </w:p>
        </w:tc>
        <w:tc>
          <w:tcPr>
            <w:tcW w:w="220" w:type="dxa"/>
            <w:vAlign w:val="bottom"/>
            <w:tcBorders>
              <w:right w:val="single" w:sz="8" w:color="424E6A"/>
            </w:tcBorders>
          </w:tcPr>
          <w:p>
            <w:pPr>
              <w:jc w:val="right"/>
              <w:ind w:right="23"/>
              <w:spacing w:after="0" w:line="102" w:lineRule="exact"/>
              <w:rPr>
                <w:sz w:val="20"/>
                <w:szCs w:val="20"/>
                <w:color w:val="auto"/>
              </w:rPr>
            </w:pPr>
            <w:r>
              <w:rPr>
                <w:rFonts w:ascii="Arial" w:cs="Arial" w:eastAsia="Arial" w:hAnsi="Arial"/>
                <w:sz w:val="10"/>
                <w:szCs w:val="10"/>
                <w:color w:val="auto"/>
                <w:w w:val="81"/>
              </w:rPr>
              <w:t>(6)</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38,595</w:t>
            </w:r>
          </w:p>
        </w:tc>
        <w:tc>
          <w:tcPr>
            <w:tcW w:w="220" w:type="dxa"/>
            <w:vAlign w:val="bottom"/>
            <w:tcBorders>
              <w:right w:val="single" w:sz="8" w:color="424E6A"/>
            </w:tcBorders>
          </w:tcPr>
          <w:p>
            <w:pPr>
              <w:jc w:val="right"/>
              <w:ind w:right="35"/>
              <w:spacing w:after="0" w:line="102" w:lineRule="exact"/>
              <w:rPr>
                <w:sz w:val="20"/>
                <w:szCs w:val="20"/>
                <w:color w:val="auto"/>
              </w:rPr>
            </w:pPr>
            <w:r>
              <w:rPr>
                <w:rFonts w:ascii="Arial" w:cs="Arial" w:eastAsia="Arial" w:hAnsi="Arial"/>
                <w:sz w:val="10"/>
                <w:szCs w:val="10"/>
                <w:color w:val="auto"/>
                <w:w w:val="81"/>
              </w:rPr>
              <w:t>(6)</w:t>
            </w:r>
          </w:p>
        </w:tc>
        <w:tc>
          <w:tcPr>
            <w:tcW w:w="0" w:type="dxa"/>
            <w:vAlign w:val="bottom"/>
          </w:tcPr>
          <w:p>
            <w:pPr>
              <w:spacing w:after="0"/>
              <w:rPr>
                <w:sz w:val="1"/>
                <w:szCs w:val="1"/>
                <w:color w:val="auto"/>
              </w:rPr>
            </w:pPr>
          </w:p>
        </w:tc>
      </w:tr>
      <w:tr>
        <w:trPr>
          <w:trHeight w:val="135"/>
        </w:trPr>
        <w:tc>
          <w:tcPr>
            <w:tcW w:w="140" w:type="dxa"/>
            <w:vAlign w:val="bottom"/>
            <w:tcBorders>
              <w:left w:val="single" w:sz="8" w:color="424E6A"/>
              <w:bottom w:val="single" w:sz="8" w:color="424E6A"/>
            </w:tcBorders>
            <w:vMerge w:val="continue"/>
          </w:tcPr>
          <w:p>
            <w:pPr>
              <w:spacing w:after="0"/>
              <w:rPr>
                <w:sz w:val="11"/>
                <w:szCs w:val="11"/>
                <w:color w:val="auto"/>
              </w:rPr>
            </w:pPr>
          </w:p>
        </w:tc>
        <w:tc>
          <w:tcPr>
            <w:tcW w:w="1900" w:type="dxa"/>
            <w:vAlign w:val="bottom"/>
            <w:tcBorders>
              <w:bottom w:val="single" w:sz="8" w:color="424E6A"/>
              <w:right w:val="single" w:sz="8" w:color="424E6A"/>
            </w:tcBorders>
            <w:vMerge w:val="continue"/>
          </w:tcPr>
          <w:p>
            <w:pPr>
              <w:spacing w:after="0"/>
              <w:rPr>
                <w:sz w:val="11"/>
                <w:szCs w:val="11"/>
                <w:color w:val="auto"/>
              </w:rPr>
            </w:pPr>
          </w:p>
        </w:tc>
        <w:tc>
          <w:tcPr>
            <w:tcW w:w="280" w:type="dxa"/>
            <w:vAlign w:val="bottom"/>
            <w:tcBorders>
              <w:bottom w:val="single" w:sz="8" w:color="424E6A"/>
            </w:tcBorders>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20" w:type="dxa"/>
            <w:vAlign w:val="bottom"/>
            <w:tcBorders>
              <w:bottom w:val="single" w:sz="8" w:color="424E6A"/>
              <w:right w:val="single" w:sz="8" w:color="424E6A"/>
            </w:tcBorders>
            <w:vMerge w:val="continue"/>
          </w:tcPr>
          <w:p>
            <w:pPr>
              <w:spacing w:after="0"/>
              <w:rPr>
                <w:sz w:val="11"/>
                <w:szCs w:val="11"/>
                <w:color w:val="auto"/>
              </w:rPr>
            </w:pPr>
          </w:p>
        </w:tc>
        <w:tc>
          <w:tcPr>
            <w:tcW w:w="280" w:type="dxa"/>
            <w:vAlign w:val="bottom"/>
            <w:tcBorders>
              <w:bottom w:val="single" w:sz="8" w:color="424E6A"/>
            </w:tcBorders>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40" w:type="dxa"/>
            <w:vAlign w:val="bottom"/>
            <w:tcBorders>
              <w:bottom w:val="single" w:sz="8" w:color="424E6A"/>
              <w:right w:val="single" w:sz="8" w:color="424E6A"/>
            </w:tcBorders>
            <w:vMerge w:val="continue"/>
          </w:tcPr>
          <w:p>
            <w:pPr>
              <w:spacing w:after="0"/>
              <w:rPr>
                <w:sz w:val="11"/>
                <w:szCs w:val="11"/>
                <w:color w:val="auto"/>
              </w:rPr>
            </w:pPr>
          </w:p>
        </w:tc>
        <w:tc>
          <w:tcPr>
            <w:tcW w:w="200" w:type="dxa"/>
            <w:vAlign w:val="bottom"/>
            <w:tcBorders>
              <w:bottom w:val="single" w:sz="8" w:color="424E6A"/>
            </w:tcBorders>
            <w:vMerge w:val="continue"/>
          </w:tcPr>
          <w:p>
            <w:pPr>
              <w:spacing w:after="0"/>
              <w:rPr>
                <w:sz w:val="11"/>
                <w:szCs w:val="11"/>
                <w:color w:val="auto"/>
              </w:rPr>
            </w:pPr>
          </w:p>
        </w:tc>
        <w:tc>
          <w:tcPr>
            <w:tcW w:w="960" w:type="dxa"/>
            <w:vAlign w:val="bottom"/>
            <w:tcBorders>
              <w:bottom w:val="single" w:sz="8" w:color="424E6A"/>
              <w:right w:val="single" w:sz="8" w:color="424E6A"/>
            </w:tcBorders>
          </w:tcPr>
          <w:p>
            <w:pPr>
              <w:jc w:val="right"/>
              <w:ind w:right="34"/>
              <w:spacing w:after="0" w:line="135" w:lineRule="exact"/>
              <w:rPr>
                <w:sz w:val="20"/>
                <w:szCs w:val="20"/>
                <w:color w:val="auto"/>
              </w:rPr>
            </w:pPr>
            <w:r>
              <w:rPr>
                <w:rFonts w:ascii="Arial" w:cs="Arial" w:eastAsia="Arial" w:hAnsi="Arial"/>
                <w:sz w:val="10"/>
                <w:szCs w:val="10"/>
                <w:color w:val="auto"/>
              </w:rPr>
              <w:t xml:space="preserve">38,595 </w:t>
            </w:r>
            <w:r>
              <w:rPr>
                <w:rFonts w:ascii="Arial" w:cs="Arial" w:eastAsia="Arial" w:hAnsi="Arial"/>
                <w:sz w:val="15"/>
                <w:szCs w:val="15"/>
                <w:color w:val="auto"/>
                <w:vertAlign w:val="subscript"/>
              </w:rPr>
              <w:t>​</w:t>
            </w:r>
          </w:p>
        </w:tc>
        <w:tc>
          <w:tcPr>
            <w:tcW w:w="260" w:type="dxa"/>
            <w:vAlign w:val="bottom"/>
            <w:tcBorders>
              <w:bottom w:val="single" w:sz="8" w:color="424E6A"/>
            </w:tcBorders>
            <w:vMerge w:val="continue"/>
          </w:tcPr>
          <w:p>
            <w:pPr>
              <w:spacing w:after="0"/>
              <w:rPr>
                <w:sz w:val="11"/>
                <w:szCs w:val="11"/>
                <w:color w:val="auto"/>
              </w:rPr>
            </w:pPr>
          </w:p>
        </w:tc>
        <w:tc>
          <w:tcPr>
            <w:tcW w:w="6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spacing w:after="0" w:line="135"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424E6A"/>
            </w:tcBorders>
            <w:gridSpan w:val="2"/>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ind w:right="35"/>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5,410,000</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5,448,595</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24E6A"/>
              <w:right w:val="single" w:sz="8" w:color="424E6A"/>
            </w:tcBorders>
            <w:gridSpan w:val="2"/>
          </w:tcPr>
          <w:p>
            <w:pPr>
              <w:jc w:val="right"/>
              <w:ind w:right="34"/>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5,448,595 </w:t>
            </w:r>
            <w:r>
              <w:rPr>
                <w:rFonts w:ascii="Arial" w:cs="Arial" w:eastAsia="Arial" w:hAnsi="Arial"/>
                <w:sz w:val="27"/>
                <w:szCs w:val="27"/>
                <w:color w:val="auto"/>
                <w:vertAlign w:val="subscript"/>
              </w:rPr>
              <w:t>​</w:t>
            </w:r>
          </w:p>
        </w:tc>
        <w:tc>
          <w:tcPr>
            <w:tcW w:w="940" w:type="dxa"/>
            <w:vAlign w:val="bottom"/>
            <w:tcBorders>
              <w:bottom w:val="single" w:sz="8" w:color="424E6A"/>
            </w:tcBorders>
            <w:gridSpan w:val="2"/>
          </w:tcPr>
          <w:p>
            <w:pPr>
              <w:ind w:left="20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5,448,595</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424E6A"/>
              <w:right w:val="single" w:sz="8" w:color="424E6A"/>
            </w:tcBorders>
            <w:gridSpan w:val="2"/>
          </w:tcPr>
          <w:p>
            <w:pPr>
              <w:jc w:val="right"/>
              <w:ind w:right="35"/>
              <w:spacing w:after="0" w:line="236" w:lineRule="exact"/>
              <w:rPr>
                <w:sz w:val="20"/>
                <w:szCs w:val="20"/>
                <w:color w:val="auto"/>
              </w:rPr>
            </w:pPr>
            <w:r>
              <w:rPr>
                <w:rFonts w:ascii="Arial" w:cs="Arial" w:eastAsia="Arial" w:hAnsi="Arial"/>
                <w:sz w:val="14"/>
                <w:szCs w:val="14"/>
                <w:color w:val="auto"/>
              </w:rPr>
              <w:t xml:space="preserve">8,153,595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63"/>
        </w:trPr>
        <w:tc>
          <w:tcPr>
            <w:tcW w:w="204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Al Swanson</w:t>
            </w:r>
            <w:r>
              <w:rPr>
                <w:rFonts w:ascii="Arial" w:cs="Arial" w:eastAsia="Arial" w:hAnsi="Arial"/>
                <w:sz w:val="18"/>
                <w:szCs w:val="18"/>
                <w:b w:val="1"/>
                <w:bCs w:val="1"/>
                <w:color w:val="auto"/>
                <w:vertAlign w:val="superscript"/>
              </w:rPr>
              <w:t>(7)</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960" w:type="dxa"/>
            <w:vAlign w:val="bottom"/>
            <w:tcBorders>
              <w:bottom w:val="single" w:sz="8" w:color="424E6A"/>
              <w:right w:val="single" w:sz="8" w:color="424E6A"/>
            </w:tcBorders>
            <w:shd w:val="clear" w:color="auto" w:fill="D9DCE1"/>
          </w:tcPr>
          <w:p>
            <w:pPr>
              <w:jc w:val="right"/>
              <w:ind w:right="34"/>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Equity Compensation</w:t>
            </w:r>
          </w:p>
        </w:tc>
        <w:tc>
          <w:tcPr>
            <w:tcW w:w="1060" w:type="dxa"/>
            <w:vAlign w:val="bottom"/>
            <w:gridSpan w:val="2"/>
            <w:vMerge w:val="restart"/>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60" w:type="dxa"/>
            <w:vAlign w:val="bottom"/>
            <w:tcBorders>
              <w:right w:val="single" w:sz="8" w:color="424E6A"/>
            </w:tcBorders>
          </w:tcPr>
          <w:p>
            <w:pPr>
              <w:jc w:val="right"/>
              <w:spacing w:after="0" w:line="102" w:lineRule="exact"/>
              <w:rPr>
                <w:sz w:val="20"/>
                <w:szCs w:val="20"/>
                <w:color w:val="auto"/>
              </w:rPr>
            </w:pPr>
            <w:r>
              <w:rPr>
                <w:rFonts w:ascii="Arial" w:cs="Arial" w:eastAsia="Arial" w:hAnsi="Arial"/>
                <w:sz w:val="10"/>
                <w:szCs w:val="10"/>
                <w:color w:val="auto"/>
              </w:rPr>
              <w:t>(2)</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5,849,415</w:t>
            </w:r>
          </w:p>
        </w:tc>
        <w:tc>
          <w:tcPr>
            <w:tcW w:w="220" w:type="dxa"/>
            <w:vAlign w:val="bottom"/>
            <w:tcBorders>
              <w:right w:val="single" w:sz="8" w:color="424E6A"/>
            </w:tcBorders>
          </w:tcPr>
          <w:p>
            <w:pPr>
              <w:jc w:val="right"/>
              <w:ind w:right="35"/>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35"/>
        </w:trPr>
        <w:tc>
          <w:tcPr>
            <w:tcW w:w="140" w:type="dxa"/>
            <w:vAlign w:val="bottom"/>
            <w:tcBorders>
              <w:left w:val="single" w:sz="8" w:color="424E6A"/>
              <w:bottom w:val="single" w:sz="8" w:color="424E6A"/>
            </w:tcBorders>
            <w:vMerge w:val="continue"/>
          </w:tcPr>
          <w:p>
            <w:pPr>
              <w:spacing w:after="0"/>
              <w:rPr>
                <w:sz w:val="11"/>
                <w:szCs w:val="11"/>
                <w:color w:val="auto"/>
              </w:rPr>
            </w:pPr>
          </w:p>
        </w:tc>
        <w:tc>
          <w:tcPr>
            <w:tcW w:w="1900" w:type="dxa"/>
            <w:vAlign w:val="bottom"/>
            <w:tcBorders>
              <w:bottom w:val="single" w:sz="8" w:color="424E6A"/>
              <w:right w:val="single" w:sz="8" w:color="424E6A"/>
            </w:tcBorders>
            <w:vMerge w:val="continue"/>
          </w:tcPr>
          <w:p>
            <w:pPr>
              <w:spacing w:after="0"/>
              <w:rPr>
                <w:sz w:val="11"/>
                <w:szCs w:val="11"/>
                <w:color w:val="auto"/>
              </w:rPr>
            </w:pPr>
          </w:p>
        </w:tc>
        <w:tc>
          <w:tcPr>
            <w:tcW w:w="106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20" w:type="dxa"/>
            <w:vAlign w:val="bottom"/>
            <w:tcBorders>
              <w:bottom w:val="single" w:sz="8" w:color="424E6A"/>
              <w:right w:val="single" w:sz="8" w:color="424E6A"/>
            </w:tcBorders>
            <w:vMerge w:val="continue"/>
          </w:tcPr>
          <w:p>
            <w:pPr>
              <w:spacing w:after="0"/>
              <w:rPr>
                <w:sz w:val="11"/>
                <w:szCs w:val="11"/>
                <w:color w:val="auto"/>
              </w:rPr>
            </w:pPr>
          </w:p>
        </w:tc>
        <w:tc>
          <w:tcPr>
            <w:tcW w:w="106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40" w:type="dxa"/>
            <w:vAlign w:val="bottom"/>
            <w:tcBorders>
              <w:bottom w:val="single" w:sz="8" w:color="424E6A"/>
              <w:right w:val="single" w:sz="8" w:color="424E6A"/>
            </w:tcBorders>
            <w:vMerge w:val="continue"/>
          </w:tcPr>
          <w:p>
            <w:pPr>
              <w:spacing w:after="0"/>
              <w:rPr>
                <w:sz w:val="11"/>
                <w:szCs w:val="11"/>
                <w:color w:val="auto"/>
              </w:rPr>
            </w:pPr>
          </w:p>
        </w:tc>
        <w:tc>
          <w:tcPr>
            <w:tcW w:w="1160" w:type="dxa"/>
            <w:vAlign w:val="bottom"/>
            <w:tcBorders>
              <w:bottom w:val="single" w:sz="8" w:color="424E6A"/>
              <w:right w:val="single" w:sz="8" w:color="424E6A"/>
            </w:tcBorders>
            <w:gridSpan w:val="2"/>
          </w:tcPr>
          <w:p>
            <w:pPr>
              <w:jc w:val="right"/>
              <w:ind w:right="34"/>
              <w:spacing w:after="0" w:line="135" w:lineRule="exact"/>
              <w:rPr>
                <w:sz w:val="20"/>
                <w:szCs w:val="20"/>
                <w:color w:val="auto"/>
              </w:rPr>
            </w:pPr>
            <w:r>
              <w:rPr>
                <w:rFonts w:ascii="Arial" w:cs="Arial" w:eastAsia="Arial" w:hAnsi="Arial"/>
                <w:sz w:val="15"/>
                <w:szCs w:val="15"/>
                <w:color w:val="auto"/>
                <w:vertAlign w:val="subscript"/>
              </w:rPr>
              <w:t>​ ​</w:t>
            </w:r>
            <w:r>
              <w:rPr>
                <w:rFonts w:ascii="Arial" w:cs="Arial" w:eastAsia="Arial" w:hAnsi="Arial"/>
                <w:sz w:val="10"/>
                <w:szCs w:val="10"/>
                <w:color w:val="auto"/>
              </w:rPr>
              <w:t xml:space="preserve"> 2,774,512 </w:t>
            </w:r>
            <w:r>
              <w:rPr>
                <w:rFonts w:ascii="Arial" w:cs="Arial" w:eastAsia="Arial" w:hAnsi="Arial"/>
                <w:sz w:val="15"/>
                <w:szCs w:val="15"/>
                <w:color w:val="auto"/>
                <w:vertAlign w:val="subscript"/>
              </w:rPr>
              <w:t>​</w:t>
            </w:r>
          </w:p>
        </w:tc>
        <w:tc>
          <w:tcPr>
            <w:tcW w:w="260" w:type="dxa"/>
            <w:vAlign w:val="bottom"/>
            <w:tcBorders>
              <w:bottom w:val="single" w:sz="8" w:color="424E6A"/>
            </w:tcBorders>
            <w:vMerge w:val="continue"/>
          </w:tcPr>
          <w:p>
            <w:pPr>
              <w:spacing w:after="0"/>
              <w:rPr>
                <w:sz w:val="11"/>
                <w:szCs w:val="11"/>
                <w:color w:val="auto"/>
              </w:rPr>
            </w:pPr>
          </w:p>
        </w:tc>
        <w:tc>
          <w:tcPr>
            <w:tcW w:w="6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vMerge w:val="continue"/>
          </w:tcPr>
          <w:p>
            <w:pPr>
              <w:spacing w:after="0"/>
              <w:rPr>
                <w:sz w:val="11"/>
                <w:szCs w:val="11"/>
                <w:color w:val="auto"/>
              </w:rPr>
            </w:pPr>
          </w:p>
        </w:tc>
        <w:tc>
          <w:tcPr>
            <w:tcW w:w="200" w:type="dxa"/>
            <w:vAlign w:val="bottom"/>
            <w:tcBorders>
              <w:bottom w:val="single" w:sz="8" w:color="424E6A"/>
            </w:tcBorders>
            <w:gridSpan w:val="2"/>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ind w:right="35"/>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24E6A"/>
              <w:right w:val="single" w:sz="8" w:color="424E6A"/>
            </w:tcBorders>
            <w:gridSpan w:val="2"/>
          </w:tcPr>
          <w:p>
            <w:pPr>
              <w:jc w:val="right"/>
              <w:ind w:right="34"/>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2,774,512 </w:t>
            </w:r>
            <w:r>
              <w:rPr>
                <w:rFonts w:ascii="Arial" w:cs="Arial" w:eastAsia="Arial" w:hAnsi="Arial"/>
                <w:sz w:val="27"/>
                <w:szCs w:val="27"/>
                <w:color w:val="auto"/>
                <w:vertAlign w:val="subscript"/>
              </w:rPr>
              <w:t>​</w:t>
            </w: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424E6A"/>
              <w:right w:val="single" w:sz="8" w:color="424E6A"/>
            </w:tcBorders>
            <w:gridSpan w:val="2"/>
          </w:tcPr>
          <w:p>
            <w:pPr>
              <w:jc w:val="right"/>
              <w:ind w:right="35"/>
              <w:spacing w:after="0" w:line="236" w:lineRule="exact"/>
              <w:rPr>
                <w:sz w:val="20"/>
                <w:szCs w:val="20"/>
                <w:color w:val="auto"/>
              </w:rPr>
            </w:pPr>
            <w:r>
              <w:rPr>
                <w:rFonts w:ascii="Arial" w:cs="Arial" w:eastAsia="Arial" w:hAnsi="Arial"/>
                <w:sz w:val="14"/>
                <w:szCs w:val="14"/>
                <w:color w:val="auto"/>
              </w:rPr>
              <w:t xml:space="preserve">5,849,415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63"/>
        </w:trPr>
        <w:tc>
          <w:tcPr>
            <w:tcW w:w="204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Richard McGee</w:t>
            </w:r>
            <w:r>
              <w:rPr>
                <w:rFonts w:ascii="Arial" w:cs="Arial" w:eastAsia="Arial" w:hAnsi="Arial"/>
                <w:sz w:val="18"/>
                <w:szCs w:val="18"/>
                <w:b w:val="1"/>
                <w:bCs w:val="1"/>
                <w:color w:val="auto"/>
                <w:vertAlign w:val="superscript"/>
              </w:rPr>
              <w:t>(7)</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960" w:type="dxa"/>
            <w:vAlign w:val="bottom"/>
            <w:tcBorders>
              <w:bottom w:val="single" w:sz="8" w:color="424E6A"/>
              <w:right w:val="single" w:sz="8" w:color="424E6A"/>
            </w:tcBorders>
            <w:shd w:val="clear" w:color="auto" w:fill="D9DCE1"/>
          </w:tcPr>
          <w:p>
            <w:pPr>
              <w:jc w:val="right"/>
              <w:ind w:right="34"/>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02"/>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424E6A"/>
            </w:tcBorders>
            <w:vMerge w:val="restart"/>
          </w:tcPr>
          <w:p>
            <w:pPr>
              <w:ind w:left="80"/>
              <w:spacing w:after="0"/>
              <w:rPr>
                <w:sz w:val="20"/>
                <w:szCs w:val="20"/>
                <w:color w:val="auto"/>
              </w:rPr>
            </w:pPr>
            <w:r>
              <w:rPr>
                <w:rFonts w:ascii="Arial" w:cs="Arial" w:eastAsia="Arial" w:hAnsi="Arial"/>
                <w:sz w:val="16"/>
                <w:szCs w:val="16"/>
                <w:color w:val="auto"/>
              </w:rPr>
              <w:t>Equity Compensation</w:t>
            </w:r>
          </w:p>
        </w:tc>
        <w:tc>
          <w:tcPr>
            <w:tcW w:w="1060" w:type="dxa"/>
            <w:vAlign w:val="bottom"/>
            <w:gridSpan w:val="2"/>
            <w:vMerge w:val="restart"/>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060" w:type="dxa"/>
            <w:vAlign w:val="bottom"/>
            <w:gridSpan w:val="2"/>
            <w:vMerge w:val="restart"/>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Pr>
          <w:p>
            <w:pPr>
              <w:jc w:val="right"/>
              <w:spacing w:after="0" w:line="102" w:lineRule="exact"/>
              <w:rPr>
                <w:sz w:val="20"/>
                <w:szCs w:val="20"/>
                <w:color w:val="auto"/>
              </w:rPr>
            </w:pPr>
            <w:r>
              <w:rPr>
                <w:rFonts w:ascii="Arial" w:cs="Arial" w:eastAsia="Arial" w:hAnsi="Arial"/>
                <w:sz w:val="10"/>
                <w:szCs w:val="10"/>
                <w:color w:val="auto"/>
                <w:w w:val="81"/>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8"/>
                <w:szCs w:val="8"/>
                <w:color w:val="auto"/>
              </w:rPr>
            </w:pPr>
          </w:p>
        </w:tc>
        <w:tc>
          <w:tcPr>
            <w:tcW w:w="960" w:type="dxa"/>
            <w:vAlign w:val="bottom"/>
            <w:tcBorders>
              <w:right w:val="single" w:sz="8" w:color="424E6A"/>
            </w:tcBorders>
          </w:tcPr>
          <w:p>
            <w:pPr>
              <w:jc w:val="right"/>
              <w:spacing w:after="0" w:line="102" w:lineRule="exact"/>
              <w:rPr>
                <w:sz w:val="20"/>
                <w:szCs w:val="20"/>
                <w:color w:val="auto"/>
              </w:rPr>
            </w:pPr>
            <w:r>
              <w:rPr>
                <w:rFonts w:ascii="Arial" w:cs="Arial" w:eastAsia="Arial" w:hAnsi="Arial"/>
                <w:sz w:val="10"/>
                <w:szCs w:val="10"/>
                <w:color w:val="auto"/>
              </w:rPr>
              <w:t>(2)</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5,849,415</w:t>
            </w:r>
          </w:p>
        </w:tc>
        <w:tc>
          <w:tcPr>
            <w:tcW w:w="220" w:type="dxa"/>
            <w:vAlign w:val="bottom"/>
            <w:tcBorders>
              <w:right w:val="single" w:sz="8" w:color="424E6A"/>
            </w:tcBorders>
          </w:tcPr>
          <w:p>
            <w:pPr>
              <w:jc w:val="right"/>
              <w:ind w:right="35"/>
              <w:spacing w:after="0" w:line="102" w:lineRule="exact"/>
              <w:rPr>
                <w:sz w:val="20"/>
                <w:szCs w:val="20"/>
                <w:color w:val="auto"/>
              </w:rPr>
            </w:pPr>
            <w:r>
              <w:rPr>
                <w:rFonts w:ascii="Arial" w:cs="Arial" w:eastAsia="Arial" w:hAnsi="Arial"/>
                <w:sz w:val="10"/>
                <w:szCs w:val="10"/>
                <w:color w:val="auto"/>
                <w:w w:val="81"/>
              </w:rPr>
              <w:t>(3)</w:t>
            </w:r>
          </w:p>
        </w:tc>
        <w:tc>
          <w:tcPr>
            <w:tcW w:w="0" w:type="dxa"/>
            <w:vAlign w:val="bottom"/>
          </w:tcPr>
          <w:p>
            <w:pPr>
              <w:spacing w:after="0"/>
              <w:rPr>
                <w:sz w:val="1"/>
                <w:szCs w:val="1"/>
                <w:color w:val="auto"/>
              </w:rPr>
            </w:pPr>
          </w:p>
        </w:tc>
      </w:tr>
      <w:tr>
        <w:trPr>
          <w:trHeight w:val="135"/>
        </w:trPr>
        <w:tc>
          <w:tcPr>
            <w:tcW w:w="140" w:type="dxa"/>
            <w:vAlign w:val="bottom"/>
            <w:tcBorders>
              <w:left w:val="single" w:sz="8" w:color="424E6A"/>
              <w:bottom w:val="single" w:sz="8" w:color="424E6A"/>
            </w:tcBorders>
            <w:vMerge w:val="continue"/>
          </w:tcPr>
          <w:p>
            <w:pPr>
              <w:spacing w:after="0"/>
              <w:rPr>
                <w:sz w:val="11"/>
                <w:szCs w:val="11"/>
                <w:color w:val="auto"/>
              </w:rPr>
            </w:pPr>
          </w:p>
        </w:tc>
        <w:tc>
          <w:tcPr>
            <w:tcW w:w="1900" w:type="dxa"/>
            <w:vAlign w:val="bottom"/>
            <w:tcBorders>
              <w:bottom w:val="single" w:sz="8" w:color="424E6A"/>
              <w:right w:val="single" w:sz="8" w:color="424E6A"/>
            </w:tcBorders>
            <w:vMerge w:val="continue"/>
          </w:tcPr>
          <w:p>
            <w:pPr>
              <w:spacing w:after="0"/>
              <w:rPr>
                <w:sz w:val="11"/>
                <w:szCs w:val="11"/>
                <w:color w:val="auto"/>
              </w:rPr>
            </w:pPr>
          </w:p>
        </w:tc>
        <w:tc>
          <w:tcPr>
            <w:tcW w:w="106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20" w:type="dxa"/>
            <w:vAlign w:val="bottom"/>
            <w:tcBorders>
              <w:bottom w:val="single" w:sz="8" w:color="424E6A"/>
              <w:right w:val="single" w:sz="8" w:color="424E6A"/>
            </w:tcBorders>
            <w:vMerge w:val="continue"/>
          </w:tcPr>
          <w:p>
            <w:pPr>
              <w:spacing w:after="0"/>
              <w:rPr>
                <w:sz w:val="11"/>
                <w:szCs w:val="11"/>
                <w:color w:val="auto"/>
              </w:rPr>
            </w:pPr>
          </w:p>
        </w:tc>
        <w:tc>
          <w:tcPr>
            <w:tcW w:w="1060" w:type="dxa"/>
            <w:vAlign w:val="bottom"/>
            <w:tcBorders>
              <w:bottom w:val="single" w:sz="8" w:color="424E6A"/>
            </w:tcBorders>
            <w:gridSpan w:val="2"/>
            <w:vMerge w:val="continue"/>
          </w:tcPr>
          <w:p>
            <w:pPr>
              <w:spacing w:after="0"/>
              <w:rPr>
                <w:sz w:val="11"/>
                <w:szCs w:val="11"/>
                <w:color w:val="auto"/>
              </w:rPr>
            </w:pPr>
          </w:p>
        </w:tc>
        <w:tc>
          <w:tcPr>
            <w:tcW w:w="140" w:type="dxa"/>
            <w:vAlign w:val="bottom"/>
            <w:tcBorders>
              <w:bottom w:val="single" w:sz="8" w:color="424E6A"/>
            </w:tcBorders>
          </w:tcPr>
          <w:p>
            <w:pPr>
              <w:spacing w:after="0"/>
              <w:rPr>
                <w:sz w:val="11"/>
                <w:szCs w:val="11"/>
                <w:color w:val="auto"/>
              </w:rPr>
            </w:pPr>
          </w:p>
        </w:tc>
        <w:tc>
          <w:tcPr>
            <w:tcW w:w="140" w:type="dxa"/>
            <w:vAlign w:val="bottom"/>
            <w:tcBorders>
              <w:bottom w:val="single" w:sz="8" w:color="424E6A"/>
              <w:right w:val="single" w:sz="8" w:color="424E6A"/>
            </w:tcBorders>
            <w:vMerge w:val="continue"/>
          </w:tcPr>
          <w:p>
            <w:pPr>
              <w:spacing w:after="0"/>
              <w:rPr>
                <w:sz w:val="11"/>
                <w:szCs w:val="11"/>
                <w:color w:val="auto"/>
              </w:rPr>
            </w:pPr>
          </w:p>
        </w:tc>
        <w:tc>
          <w:tcPr>
            <w:tcW w:w="1160" w:type="dxa"/>
            <w:vAlign w:val="bottom"/>
            <w:tcBorders>
              <w:bottom w:val="single" w:sz="8" w:color="424E6A"/>
              <w:right w:val="single" w:sz="8" w:color="424E6A"/>
            </w:tcBorders>
            <w:gridSpan w:val="2"/>
          </w:tcPr>
          <w:p>
            <w:pPr>
              <w:jc w:val="right"/>
              <w:ind w:right="34"/>
              <w:spacing w:after="0" w:line="135" w:lineRule="exact"/>
              <w:rPr>
                <w:sz w:val="20"/>
                <w:szCs w:val="20"/>
                <w:color w:val="auto"/>
              </w:rPr>
            </w:pPr>
            <w:r>
              <w:rPr>
                <w:rFonts w:ascii="Arial" w:cs="Arial" w:eastAsia="Arial" w:hAnsi="Arial"/>
                <w:sz w:val="15"/>
                <w:szCs w:val="15"/>
                <w:color w:val="auto"/>
                <w:vertAlign w:val="subscript"/>
              </w:rPr>
              <w:t>​ ​</w:t>
            </w:r>
            <w:r>
              <w:rPr>
                <w:rFonts w:ascii="Arial" w:cs="Arial" w:eastAsia="Arial" w:hAnsi="Arial"/>
                <w:sz w:val="10"/>
                <w:szCs w:val="10"/>
                <w:color w:val="auto"/>
              </w:rPr>
              <w:t xml:space="preserve"> 2,774,512 </w:t>
            </w:r>
            <w:r>
              <w:rPr>
                <w:rFonts w:ascii="Arial" w:cs="Arial" w:eastAsia="Arial" w:hAnsi="Arial"/>
                <w:sz w:val="15"/>
                <w:szCs w:val="15"/>
                <w:color w:val="auto"/>
                <w:vertAlign w:val="subscript"/>
              </w:rPr>
              <w:t>​</w:t>
            </w:r>
          </w:p>
        </w:tc>
        <w:tc>
          <w:tcPr>
            <w:tcW w:w="260" w:type="dxa"/>
            <w:vAlign w:val="bottom"/>
            <w:tcBorders>
              <w:bottom w:val="single" w:sz="8" w:color="424E6A"/>
            </w:tcBorders>
            <w:vMerge w:val="continue"/>
          </w:tcPr>
          <w:p>
            <w:pPr>
              <w:spacing w:after="0"/>
              <w:rPr>
                <w:sz w:val="11"/>
                <w:szCs w:val="11"/>
                <w:color w:val="auto"/>
              </w:rPr>
            </w:pPr>
          </w:p>
        </w:tc>
        <w:tc>
          <w:tcPr>
            <w:tcW w:w="6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vMerge w:val="continue"/>
          </w:tcPr>
          <w:p>
            <w:pPr>
              <w:spacing w:after="0"/>
              <w:rPr>
                <w:sz w:val="11"/>
                <w:szCs w:val="11"/>
                <w:color w:val="auto"/>
              </w:rPr>
            </w:pPr>
          </w:p>
        </w:tc>
        <w:tc>
          <w:tcPr>
            <w:tcW w:w="200" w:type="dxa"/>
            <w:vAlign w:val="bottom"/>
            <w:tcBorders>
              <w:bottom w:val="single" w:sz="8" w:color="424E6A"/>
            </w:tcBorders>
            <w:gridSpan w:val="2"/>
            <w:vMerge w:val="continue"/>
          </w:tcPr>
          <w:p>
            <w:pPr>
              <w:spacing w:after="0"/>
              <w:rPr>
                <w:sz w:val="11"/>
                <w:szCs w:val="11"/>
                <w:color w:val="auto"/>
              </w:rPr>
            </w:pPr>
          </w:p>
        </w:tc>
        <w:tc>
          <w:tcPr>
            <w:tcW w:w="780" w:type="dxa"/>
            <w:vAlign w:val="bottom"/>
            <w:tcBorders>
              <w:bottom w:val="single" w:sz="8" w:color="424E6A"/>
            </w:tcBorders>
            <w:vMerge w:val="continue"/>
          </w:tcPr>
          <w:p>
            <w:pPr>
              <w:spacing w:after="0"/>
              <w:rPr>
                <w:sz w:val="11"/>
                <w:szCs w:val="11"/>
                <w:color w:val="auto"/>
              </w:rPr>
            </w:pPr>
          </w:p>
        </w:tc>
        <w:tc>
          <w:tcPr>
            <w:tcW w:w="220" w:type="dxa"/>
            <w:vAlign w:val="bottom"/>
            <w:tcBorders>
              <w:bottom w:val="single" w:sz="8" w:color="424E6A"/>
              <w:right w:val="single" w:sz="8" w:color="424E6A"/>
            </w:tcBorders>
          </w:tcPr>
          <w:p>
            <w:pPr>
              <w:jc w:val="right"/>
              <w:ind w:right="35"/>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4,301,843</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424E6A"/>
              <w:right w:val="single" w:sz="8" w:color="424E6A"/>
            </w:tcBorders>
            <w:gridSpan w:val="2"/>
          </w:tcPr>
          <w:p>
            <w:pPr>
              <w:jc w:val="right"/>
              <w:ind w:right="34"/>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 2,774,512 </w:t>
            </w:r>
            <w:r>
              <w:rPr>
                <w:rFonts w:ascii="Arial" w:cs="Arial" w:eastAsia="Arial" w:hAnsi="Arial"/>
                <w:sz w:val="27"/>
                <w:szCs w:val="27"/>
                <w:color w:val="auto"/>
                <w:vertAlign w:val="subscript"/>
              </w:rPr>
              <w:t>​</w:t>
            </w: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gridSpan w:val="2"/>
          </w:tcPr>
          <w:p>
            <w:pPr>
              <w:jc w:val="right"/>
              <w:spacing w:after="0"/>
              <w:rPr>
                <w:sz w:val="20"/>
                <w:szCs w:val="20"/>
                <w:color w:val="auto"/>
              </w:rPr>
            </w:pPr>
            <w:r>
              <w:rPr>
                <w:rFonts w:ascii="Arial" w:cs="Arial" w:eastAsia="Arial" w:hAnsi="Arial"/>
                <w:sz w:val="16"/>
                <w:szCs w:val="16"/>
                <w:color w:val="auto"/>
              </w:rPr>
              <w:t>​ ​</w:t>
            </w:r>
          </w:p>
        </w:tc>
        <w:tc>
          <w:tcPr>
            <w:tcW w:w="1000" w:type="dxa"/>
            <w:vAlign w:val="bottom"/>
            <w:tcBorders>
              <w:bottom w:val="single" w:sz="8" w:color="424E6A"/>
              <w:right w:val="single" w:sz="8" w:color="424E6A"/>
            </w:tcBorders>
            <w:gridSpan w:val="2"/>
          </w:tcPr>
          <w:p>
            <w:pPr>
              <w:jc w:val="right"/>
              <w:ind w:right="35"/>
              <w:spacing w:after="0" w:line="236" w:lineRule="exact"/>
              <w:rPr>
                <w:sz w:val="20"/>
                <w:szCs w:val="20"/>
                <w:color w:val="auto"/>
              </w:rPr>
            </w:pPr>
            <w:r>
              <w:rPr>
                <w:rFonts w:ascii="Arial" w:cs="Arial" w:eastAsia="Arial" w:hAnsi="Arial"/>
                <w:sz w:val="14"/>
                <w:szCs w:val="14"/>
                <w:color w:val="auto"/>
              </w:rPr>
              <w:t xml:space="preserve">5,849,415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64"/>
        </w:trPr>
        <w:tc>
          <w:tcPr>
            <w:tcW w:w="204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Chris Chandler</w:t>
            </w:r>
            <w:r>
              <w:rPr>
                <w:rFonts w:ascii="Arial" w:cs="Arial" w:eastAsia="Arial" w:hAnsi="Arial"/>
                <w:sz w:val="18"/>
                <w:szCs w:val="18"/>
                <w:b w:val="1"/>
                <w:bCs w:val="1"/>
                <w:color w:val="auto"/>
                <w:vertAlign w:val="superscript"/>
              </w:rPr>
              <w:t>(7)</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960" w:type="dxa"/>
            <w:vAlign w:val="bottom"/>
            <w:tcBorders>
              <w:bottom w:val="single" w:sz="8" w:color="424E6A"/>
              <w:right w:val="single" w:sz="8" w:color="424E6A"/>
            </w:tcBorders>
            <w:shd w:val="clear" w:color="auto" w:fill="D9DCE1"/>
          </w:tcPr>
          <w:p>
            <w:pPr>
              <w:jc w:val="right"/>
              <w:ind w:right="34"/>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Equity Compensation</w:t>
            </w:r>
          </w:p>
        </w:tc>
        <w:tc>
          <w:tcPr>
            <w:tcW w:w="12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12,484,358</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12,484,358</w:t>
            </w:r>
            <w:r>
              <w:rPr>
                <w:rFonts w:ascii="Arial" w:cs="Arial" w:eastAsia="Arial" w:hAnsi="Arial"/>
                <w:sz w:val="19"/>
                <w:szCs w:val="19"/>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960" w:type="dxa"/>
            <w:vAlign w:val="bottom"/>
            <w:tcBorders>
              <w:right w:val="single" w:sz="8" w:color="424E6A"/>
            </w:tcBorders>
          </w:tcPr>
          <w:p>
            <w:pPr>
              <w:jc w:val="right"/>
              <w:spacing w:after="0" w:line="169" w:lineRule="exact"/>
              <w:rPr>
                <w:sz w:val="20"/>
                <w:szCs w:val="20"/>
                <w:color w:val="auto"/>
              </w:rPr>
            </w:pPr>
            <w:r>
              <w:rPr>
                <w:rFonts w:ascii="Arial" w:cs="Arial" w:eastAsia="Arial" w:hAnsi="Arial"/>
                <w:sz w:val="16"/>
                <w:szCs w:val="16"/>
                <w:color w:val="auto"/>
              </w:rPr>
              <w:t>9,111,663</w:t>
            </w:r>
            <w:r>
              <w:rPr>
                <w:rFonts w:ascii="Arial" w:cs="Arial" w:eastAsia="Arial" w:hAnsi="Arial"/>
                <w:sz w:val="19"/>
                <w:szCs w:val="19"/>
                <w:color w:val="auto"/>
                <w:vertAlign w:val="superscript"/>
              </w:rPr>
              <w:t>(2)</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tcBorders>
              <w:right w:val="single" w:sz="8" w:color="424E6A"/>
            </w:tcBorders>
            <w:gridSpan w:val="3"/>
          </w:tcPr>
          <w:p>
            <w:pPr>
              <w:jc w:val="right"/>
              <w:ind w:right="35"/>
              <w:spacing w:after="0" w:line="169" w:lineRule="exact"/>
              <w:rPr>
                <w:sz w:val="20"/>
                <w:szCs w:val="20"/>
                <w:color w:val="auto"/>
              </w:rPr>
            </w:pPr>
            <w:r>
              <w:rPr>
                <w:rFonts w:ascii="Arial" w:cs="Arial" w:eastAsia="Arial" w:hAnsi="Arial"/>
                <w:sz w:val="16"/>
                <w:szCs w:val="16"/>
                <w:color w:val="auto"/>
              </w:rPr>
              <w:t>14,478,855</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67"/>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00" w:type="dxa"/>
            <w:vAlign w:val="bottom"/>
            <w:tcBorders>
              <w:bottom w:val="single" w:sz="8" w:color="424E6A"/>
              <w:right w:val="single" w:sz="8" w:color="424E6A"/>
            </w:tcBorders>
          </w:tcPr>
          <w:p>
            <w:pPr>
              <w:spacing w:after="0"/>
              <w:rPr>
                <w:sz w:val="5"/>
                <w:szCs w:val="5"/>
                <w:color w:val="auto"/>
              </w:rPr>
            </w:pPr>
          </w:p>
        </w:tc>
        <w:tc>
          <w:tcPr>
            <w:tcW w:w="28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960" w:type="dxa"/>
            <w:vAlign w:val="bottom"/>
            <w:tcBorders>
              <w:bottom w:val="single" w:sz="8" w:color="424E6A"/>
              <w:right w:val="single" w:sz="8" w:color="424E6A"/>
            </w:tcBorders>
          </w:tcPr>
          <w:p>
            <w:pPr>
              <w:jc w:val="right"/>
              <w:ind w:right="34"/>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24E6A"/>
            </w:tcBorders>
            <w:vMerge w:val="continue"/>
          </w:tcPr>
          <w:p>
            <w:pPr>
              <w:spacing w:after="0"/>
              <w:rPr>
                <w:sz w:val="5"/>
                <w:szCs w:val="5"/>
                <w:color w:val="auto"/>
              </w:rPr>
            </w:pP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37"/>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12,484,358</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12,484,358</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424E6A"/>
              <w:right w:val="single" w:sz="8" w:color="424E6A"/>
            </w:tcBorders>
          </w:tcPr>
          <w:p>
            <w:pPr>
              <w:jc w:val="right"/>
              <w:ind w:right="34"/>
              <w:spacing w:after="0" w:line="236" w:lineRule="exact"/>
              <w:rPr>
                <w:sz w:val="20"/>
                <w:szCs w:val="20"/>
                <w:color w:val="auto"/>
              </w:rPr>
            </w:pPr>
            <w:r>
              <w:rPr>
                <w:rFonts w:ascii="Arial" w:cs="Arial" w:eastAsia="Arial" w:hAnsi="Arial"/>
                <w:sz w:val="14"/>
                <w:szCs w:val="14"/>
                <w:color w:val="auto"/>
              </w:rPr>
              <w:t xml:space="preserve">9,111,663 </w:t>
            </w:r>
            <w:r>
              <w:rPr>
                <w:rFonts w:ascii="Arial" w:cs="Arial" w:eastAsia="Arial" w:hAnsi="Arial"/>
                <w:sz w:val="27"/>
                <w:szCs w:val="27"/>
                <w:color w:val="auto"/>
                <w:vertAlign w:val="subscript"/>
              </w:rPr>
              <w:t>​</w:t>
            </w: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24E6A"/>
            </w:tcBorders>
            <w:gridSpan w:val="3"/>
          </w:tcPr>
          <w:p>
            <w:pPr>
              <w:jc w:val="right"/>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14,478,855</w:t>
            </w:r>
          </w:p>
        </w:tc>
        <w:tc>
          <w:tcPr>
            <w:tcW w:w="220" w:type="dxa"/>
            <w:vAlign w:val="bottom"/>
            <w:tcBorders>
              <w:bottom w:val="single" w:sz="8" w:color="424E6A"/>
              <w:right w:val="single" w:sz="8" w:color="424E6A"/>
            </w:tcBorders>
          </w:tcPr>
          <w:p>
            <w:pPr>
              <w:jc w:val="right"/>
              <w:ind w:right="3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2040" w:type="dxa"/>
            <w:vAlign w:val="bottom"/>
            <w:tcBorders>
              <w:left w:val="single" w:sz="8" w:color="424E6A"/>
              <w:bottom w:val="single" w:sz="8" w:color="424E6A"/>
              <w:right w:val="single" w:sz="8" w:color="424E6A"/>
            </w:tcBorders>
            <w:gridSpan w:val="2"/>
            <w:shd w:val="clear" w:color="auto" w:fill="D9DCE1"/>
          </w:tcPr>
          <w:p>
            <w:pPr>
              <w:ind w:left="4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Jeremy Goebel</w:t>
            </w:r>
            <w:r>
              <w:rPr>
                <w:rFonts w:ascii="Arial" w:cs="Arial" w:eastAsia="Arial" w:hAnsi="Arial"/>
                <w:sz w:val="18"/>
                <w:szCs w:val="18"/>
                <w:b w:val="1"/>
                <w:bCs w:val="1"/>
                <w:color w:val="auto"/>
                <w:vertAlign w:val="superscript"/>
              </w:rPr>
              <w:t>(7)</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2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424E6A"/>
            </w:tcBorders>
            <w:shd w:val="clear" w:color="auto" w:fill="D9DCE1"/>
          </w:tcPr>
          <w:p>
            <w:pPr>
              <w:ind w:left="2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6"/>
                <w:szCs w:val="16"/>
                <w:b w:val="1"/>
                <w:bCs w:val="1"/>
                <w:color w:val="auto"/>
              </w:rPr>
              <w:t>​ ​</w:t>
            </w:r>
          </w:p>
        </w:tc>
        <w:tc>
          <w:tcPr>
            <w:tcW w:w="960" w:type="dxa"/>
            <w:vAlign w:val="bottom"/>
            <w:tcBorders>
              <w:bottom w:val="single" w:sz="8" w:color="424E6A"/>
              <w:right w:val="single" w:sz="8" w:color="424E6A"/>
            </w:tcBorders>
            <w:shd w:val="clear" w:color="auto" w:fill="D9DCE1"/>
          </w:tcPr>
          <w:p>
            <w:pPr>
              <w:jc w:val="right"/>
              <w:ind w:right="34"/>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424E6A"/>
            </w:tcBorders>
            <w:shd w:val="clear" w:color="auto" w:fill="D9DCE1"/>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424E6A"/>
            </w:tcBorders>
            <w:shd w:val="clear" w:color="auto" w:fill="D9DCE1"/>
          </w:tcPr>
          <w:p>
            <w:pPr>
              <w:spacing w:after="0"/>
              <w:rPr>
                <w:sz w:val="22"/>
                <w:szCs w:val="22"/>
                <w:color w:val="auto"/>
              </w:rPr>
            </w:pPr>
          </w:p>
        </w:tc>
        <w:tc>
          <w:tcPr>
            <w:tcW w:w="220" w:type="dxa"/>
            <w:vAlign w:val="bottom"/>
            <w:tcBorders>
              <w:bottom w:val="single" w:sz="8" w:color="424E6A"/>
              <w:right w:val="single" w:sz="8" w:color="424E6A"/>
            </w:tcBorders>
            <w:shd w:val="clear" w:color="auto" w:fill="D9DCE1"/>
          </w:tcPr>
          <w:p>
            <w:pPr>
              <w:jc w:val="right"/>
              <w:ind w:right="3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69"/>
        </w:trPr>
        <w:tc>
          <w:tcPr>
            <w:tcW w:w="140" w:type="dxa"/>
            <w:vAlign w:val="bottom"/>
            <w:tcBorders>
              <w:left w:val="single" w:sz="8" w:color="424E6A"/>
            </w:tcBorders>
            <w:vMerge w:val="restart"/>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right w:val="single" w:sz="8" w:color="424E6A"/>
            </w:tcBorders>
          </w:tcPr>
          <w:p>
            <w:pPr>
              <w:ind w:left="80"/>
              <w:spacing w:after="0" w:line="169" w:lineRule="exact"/>
              <w:rPr>
                <w:sz w:val="20"/>
                <w:szCs w:val="20"/>
                <w:color w:val="auto"/>
              </w:rPr>
            </w:pPr>
            <w:r>
              <w:rPr>
                <w:rFonts w:ascii="Arial" w:cs="Arial" w:eastAsia="Arial" w:hAnsi="Arial"/>
                <w:sz w:val="16"/>
                <w:szCs w:val="16"/>
                <w:color w:val="auto"/>
              </w:rPr>
              <w:t>Equity Compensation</w:t>
            </w:r>
          </w:p>
        </w:tc>
        <w:tc>
          <w:tcPr>
            <w:tcW w:w="12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12,484,358</w:t>
            </w:r>
            <w:r>
              <w:rPr>
                <w:rFonts w:ascii="Arial" w:cs="Arial" w:eastAsia="Arial" w:hAnsi="Arial"/>
                <w:sz w:val="19"/>
                <w:szCs w:val="19"/>
                <w:color w:val="auto"/>
                <w:vertAlign w:val="superscript"/>
              </w:rPr>
              <w:t>(1)</w:t>
            </w:r>
          </w:p>
        </w:tc>
        <w:tc>
          <w:tcPr>
            <w:tcW w:w="12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12,484,358</w:t>
            </w:r>
            <w:r>
              <w:rPr>
                <w:rFonts w:ascii="Arial" w:cs="Arial" w:eastAsia="Arial" w:hAnsi="Arial"/>
                <w:sz w:val="19"/>
                <w:szCs w:val="19"/>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960" w:type="dxa"/>
            <w:vAlign w:val="bottom"/>
            <w:tcBorders>
              <w:right w:val="single" w:sz="8" w:color="424E6A"/>
            </w:tcBorders>
          </w:tcPr>
          <w:p>
            <w:pPr>
              <w:jc w:val="right"/>
              <w:spacing w:after="0" w:line="169" w:lineRule="exact"/>
              <w:rPr>
                <w:sz w:val="20"/>
                <w:szCs w:val="20"/>
                <w:color w:val="auto"/>
              </w:rPr>
            </w:pPr>
            <w:r>
              <w:rPr>
                <w:rFonts w:ascii="Arial" w:cs="Arial" w:eastAsia="Arial" w:hAnsi="Arial"/>
                <w:sz w:val="16"/>
                <w:szCs w:val="16"/>
                <w:color w:val="auto"/>
              </w:rPr>
              <w:t>9,111,663</w:t>
            </w:r>
            <w:r>
              <w:rPr>
                <w:rFonts w:ascii="Arial" w:cs="Arial" w:eastAsia="Arial" w:hAnsi="Arial"/>
                <w:sz w:val="19"/>
                <w:szCs w:val="19"/>
                <w:color w:val="auto"/>
                <w:vertAlign w:val="superscript"/>
              </w:rPr>
              <w:t>(2)</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424E6A"/>
            </w:tcBorders>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80" w:type="dxa"/>
            <w:vAlign w:val="bottom"/>
            <w:tcBorders>
              <w:right w:val="single" w:sz="8" w:color="424E6A"/>
            </w:tcBorders>
            <w:gridSpan w:val="3"/>
          </w:tcPr>
          <w:p>
            <w:pPr>
              <w:jc w:val="right"/>
              <w:ind w:right="35"/>
              <w:spacing w:after="0" w:line="169" w:lineRule="exact"/>
              <w:rPr>
                <w:sz w:val="20"/>
                <w:szCs w:val="20"/>
                <w:color w:val="auto"/>
              </w:rPr>
            </w:pPr>
            <w:r>
              <w:rPr>
                <w:rFonts w:ascii="Arial" w:cs="Arial" w:eastAsia="Arial" w:hAnsi="Arial"/>
                <w:sz w:val="16"/>
                <w:szCs w:val="16"/>
                <w:color w:val="auto"/>
              </w:rPr>
              <w:t>14,478,855</w:t>
            </w:r>
            <w:r>
              <w:rPr>
                <w:rFonts w:ascii="Arial" w:cs="Arial" w:eastAsia="Arial" w:hAnsi="Arial"/>
                <w:sz w:val="19"/>
                <w:szCs w:val="19"/>
                <w:color w:val="auto"/>
                <w:vertAlign w:val="superscript"/>
              </w:rPr>
              <w:t>(3)</w:t>
            </w:r>
          </w:p>
        </w:tc>
        <w:tc>
          <w:tcPr>
            <w:tcW w:w="0" w:type="dxa"/>
            <w:vAlign w:val="bottom"/>
          </w:tcPr>
          <w:p>
            <w:pPr>
              <w:spacing w:after="0"/>
              <w:rPr>
                <w:sz w:val="1"/>
                <w:szCs w:val="1"/>
                <w:color w:val="auto"/>
              </w:rPr>
            </w:pPr>
          </w:p>
        </w:tc>
      </w:tr>
      <w:tr>
        <w:trPr>
          <w:trHeight w:val="68"/>
        </w:trPr>
        <w:tc>
          <w:tcPr>
            <w:tcW w:w="140" w:type="dxa"/>
            <w:vAlign w:val="bottom"/>
            <w:tcBorders>
              <w:left w:val="single" w:sz="8" w:color="424E6A"/>
              <w:bottom w:val="single" w:sz="8" w:color="424E6A"/>
            </w:tcBorders>
            <w:vMerge w:val="continue"/>
          </w:tcPr>
          <w:p>
            <w:pPr>
              <w:spacing w:after="0"/>
              <w:rPr>
                <w:sz w:val="5"/>
                <w:szCs w:val="5"/>
                <w:color w:val="auto"/>
              </w:rPr>
            </w:pPr>
          </w:p>
        </w:tc>
        <w:tc>
          <w:tcPr>
            <w:tcW w:w="1900" w:type="dxa"/>
            <w:vAlign w:val="bottom"/>
            <w:tcBorders>
              <w:bottom w:val="single" w:sz="8" w:color="424E6A"/>
              <w:right w:val="single" w:sz="8" w:color="424E6A"/>
            </w:tcBorders>
          </w:tcPr>
          <w:p>
            <w:pPr>
              <w:spacing w:after="0"/>
              <w:rPr>
                <w:sz w:val="5"/>
                <w:szCs w:val="5"/>
                <w:color w:val="auto"/>
              </w:rPr>
            </w:pPr>
          </w:p>
        </w:tc>
        <w:tc>
          <w:tcPr>
            <w:tcW w:w="28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20" w:type="dxa"/>
            <w:vAlign w:val="bottom"/>
            <w:tcBorders>
              <w:bottom w:val="single" w:sz="8" w:color="424E6A"/>
              <w:right w:val="single" w:sz="8" w:color="424E6A"/>
            </w:tcBorders>
            <w:vMerge w:val="continue"/>
          </w:tcPr>
          <w:p>
            <w:pPr>
              <w:spacing w:after="0"/>
              <w:rPr>
                <w:sz w:val="5"/>
                <w:szCs w:val="5"/>
                <w:color w:val="auto"/>
              </w:rPr>
            </w:pPr>
          </w:p>
        </w:tc>
        <w:tc>
          <w:tcPr>
            <w:tcW w:w="280" w:type="dxa"/>
            <w:vAlign w:val="bottom"/>
            <w:tcBorders>
              <w:bottom w:val="single" w:sz="8" w:color="424E6A"/>
            </w:tcBorders>
          </w:tcPr>
          <w:p>
            <w:pPr>
              <w:ind w:left="240"/>
              <w:spacing w:after="0" w:line="68" w:lineRule="exact"/>
              <w:rPr>
                <w:sz w:val="20"/>
                <w:szCs w:val="20"/>
                <w:color w:val="auto"/>
              </w:rPr>
            </w:pPr>
            <w:r>
              <w:rPr>
                <w:rFonts w:ascii="Arial" w:cs="Arial" w:eastAsia="Arial" w:hAnsi="Arial"/>
                <w:sz w:val="7"/>
                <w:szCs w:val="7"/>
                <w:color w:val="auto"/>
              </w:rPr>
              <w:t>​</w:t>
            </w:r>
          </w:p>
        </w:tc>
        <w:tc>
          <w:tcPr>
            <w:tcW w:w="780" w:type="dxa"/>
            <w:vAlign w:val="bottom"/>
            <w:tcBorders>
              <w:bottom w:val="single" w:sz="8" w:color="424E6A"/>
            </w:tcBorders>
          </w:tcPr>
          <w:p>
            <w:pPr>
              <w:spacing w:after="0"/>
              <w:rPr>
                <w:sz w:val="5"/>
                <w:szCs w:val="5"/>
                <w:color w:val="auto"/>
              </w:rPr>
            </w:pPr>
          </w:p>
        </w:tc>
        <w:tc>
          <w:tcPr>
            <w:tcW w:w="14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vMerge w:val="continue"/>
          </w:tcPr>
          <w:p>
            <w:pPr>
              <w:spacing w:after="0"/>
              <w:rPr>
                <w:sz w:val="5"/>
                <w:szCs w:val="5"/>
                <w:color w:val="auto"/>
              </w:rPr>
            </w:pPr>
          </w:p>
        </w:tc>
        <w:tc>
          <w:tcPr>
            <w:tcW w:w="960" w:type="dxa"/>
            <w:vAlign w:val="bottom"/>
            <w:tcBorders>
              <w:bottom w:val="single" w:sz="8" w:color="424E6A"/>
              <w:right w:val="single" w:sz="8" w:color="424E6A"/>
            </w:tcBorders>
          </w:tcPr>
          <w:p>
            <w:pPr>
              <w:jc w:val="right"/>
              <w:ind w:right="34"/>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424E6A"/>
            </w:tcBorders>
            <w:vMerge w:val="continue"/>
          </w:tcPr>
          <w:p>
            <w:pPr>
              <w:spacing w:after="0"/>
              <w:rPr>
                <w:sz w:val="5"/>
                <w:szCs w:val="5"/>
                <w:color w:val="auto"/>
              </w:rPr>
            </w:pPr>
          </w:p>
        </w:tc>
        <w:tc>
          <w:tcPr>
            <w:tcW w:w="6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vMerge w:val="continue"/>
          </w:tcPr>
          <w:p>
            <w:pPr>
              <w:spacing w:after="0"/>
              <w:rPr>
                <w:sz w:val="5"/>
                <w:szCs w:val="5"/>
                <w:color w:val="auto"/>
              </w:rPr>
            </w:pPr>
          </w:p>
        </w:tc>
        <w:tc>
          <w:tcPr>
            <w:tcW w:w="200" w:type="dxa"/>
            <w:vAlign w:val="bottom"/>
            <w:tcBorders>
              <w:bottom w:val="single" w:sz="8" w:color="424E6A"/>
            </w:tcBorders>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780" w:type="dxa"/>
            <w:vAlign w:val="bottom"/>
            <w:tcBorders>
              <w:bottom w:val="single" w:sz="8" w:color="424E6A"/>
            </w:tcBorders>
          </w:tcPr>
          <w:p>
            <w:pPr>
              <w:spacing w:after="0"/>
              <w:rPr>
                <w:sz w:val="5"/>
                <w:szCs w:val="5"/>
                <w:color w:val="auto"/>
              </w:rPr>
            </w:pPr>
          </w:p>
        </w:tc>
        <w:tc>
          <w:tcPr>
            <w:tcW w:w="220" w:type="dxa"/>
            <w:vAlign w:val="bottom"/>
            <w:tcBorders>
              <w:bottom w:val="single" w:sz="8" w:color="424E6A"/>
              <w:right w:val="single" w:sz="8" w:color="424E6A"/>
            </w:tcBorders>
          </w:tcPr>
          <w:p>
            <w:pPr>
              <w:jc w:val="right"/>
              <w:ind w:right="35"/>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36"/>
        </w:trPr>
        <w:tc>
          <w:tcPr>
            <w:tcW w:w="14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424E6A"/>
              <w:right w:val="single" w:sz="8" w:color="424E6A"/>
            </w:tcBorders>
          </w:tcPr>
          <w:p>
            <w:pPr>
              <w:ind w:left="8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12,484,358</w:t>
            </w:r>
          </w:p>
        </w:tc>
        <w:tc>
          <w:tcPr>
            <w:tcW w:w="140" w:type="dxa"/>
            <w:vAlign w:val="bottom"/>
            <w:tcBorders>
              <w:bottom w:val="single" w:sz="8" w:color="424E6A"/>
            </w:tcBorders>
          </w:tcPr>
          <w:p>
            <w:pPr>
              <w:spacing w:after="0"/>
              <w:rPr>
                <w:sz w:val="20"/>
                <w:szCs w:val="20"/>
                <w:color w:val="auto"/>
              </w:rPr>
            </w:pPr>
          </w:p>
        </w:tc>
        <w:tc>
          <w:tcPr>
            <w:tcW w:w="12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24E6A"/>
            </w:tcBorders>
            <w:gridSpan w:val="2"/>
          </w:tcPr>
          <w:p>
            <w:pPr>
              <w:ind w:left="24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12,484,358</w:t>
            </w:r>
          </w:p>
        </w:tc>
        <w:tc>
          <w:tcPr>
            <w:tcW w:w="140" w:type="dxa"/>
            <w:vAlign w:val="bottom"/>
            <w:tcBorders>
              <w:bottom w:val="single" w:sz="8" w:color="424E6A"/>
            </w:tcBorders>
          </w:tcPr>
          <w:p>
            <w:pPr>
              <w:spacing w:after="0"/>
              <w:rPr>
                <w:sz w:val="20"/>
                <w:szCs w:val="20"/>
                <w:color w:val="auto"/>
              </w:rPr>
            </w:pP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424E6A"/>
              <w:right w:val="single" w:sz="8" w:color="424E6A"/>
            </w:tcBorders>
          </w:tcPr>
          <w:p>
            <w:pPr>
              <w:jc w:val="right"/>
              <w:ind w:right="34"/>
              <w:spacing w:after="0" w:line="236" w:lineRule="exact"/>
              <w:rPr>
                <w:sz w:val="20"/>
                <w:szCs w:val="20"/>
                <w:color w:val="auto"/>
              </w:rPr>
            </w:pPr>
            <w:r>
              <w:rPr>
                <w:rFonts w:ascii="Arial" w:cs="Arial" w:eastAsia="Arial" w:hAnsi="Arial"/>
                <w:sz w:val="14"/>
                <w:szCs w:val="14"/>
                <w:color w:val="auto"/>
              </w:rPr>
              <w:t xml:space="preserve">9,111,663 </w:t>
            </w:r>
            <w:r>
              <w:rPr>
                <w:rFonts w:ascii="Arial" w:cs="Arial" w:eastAsia="Arial" w:hAnsi="Arial"/>
                <w:sz w:val="27"/>
                <w:szCs w:val="27"/>
                <w:color w:val="auto"/>
                <w:vertAlign w:val="subscript"/>
              </w:rPr>
              <w:t>​</w:t>
            </w:r>
          </w:p>
        </w:tc>
        <w:tc>
          <w:tcPr>
            <w:tcW w:w="260" w:type="dxa"/>
            <w:vAlign w:val="bottom"/>
            <w:tcBorders>
              <w:bottom w:val="single" w:sz="8" w:color="424E6A"/>
            </w:tcBorders>
          </w:tcPr>
          <w:p>
            <w:pPr>
              <w:ind w:lef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424E6A"/>
              <w:right w:val="single" w:sz="8" w:color="424E6A"/>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24E6A"/>
              <w:right w:val="single" w:sz="8" w:color="424E6A"/>
            </w:tcBorders>
            <w:gridSpan w:val="4"/>
          </w:tcPr>
          <w:p>
            <w:pPr>
              <w:jc w:val="right"/>
              <w:ind w:right="35"/>
              <w:spacing w:after="0" w:line="236"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4"/>
                <w:szCs w:val="14"/>
                <w:color w:val="auto"/>
              </w:rPr>
              <w:t xml:space="preserve">14,478,855 </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20" w:right="519" w:hanging="360"/>
        <w:spacing w:after="0" w:line="235" w:lineRule="auto"/>
        <w:tabs>
          <w:tab w:leader="none" w:pos="1620" w:val="left"/>
        </w:tabs>
        <w:numPr>
          <w:ilvl w:val="0"/>
          <w:numId w:val="65"/>
        </w:numPr>
        <w:rPr>
          <w:rFonts w:ascii="Arial" w:cs="Arial" w:eastAsia="Arial" w:hAnsi="Arial"/>
          <w:sz w:val="27"/>
          <w:szCs w:val="27"/>
          <w:color w:val="auto"/>
          <w:vertAlign w:val="superscript"/>
        </w:rPr>
      </w:pPr>
      <w:r>
        <w:rPr>
          <w:rFonts w:ascii="Arial" w:cs="Arial" w:eastAsia="Arial" w:hAnsi="Arial"/>
          <w:sz w:val="18"/>
          <w:szCs w:val="18"/>
          <w:color w:val="auto"/>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9" w:lineRule="exact"/>
        <w:rPr>
          <w:rFonts w:ascii="Arial" w:cs="Arial" w:eastAsia="Arial" w:hAnsi="Arial"/>
          <w:sz w:val="27"/>
          <w:szCs w:val="27"/>
          <w:color w:val="auto"/>
          <w:vertAlign w:val="superscript"/>
        </w:rPr>
      </w:pPr>
    </w:p>
    <w:p>
      <w:pPr>
        <w:ind w:left="1620" w:right="419"/>
        <w:spacing w:after="0" w:line="246"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August 2019, August 2021, August 2022 and August 2023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p>
    <w:p>
      <w:pPr>
        <w:spacing w:after="0" w:line="13" w:lineRule="exact"/>
        <w:rPr>
          <w:rFonts w:ascii="Arial" w:cs="Arial" w:eastAsia="Arial" w:hAnsi="Arial"/>
          <w:sz w:val="27"/>
          <w:szCs w:val="27"/>
          <w:color w:val="auto"/>
          <w:vertAlign w:val="superscript"/>
        </w:rPr>
      </w:pPr>
    </w:p>
    <w:p>
      <w:pPr>
        <w:ind w:left="1620" w:right="519"/>
        <w:spacing w:after="0" w:line="245" w:lineRule="auto"/>
        <w:rPr>
          <w:rFonts w:ascii="Arial" w:cs="Arial" w:eastAsia="Arial" w:hAnsi="Arial"/>
          <w:sz w:val="27"/>
          <w:szCs w:val="27"/>
          <w:color w:val="auto"/>
          <w:vertAlign w:val="superscript"/>
        </w:rPr>
      </w:pPr>
      <w:r>
        <w:rPr>
          <w:rFonts w:ascii="Arial" w:cs="Arial" w:eastAsia="Arial" w:hAnsi="Arial"/>
          <w:sz w:val="18"/>
          <w:szCs w:val="18"/>
          <w:color w:val="auto"/>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 grants and associated DERs will be deemed nonforfeitable and will vest on the next distribution date (assuming a TSR payout percentage of 100% with respect to the performance-based portion of the award).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879"/>
        <w:spacing w:after="0" w:line="266" w:lineRule="auto"/>
        <w:rPr>
          <w:sz w:val="20"/>
          <w:szCs w:val="20"/>
          <w:color w:val="auto"/>
        </w:rPr>
      </w:pPr>
      <w:r>
        <w:rPr>
          <w:rFonts w:ascii="Arial" w:cs="Arial" w:eastAsia="Arial" w:hAnsi="Arial"/>
          <w:sz w:val="18"/>
          <w:szCs w:val="18"/>
          <w:color w:val="auto"/>
        </w:rPr>
        <w:t>For these purposes, “disability” means a physical or mental infirmity that impairs the ability substantially to perform duties for a period of eighteen (18) months or that the general partner otherwise determines constitutes a disability.</w:t>
      </w:r>
    </w:p>
    <w:p>
      <w:pPr>
        <w:ind w:left="1620"/>
        <w:spacing w:after="0"/>
        <w:rPr>
          <w:sz w:val="20"/>
          <w:szCs w:val="20"/>
          <w:color w:val="auto"/>
        </w:rPr>
      </w:pPr>
      <w:r>
        <w:rPr>
          <w:rFonts w:ascii="Arial" w:cs="Arial" w:eastAsia="Arial" w:hAnsi="Arial"/>
          <w:sz w:val="18"/>
          <w:szCs w:val="18"/>
          <w:color w:val="auto"/>
        </w:rPr>
        <w:t>Assuming death or disability occurred on December 31, 2023, (i) all of the phantom units and</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associated DERs held by Messrs. Chiang, Swanson, McGee, Chandler and Goebel pursuant to</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their August 2019, August 2021 and August 2022 grant letters; all of the phantom units and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associated DERs held by Mr. Chiang pursuant to his August 2018 grant letter; and all of the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phantom units and associated DERs held by Messrs. Chandler and Goebel pursuant to their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November 2019 grant letters would have become nonforfeitable as of such date and would have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vested on the February 2024 distribution date, and (ii) all of the phantom units and associated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DERs held by Messrs. Chiang, Swanson, McGee, Chandler and Goebel pursuant to their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August 2023 grant letters would have been forfeited. The dollar value given is based on the market</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value of PAA’s common units on December 29, 2023 ($15.15 per unit).</w:t>
      </w:r>
    </w:p>
    <w:p>
      <w:pPr>
        <w:spacing w:after="0" w:line="59" w:lineRule="exact"/>
        <w:rPr>
          <w:sz w:val="20"/>
          <w:szCs w:val="20"/>
          <w:color w:val="auto"/>
        </w:rPr>
      </w:pPr>
    </w:p>
    <w:p>
      <w:pPr>
        <w:ind w:left="1620" w:right="499" w:hanging="360"/>
        <w:spacing w:after="0" w:line="232" w:lineRule="auto"/>
        <w:tabs>
          <w:tab w:leader="none" w:pos="16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p>
    <w:p>
      <w:pPr>
        <w:spacing w:after="0" w:line="20" w:lineRule="exact"/>
        <w:rPr>
          <w:rFonts w:ascii="Arial" w:cs="Arial" w:eastAsia="Arial" w:hAnsi="Arial"/>
          <w:sz w:val="27"/>
          <w:szCs w:val="27"/>
          <w:color w:val="auto"/>
          <w:vertAlign w:val="superscript"/>
        </w:rPr>
      </w:pPr>
    </w:p>
    <w:p>
      <w:pPr>
        <w:ind w:left="1620" w:right="459"/>
        <w:spacing w:after="0" w:line="256"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p>
    <w:p>
      <w:pPr>
        <w:spacing w:after="0" w:line="7" w:lineRule="exact"/>
        <w:rPr>
          <w:rFonts w:ascii="Arial" w:cs="Arial" w:eastAsia="Arial" w:hAnsi="Arial"/>
          <w:sz w:val="27"/>
          <w:szCs w:val="27"/>
          <w:color w:val="auto"/>
          <w:vertAlign w:val="superscript"/>
        </w:rPr>
      </w:pPr>
    </w:p>
    <w:p>
      <w:pPr>
        <w:ind w:left="1620" w:right="659"/>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The phantom units granted to Messrs. Chiang, Swanson, McGee, Chandler and Goebel in August 2021, August 2022 and August 2023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p>
    <w:p>
      <w:pPr>
        <w:spacing w:after="0" w:line="2" w:lineRule="exact"/>
        <w:rPr>
          <w:rFonts w:ascii="Arial" w:cs="Arial" w:eastAsia="Arial" w:hAnsi="Arial"/>
          <w:sz w:val="27"/>
          <w:szCs w:val="27"/>
          <w:color w:val="auto"/>
          <w:vertAlign w:val="superscript"/>
        </w:rPr>
      </w:pPr>
    </w:p>
    <w:p>
      <w:pPr>
        <w:ind w:left="1620" w:right="619"/>
        <w:spacing w:after="0" w:line="256" w:lineRule="auto"/>
        <w:rPr>
          <w:rFonts w:ascii="Arial" w:cs="Arial" w:eastAsia="Arial" w:hAnsi="Arial"/>
          <w:sz w:val="27"/>
          <w:szCs w:val="27"/>
          <w:color w:val="auto"/>
          <w:vertAlign w:val="superscript"/>
        </w:rPr>
      </w:pPr>
      <w:r>
        <w:rPr>
          <w:rFonts w:ascii="Arial" w:cs="Arial" w:eastAsia="Arial" w:hAnsi="Arial"/>
          <w:sz w:val="18"/>
          <w:szCs w:val="18"/>
          <w:color w:val="auto"/>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p>
    <w:p>
      <w:pPr>
        <w:spacing w:after="0" w:line="7" w:lineRule="exact"/>
        <w:rPr>
          <w:rFonts w:ascii="Arial" w:cs="Arial" w:eastAsia="Arial" w:hAnsi="Arial"/>
          <w:sz w:val="27"/>
          <w:szCs w:val="27"/>
          <w:color w:val="auto"/>
          <w:vertAlign w:val="superscript"/>
        </w:rPr>
      </w:pPr>
    </w:p>
    <w:p>
      <w:pPr>
        <w:ind w:left="1620"/>
        <w:spacing w:after="0"/>
        <w:rPr>
          <w:rFonts w:ascii="Arial" w:cs="Arial" w:eastAsia="Arial" w:hAnsi="Arial"/>
          <w:sz w:val="27"/>
          <w:szCs w:val="27"/>
          <w:color w:val="auto"/>
          <w:vertAlign w:val="superscript"/>
        </w:rPr>
      </w:pPr>
      <w:r>
        <w:rPr>
          <w:rFonts w:ascii="Arial" w:cs="Arial" w:eastAsia="Arial" w:hAnsi="Arial"/>
          <w:sz w:val="18"/>
          <w:szCs w:val="18"/>
          <w:color w:val="auto"/>
        </w:rPr>
        <w:t>Assuming our Named Executive Officers were terminated without cause on December 31, 2023,</w:t>
      </w:r>
    </w:p>
    <w:p>
      <w:pPr>
        <w:spacing w:after="0" w:line="27" w:lineRule="exact"/>
        <w:rPr>
          <w:rFonts w:ascii="Arial" w:cs="Arial" w:eastAsia="Arial" w:hAnsi="Arial"/>
          <w:sz w:val="27"/>
          <w:szCs w:val="27"/>
          <w:color w:val="auto"/>
          <w:vertAlign w:val="superscript"/>
        </w:rPr>
      </w:pPr>
    </w:p>
    <w:p>
      <w:pPr>
        <w:ind w:left="1620" w:right="479"/>
        <w:spacing w:after="0" w:line="252" w:lineRule="auto"/>
        <w:tabs>
          <w:tab w:leader="none" w:pos="18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of the phantom units covered by the August 2019 phantom unit grants held by Messrs. Chiang, Swanson, McGee, Chandler and Goebel; approximately 79% of the phantom units covered by the August 2021 phantom unit grants held by Messrs. Chiang, Swanson, McGee, Chandler and Goebel; approximately 46% of the phantom units covered by the August 2022 phantom unit grants held by Messrs. Chiang, Swanson, McGee, Chandler and Goebel; 80% of the phantom units covered by the November 2019 phantom unit grants held by Messrs. Chandler and Goebel; and 100% of the phantom units covered by the August 2018 phantom unit grant held by Mr. Chiang would have become nonforfeitable as of such date and would have vested on the February 2024 distribution date, and (ii) all remaining phantom units held by our Named Executive Officers would have been forfeited. The dollar value given is based on the market value of PAA’s common units on December 29, 2023 ($15.15 per unit).</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19" w:hanging="360"/>
        <w:spacing w:after="0"/>
        <w:tabs>
          <w:tab w:leader="none" w:pos="16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The letters evidencing phantom unit grants awarded to the Named Executive Officers provide that in the event of a change in status (as defined below),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2023, all outstanding phantom units awarded under such grants and the associated DERs would have become nonforfeitable as of such date and would have vested on the February 2024 distribution date. The dollar value given is based on the market value of PAA’s common units on December 29, 2023 ($15.15 per unit).</w:t>
      </w:r>
    </w:p>
    <w:p>
      <w:pPr>
        <w:spacing w:after="0" w:line="18" w:lineRule="exact"/>
        <w:rPr>
          <w:rFonts w:ascii="Arial" w:cs="Arial" w:eastAsia="Arial" w:hAnsi="Arial"/>
          <w:sz w:val="27"/>
          <w:szCs w:val="27"/>
          <w:color w:val="auto"/>
          <w:vertAlign w:val="superscript"/>
        </w:rPr>
      </w:pPr>
    </w:p>
    <w:p>
      <w:pPr>
        <w:ind w:left="1620" w:right="419"/>
        <w:spacing w:after="0" w:line="254" w:lineRule="auto"/>
        <w:rPr>
          <w:rFonts w:ascii="Arial" w:cs="Arial" w:eastAsia="Arial" w:hAnsi="Arial"/>
          <w:sz w:val="27"/>
          <w:szCs w:val="27"/>
          <w:color w:val="auto"/>
          <w:vertAlign w:val="superscript"/>
        </w:rPr>
      </w:pPr>
      <w:r>
        <w:rPr>
          <w:rFonts w:ascii="Arial" w:cs="Arial" w:eastAsia="Arial" w:hAnsi="Arial"/>
          <w:sz w:val="18"/>
          <w:szCs w:val="18"/>
          <w:color w:val="auto"/>
        </w:rPr>
        <w:t>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applicable grant letter by GP LLC, or (C) the termination of employment as a result of retirement on terms and timing that are approved by the CEO (or the Board in the case of the CEO).</w:t>
      </w:r>
    </w:p>
    <w:p>
      <w:pPr>
        <w:spacing w:after="0" w:line="10" w:lineRule="exact"/>
        <w:rPr>
          <w:sz w:val="20"/>
          <w:szCs w:val="20"/>
          <w:color w:val="auto"/>
        </w:rPr>
      </w:pPr>
    </w:p>
    <w:p>
      <w:pPr>
        <w:ind w:left="1620" w:right="439"/>
        <w:spacing w:after="0" w:line="252" w:lineRule="auto"/>
        <w:rPr>
          <w:sz w:val="20"/>
          <w:szCs w:val="20"/>
          <w:color w:val="auto"/>
        </w:rPr>
      </w:pPr>
      <w:r>
        <w:rPr>
          <w:rFonts w:ascii="Arial" w:cs="Arial" w:eastAsia="Arial" w:hAnsi="Arial"/>
          <w:sz w:val="18"/>
          <w:szCs w:val="18"/>
          <w:color w:val="auto"/>
        </w:rPr>
        <w:t>The phrase “change of control” is defined in the outstanding phantom unit grants awarded in 2018, 2019, 2021, 2022 and 2023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“Cause” is defined in the 2018, 2019, 2021, 2022 and 2023 phantom unit grant agreements as</w:t>
      </w:r>
    </w:p>
    <w:p>
      <w:pPr>
        <w:spacing w:after="0" w:line="27" w:lineRule="exact"/>
        <w:rPr>
          <w:sz w:val="20"/>
          <w:szCs w:val="20"/>
          <w:color w:val="auto"/>
        </w:rPr>
      </w:pPr>
    </w:p>
    <w:p>
      <w:pPr>
        <w:ind w:left="1620" w:right="459"/>
        <w:spacing w:after="0" w:line="253" w:lineRule="auto"/>
        <w:tabs>
          <w:tab w:leader="none" w:pos="1828" w:val="left"/>
        </w:tabs>
        <w:numPr>
          <w:ilvl w:val="1"/>
          <w:numId w:val="68"/>
        </w:numPr>
        <w:rPr>
          <w:rFonts w:ascii="Arial" w:cs="Arial" w:eastAsia="Arial" w:hAnsi="Arial"/>
          <w:sz w:val="18"/>
          <w:szCs w:val="18"/>
          <w:color w:val="auto"/>
        </w:rPr>
      </w:pPr>
      <w:r>
        <w:rPr>
          <w:rFonts w:ascii="Arial" w:cs="Arial" w:eastAsia="Arial" w:hAnsi="Arial"/>
          <w:sz w:val="18"/>
          <w:szCs w:val="18"/>
          <w:color w:val="auto"/>
        </w:rPr>
        <w:t>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p>
    <w:p>
      <w:pPr>
        <w:spacing w:after="0" w:line="34" w:lineRule="exact"/>
        <w:rPr>
          <w:rFonts w:ascii="Arial" w:cs="Arial" w:eastAsia="Arial" w:hAnsi="Arial"/>
          <w:sz w:val="18"/>
          <w:szCs w:val="18"/>
          <w:color w:val="auto"/>
        </w:rPr>
      </w:pPr>
    </w:p>
    <w:p>
      <w:pPr>
        <w:ind w:left="1620" w:right="479" w:hanging="360"/>
        <w:spacing w:after="0" w:line="239" w:lineRule="auto"/>
        <w:tabs>
          <w:tab w:leader="none" w:pos="1620" w:val="left"/>
        </w:tabs>
        <w:numPr>
          <w:ilvl w:val="0"/>
          <w:numId w:val="69"/>
        </w:numPr>
        <w:rPr>
          <w:rFonts w:ascii="Arial" w:cs="Arial" w:eastAsia="Arial" w:hAnsi="Arial"/>
          <w:sz w:val="26"/>
          <w:szCs w:val="26"/>
          <w:color w:val="auto"/>
          <w:vertAlign w:val="superscript"/>
        </w:rPr>
      </w:pPr>
      <w:r>
        <w:rPr>
          <w:rFonts w:ascii="Arial" w:cs="Arial" w:eastAsia="Arial" w:hAnsi="Arial"/>
          <w:sz w:val="17"/>
          <w:szCs w:val="17"/>
          <w:color w:val="auto"/>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w:t>
      </w:r>
    </w:p>
    <w:p>
      <w:pPr>
        <w:ind w:left="1620"/>
        <w:spacing w:after="0"/>
        <w:rPr>
          <w:rFonts w:ascii="Arial" w:cs="Arial" w:eastAsia="Arial" w:hAnsi="Arial"/>
          <w:sz w:val="26"/>
          <w:szCs w:val="26"/>
          <w:color w:val="auto"/>
          <w:vertAlign w:val="superscript"/>
        </w:rPr>
      </w:pPr>
      <w:r>
        <w:rPr>
          <w:rFonts w:ascii="Arial" w:cs="Arial" w:eastAsia="Arial" w:hAnsi="Arial"/>
          <w:sz w:val="18"/>
          <w:szCs w:val="18"/>
          <w:color w:val="auto"/>
        </w:rPr>
        <w:t>(1) the sum of his (a) highest annual base salary paid prior to his date of termination and</w:t>
      </w:r>
    </w:p>
    <w:p>
      <w:pPr>
        <w:spacing w:after="0" w:line="9" w:lineRule="exact"/>
        <w:rPr>
          <w:rFonts w:ascii="Arial" w:cs="Arial" w:eastAsia="Arial" w:hAnsi="Arial"/>
          <w:sz w:val="26"/>
          <w:szCs w:val="26"/>
          <w:color w:val="auto"/>
          <w:vertAlign w:val="superscript"/>
        </w:rPr>
      </w:pPr>
    </w:p>
    <w:p>
      <w:pPr>
        <w:ind w:left="1620" w:right="499"/>
        <w:spacing w:after="0" w:line="254" w:lineRule="auto"/>
        <w:tabs>
          <w:tab w:leader="none" w:pos="18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2023 with two years remaining on the term of his agreement, and also assumes a highest annual base salary of $600,000 and highest annual bonus of $2,105,000.</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439"/>
        <w:spacing w:after="0" w:line="258" w:lineRule="auto"/>
        <w:rPr>
          <w:sz w:val="20"/>
          <w:szCs w:val="20"/>
          <w:color w:val="auto"/>
        </w:rPr>
      </w:pPr>
      <w:r>
        <w:rPr>
          <w:rFonts w:ascii="Arial" w:cs="Arial" w:eastAsia="Arial" w:hAnsi="Arial"/>
          <w:sz w:val="17"/>
          <w:szCs w:val="17"/>
          <w:color w:val="auto"/>
        </w:rPr>
        <w:t>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w:t>
      </w:r>
    </w:p>
    <w:p>
      <w:pPr>
        <w:spacing w:after="0" w:line="5" w:lineRule="exact"/>
        <w:rPr>
          <w:sz w:val="20"/>
          <w:szCs w:val="20"/>
          <w:color w:val="auto"/>
        </w:rPr>
      </w:pPr>
    </w:p>
    <w:p>
      <w:pPr>
        <w:ind w:left="1620" w:right="519"/>
        <w:spacing w:after="0" w:line="245" w:lineRule="auto"/>
        <w:rPr>
          <w:sz w:val="20"/>
          <w:szCs w:val="20"/>
          <w:color w:val="auto"/>
        </w:rPr>
      </w:pPr>
      <w:r>
        <w:rPr>
          <w:rFonts w:ascii="Arial" w:cs="Arial" w:eastAsia="Arial" w:hAnsi="Arial"/>
          <w:sz w:val="18"/>
          <w:szCs w:val="18"/>
          <w:color w:val="auto"/>
        </w:rPr>
        <w:t>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p>
    <w:p>
      <w:pPr>
        <w:spacing w:after="0" w:line="1" w:lineRule="exact"/>
        <w:rPr>
          <w:sz w:val="20"/>
          <w:szCs w:val="20"/>
          <w:color w:val="auto"/>
        </w:rPr>
      </w:pPr>
    </w:p>
    <w:p>
      <w:pPr>
        <w:ind w:left="1620" w:right="459"/>
        <w:spacing w:after="0" w:line="258" w:lineRule="auto"/>
        <w:rPr>
          <w:sz w:val="20"/>
          <w:szCs w:val="20"/>
          <w:color w:val="auto"/>
        </w:rPr>
      </w:pPr>
      <w:r>
        <w:rPr>
          <w:rFonts w:ascii="Arial" w:cs="Arial" w:eastAsia="Arial" w:hAnsi="Arial"/>
          <w:sz w:val="17"/>
          <w:szCs w:val="17"/>
          <w:color w:val="auto"/>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to an amount which is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p>
    <w:p>
      <w:pPr>
        <w:spacing w:after="0" w:line="22" w:lineRule="exact"/>
        <w:rPr>
          <w:sz w:val="20"/>
          <w:szCs w:val="20"/>
          <w:color w:val="auto"/>
        </w:rPr>
      </w:pPr>
    </w:p>
    <w:p>
      <w:pPr>
        <w:ind w:left="1620" w:right="559" w:hanging="360"/>
        <w:spacing w:after="0" w:line="237" w:lineRule="auto"/>
        <w:tabs>
          <w:tab w:leader="none" w:pos="16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2023, and also assumes a highest annual base salary of $600,000 and highest annual bonus of $2,105,000.</w:t>
      </w:r>
    </w:p>
    <w:p>
      <w:pPr>
        <w:spacing w:after="0" w:line="19" w:lineRule="exact"/>
        <w:rPr>
          <w:rFonts w:ascii="Arial" w:cs="Arial" w:eastAsia="Arial" w:hAnsi="Arial"/>
          <w:sz w:val="27"/>
          <w:szCs w:val="27"/>
          <w:color w:val="auto"/>
          <w:vertAlign w:val="superscript"/>
        </w:rPr>
      </w:pPr>
    </w:p>
    <w:p>
      <w:pPr>
        <w:ind w:left="1620" w:right="459"/>
        <w:spacing w:after="0" w:line="255" w:lineRule="auto"/>
        <w:rPr>
          <w:rFonts w:ascii="Arial" w:cs="Arial" w:eastAsia="Arial" w:hAnsi="Arial"/>
          <w:sz w:val="27"/>
          <w:szCs w:val="27"/>
          <w:color w:val="auto"/>
          <w:vertAlign w:val="superscript"/>
        </w:rPr>
      </w:pPr>
      <w:r>
        <w:rPr>
          <w:rFonts w:ascii="Arial" w:cs="Arial" w:eastAsia="Arial" w:hAnsi="Arial"/>
          <w:sz w:val="17"/>
          <w:szCs w:val="17"/>
          <w:color w:val="auto"/>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w:t>
      </w:r>
    </w:p>
    <w:p>
      <w:pPr>
        <w:spacing w:after="0" w:line="9" w:lineRule="exact"/>
        <w:rPr>
          <w:rFonts w:ascii="Arial" w:cs="Arial" w:eastAsia="Arial" w:hAnsi="Arial"/>
          <w:sz w:val="27"/>
          <w:szCs w:val="27"/>
          <w:color w:val="auto"/>
          <w:vertAlign w:val="superscript"/>
        </w:rPr>
      </w:pPr>
    </w:p>
    <w:p>
      <w:pPr>
        <w:jc w:val="center"/>
        <w:ind w:left="1620" w:right="599"/>
        <w:spacing w:after="0" w:line="254" w:lineRule="auto"/>
        <w:tabs>
          <w:tab w:leader="none" w:pos="1907" w:val="left"/>
        </w:tabs>
        <w:numPr>
          <w:ilvl w:val="1"/>
          <w:numId w:val="70"/>
        </w:numPr>
        <w:rPr>
          <w:rFonts w:ascii="Arial" w:cs="Arial" w:eastAsia="Arial" w:hAnsi="Arial"/>
          <w:sz w:val="17"/>
          <w:szCs w:val="17"/>
          <w:color w:val="auto"/>
        </w:rPr>
      </w:pPr>
      <w:r>
        <w:rPr>
          <w:rFonts w:ascii="Arial" w:cs="Arial" w:eastAsia="Arial" w:hAnsi="Arial"/>
          <w:sz w:val="17"/>
          <w:szCs w:val="17"/>
          <w:color w:val="auto"/>
        </w:rPr>
        <w:t>PAGP ceases to beneficially own, directly or indirectly, more than 50% of the membership interest in GP LLC; (iv) the “Owner Affiliates”, as defined in the 2013 waiver agreement, cease to beneficially own, directly or indirectly, more than 50% of the membership interest in PAGP GP; or</w:t>
      </w:r>
    </w:p>
    <w:p>
      <w:pPr>
        <w:ind w:left="1620" w:right="559"/>
        <w:spacing w:after="0" w:line="243" w:lineRule="auto"/>
        <w:tabs>
          <w:tab w:leader="none" w:pos="187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p>
    <w:p>
      <w:pPr>
        <w:spacing w:after="0" w:line="34" w:lineRule="exact"/>
        <w:rPr>
          <w:rFonts w:ascii="Arial" w:cs="Arial" w:eastAsia="Arial" w:hAnsi="Arial"/>
          <w:sz w:val="18"/>
          <w:szCs w:val="18"/>
          <w:color w:val="auto"/>
        </w:rPr>
      </w:pPr>
    </w:p>
    <w:p>
      <w:pPr>
        <w:ind w:left="1620" w:right="419" w:hanging="360"/>
        <w:spacing w:after="0" w:line="233" w:lineRule="auto"/>
        <w:tabs>
          <w:tab w:leader="none" w:pos="162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Pursuant to his employment agreement, if Mr. Pefanis is terminated other than (i) for cause (as defined in footnote 4 above), (ii) by reason of death or (iii) by resignation (unless such resignation is due to a disability or for good reason (each as defined in footnote 4 above)), then he is entitled to</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right="539"/>
        <w:spacing w:after="0" w:line="259" w:lineRule="auto"/>
        <w:rPr>
          <w:sz w:val="20"/>
          <w:szCs w:val="20"/>
          <w:color w:val="auto"/>
        </w:rPr>
      </w:pPr>
      <w:r>
        <w:rPr>
          <w:rFonts w:ascii="Arial" w:cs="Arial" w:eastAsia="Arial" w:hAnsi="Arial"/>
          <w:sz w:val="18"/>
          <w:szCs w:val="18"/>
          <w:color w:val="auto"/>
        </w:rPr>
        <w:t>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2023 with two years remaining on the term of his agreement.</w:t>
      </w:r>
    </w:p>
    <w:p>
      <w:pPr>
        <w:spacing w:after="0" w:line="44" w:lineRule="exact"/>
        <w:rPr>
          <w:sz w:val="20"/>
          <w:szCs w:val="20"/>
          <w:color w:val="auto"/>
        </w:rPr>
      </w:pPr>
    </w:p>
    <w:p>
      <w:pPr>
        <w:jc w:val="both"/>
        <w:ind w:left="1620" w:right="519" w:hanging="360"/>
        <w:spacing w:after="0" w:line="222" w:lineRule="auto"/>
        <w:tabs>
          <w:tab w:leader="none" w:pos="16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If Messrs. Chiang, Pefanis, Swanson, McGee, Chandler or Goebel were terminated for cause, GP LLC would be obligated to pay base salary through the date of termination, with no other payment obligation triggered by the termination under any employment arrangement.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Confidentiality, Non-Compete and Non-Solicitation Arrangements</w:t>
      </w:r>
    </w:p>
    <w:p>
      <w:pPr>
        <w:spacing w:after="0" w:line="144"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Ratio Disclosure</w:t>
      </w:r>
    </w:p>
    <w:p>
      <w:pPr>
        <w:spacing w:after="0" w:line="15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2023:</w:t>
      </w:r>
    </w:p>
    <w:p>
      <w:pPr>
        <w:spacing w:after="0" w:line="68" w:lineRule="exact"/>
        <w:rPr>
          <w:sz w:val="20"/>
          <w:szCs w:val="20"/>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for Mr. Chiang for 2023 was $7,453,919.</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annual total compensation for the median employee for 2023 was $125,389.</w:t>
      </w:r>
    </w:p>
    <w:p>
      <w:pPr>
        <w:spacing w:after="0" w:line="117" w:lineRule="exact"/>
        <w:rPr>
          <w:rFonts w:ascii="Arial" w:cs="Arial" w:eastAsia="Arial" w:hAnsi="Arial"/>
          <w:sz w:val="18"/>
          <w:szCs w:val="18"/>
          <w:color w:val="auto"/>
        </w:rPr>
      </w:pPr>
    </w:p>
    <w:p>
      <w:pPr>
        <w:ind w:left="1800" w:right="759" w:hanging="180"/>
        <w:spacing w:after="0" w:line="287" w:lineRule="auto"/>
        <w:tabs>
          <w:tab w:leader="none" w:pos="1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ratio of Mr. Chiang’s pay to the pay of our median employee for 2023 was approximately 59.45 to 1.</w:t>
      </w:r>
    </w:p>
    <w:p>
      <w:pPr>
        <w:spacing w:after="0" w:line="8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PAA’s median employee was identified as of December 31, 2023 using the following methodology:</w:t>
      </w:r>
    </w:p>
    <w:p>
      <w:pPr>
        <w:spacing w:after="0" w:line="129" w:lineRule="exact"/>
        <w:rPr>
          <w:sz w:val="20"/>
          <w:szCs w:val="20"/>
          <w:color w:val="auto"/>
        </w:rPr>
      </w:pPr>
    </w:p>
    <w:p>
      <w:pPr>
        <w:ind w:left="1800" w:right="1079" w:hanging="180"/>
        <w:spacing w:after="0" w:line="287"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list was prepared of all individuals, excluding the CEO, who were employed by PAA on December 31, 2023. We included all U.S. and Canadian employees.</w:t>
      </w:r>
    </w:p>
    <w:p>
      <w:pPr>
        <w:spacing w:after="0" w:line="44"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Basic wage data for each U.S. employee was extracted from Form W-2 information provided to the Internal Revenue Service for calendar year 2023. Basic wage data for each Canadian employee was extracted from Form T4 information provided to the Canada Revenue Agency for calendar year 2023 and converted to U.S. dollars. This information was then sorted and the median employee was identified.</w:t>
      </w:r>
    </w:p>
    <w:p>
      <w:pPr>
        <w:spacing w:after="0" w:line="9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8"/>
          <w:szCs w:val="18"/>
          <w:color w:val="auto"/>
        </w:rPr>
        <w:t>The median employee’s annual total compensation for 2023 was determined using the same methodology we used for determining the annual total compensation for the Named Executive Officers as set forth in the 2023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Versus Performance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required by Item 402(v) of Regulation S-K, we are providing the following information about the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relationship between executive compensation actually paid (“CAP”) and PAA’s financial performance for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periods presented. The CAP dollar amounts shown in the table below have been calculated in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accordance with SEC rules; however, meaningful amounts included as CAP (e.g., approximately one-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third of CAP for our PEO in 2023) do not represent compensation actually paid or earned during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applicable years. This is due to the fact that CAP includes the value of outstanding equity awards that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could potentially vest in future years (“potentially realizable future value”) in addition to base salary,</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bonus, the value of equity awards that vested during the year and DERs (“realized value”). With respect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principal executive officer (“PEO”) for 2023, ~71% of the ~$16.4 million of CAP (or ~$11.7 million)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represents the “realized value” of amounts actually paid to or earned by our PEO and ~29% (or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~$4.7 million) represents “future potentially realizable value” of outstanding equity awards. With respect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other NEOs (“Non-PEO NEOs”) for 2023, ~71% of the ~$6.5 million of average CAP (or</w:t>
      </w:r>
    </w:p>
    <w:p>
      <w:pPr>
        <w:spacing w:after="0" w:line="9" w:lineRule="exact"/>
        <w:rPr>
          <w:sz w:val="20"/>
          <w:szCs w:val="20"/>
          <w:color w:val="auto"/>
        </w:rPr>
      </w:pPr>
    </w:p>
    <w:p>
      <w:pPr>
        <w:ind w:left="1260" w:right="540"/>
        <w:spacing w:after="0" w:line="258" w:lineRule="auto"/>
        <w:rPr>
          <w:sz w:val="20"/>
          <w:szCs w:val="20"/>
          <w:color w:val="auto"/>
        </w:rPr>
      </w:pPr>
      <w:r>
        <w:rPr>
          <w:rFonts w:ascii="Arial" w:cs="Arial" w:eastAsia="Arial" w:hAnsi="Arial"/>
          <w:sz w:val="18"/>
          <w:szCs w:val="18"/>
          <w:color w:val="auto"/>
        </w:rPr>
        <w:t>~$4.6 million) represents the “realized value” of amounts actually paid to or earned by our Non-PEO NEOs and ~29% (or ~$1.9 million) represents “future potentially realizable value” of outstanding equity awards.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Tabular Disclosure of Compensation Actually Paid versus Performance</w:t>
      </w:r>
    </w:p>
    <w:p>
      <w:pPr>
        <w:spacing w:after="0" w:line="156" w:lineRule="exact"/>
        <w:rPr>
          <w:sz w:val="20"/>
          <w:szCs w:val="20"/>
          <w:color w:val="auto"/>
        </w:rPr>
      </w:pPr>
    </w:p>
    <w:p>
      <w:pPr>
        <w:ind w:left="1260" w:right="700" w:firstLine="360"/>
        <w:spacing w:after="0" w:line="259" w:lineRule="auto"/>
        <w:rPr>
          <w:sz w:val="20"/>
          <w:szCs w:val="20"/>
          <w:color w:val="auto"/>
        </w:rPr>
      </w:pPr>
      <w:r>
        <w:rPr>
          <w:rFonts w:ascii="Arial" w:cs="Arial" w:eastAsia="Arial" w:hAnsi="Arial"/>
          <w:sz w:val="18"/>
          <w:szCs w:val="18"/>
          <w:color w:val="auto"/>
        </w:rPr>
        <w:t>The following table discloses information on CAP to our PEO and, on average, to our Non-PEO NEOs during the specified years alongside TSR, net income, and the Company-selected measure of Adjusted EBITDA Attributable to PAA. Adjusted EBITDA Attributable to PAA was identified by the Company as the most important financial performance measure used to link CAP to Company performance.</w:t>
      </w:r>
    </w:p>
    <w:p>
      <w:pPr>
        <w:spacing w:after="0" w:line="198" w:lineRule="exact"/>
        <w:rPr>
          <w:sz w:val="20"/>
          <w:szCs w:val="20"/>
          <w:color w:val="auto"/>
        </w:rPr>
      </w:pPr>
    </w:p>
    <w:tbl>
      <w:tblPr>
        <w:tblLayout w:type="fixed"/>
        <w:tblInd w:w="830" w:type="dxa"/>
        <w:tblCellMar>
          <w:top w:w="0" w:type="dxa"/>
          <w:left w:w="0" w:type="dxa"/>
          <w:bottom w:w="0" w:type="dxa"/>
          <w:right w:w="0" w:type="dxa"/>
        </w:tblCellMar>
      </w:tblPr>
      <w:tr>
        <w:trPr>
          <w:trHeight w:val="171"/>
        </w:trPr>
        <w:tc>
          <w:tcPr>
            <w:tcW w:w="820" w:type="dxa"/>
            <w:vAlign w:val="bottom"/>
            <w:tcBorders>
              <w:left w:val="single" w:sz="8" w:color="424E6A"/>
              <w:right w:val="single" w:sz="8" w:color="424E6A"/>
            </w:tcBorders>
            <w:shd w:val="clear" w:color="auto" w:fill="424E6A"/>
          </w:tcPr>
          <w:p>
            <w:pPr>
              <w:spacing w:after="0"/>
              <w:rPr>
                <w:sz w:val="14"/>
                <w:szCs w:val="14"/>
                <w:color w:val="auto"/>
              </w:rPr>
            </w:pPr>
          </w:p>
        </w:tc>
        <w:tc>
          <w:tcPr>
            <w:tcW w:w="98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000" w:type="dxa"/>
            <w:vAlign w:val="bottom"/>
            <w:vMerge w:val="restart"/>
            <w:shd w:val="clear" w:color="auto" w:fill="424E6A"/>
          </w:tcPr>
          <w:p>
            <w:pPr>
              <w:jc w:val="center"/>
              <w:ind w:left="35"/>
              <w:spacing w:after="0"/>
              <w:rPr>
                <w:sz w:val="20"/>
                <w:szCs w:val="20"/>
                <w:color w:val="auto"/>
              </w:rPr>
            </w:pPr>
            <w:r>
              <w:rPr>
                <w:rFonts w:ascii="Arial" w:cs="Arial" w:eastAsia="Arial" w:hAnsi="Arial"/>
                <w:sz w:val="13"/>
                <w:szCs w:val="13"/>
                <w:b w:val="1"/>
                <w:bCs w:val="1"/>
                <w:color w:val="FFFFFF"/>
                <w:w w:val="97"/>
              </w:rPr>
              <w:t>Average</w:t>
            </w:r>
          </w:p>
        </w:tc>
        <w:tc>
          <w:tcPr>
            <w:tcW w:w="160" w:type="dxa"/>
            <w:vAlign w:val="bottom"/>
            <w:tcBorders>
              <w:right w:val="single" w:sz="8" w:color="424E6A"/>
            </w:tcBorders>
            <w:shd w:val="clear" w:color="auto" w:fill="424E6A"/>
          </w:tcPr>
          <w:p>
            <w:pPr>
              <w:spacing w:after="0"/>
              <w:rPr>
                <w:sz w:val="14"/>
                <w:szCs w:val="14"/>
                <w:color w:val="auto"/>
              </w:rPr>
            </w:pPr>
          </w:p>
        </w:tc>
        <w:tc>
          <w:tcPr>
            <w:tcW w:w="980" w:type="dxa"/>
            <w:vAlign w:val="bottom"/>
            <w:shd w:val="clear" w:color="auto" w:fill="424E6A"/>
          </w:tcPr>
          <w:p>
            <w:pPr>
              <w:spacing w:after="0"/>
              <w:rPr>
                <w:sz w:val="14"/>
                <w:szCs w:val="14"/>
                <w:color w:val="auto"/>
              </w:rPr>
            </w:pPr>
          </w:p>
        </w:tc>
        <w:tc>
          <w:tcPr>
            <w:tcW w:w="1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540" w:type="dxa"/>
            <w:vAlign w:val="bottom"/>
            <w:tcBorders>
              <w:right w:val="single" w:sz="8" w:color="424E6A"/>
            </w:tcBorders>
            <w:gridSpan w:val="5"/>
            <w:shd w:val="clear" w:color="auto" w:fill="424E6A"/>
          </w:tcPr>
          <w:p>
            <w:pPr>
              <w:jc w:val="center"/>
              <w:ind w:right="114"/>
              <w:spacing w:after="0"/>
              <w:rPr>
                <w:sz w:val="20"/>
                <w:szCs w:val="20"/>
                <w:color w:val="auto"/>
              </w:rPr>
            </w:pPr>
            <w:r>
              <w:rPr>
                <w:rFonts w:ascii="Arial" w:cs="Arial" w:eastAsia="Arial" w:hAnsi="Arial"/>
                <w:sz w:val="13"/>
                <w:szCs w:val="13"/>
                <w:b w:val="1"/>
                <w:bCs w:val="1"/>
                <w:color w:val="FFFFFF"/>
                <w:w w:val="95"/>
              </w:rPr>
              <w:t>Value of Initial Fixed</w:t>
            </w:r>
          </w:p>
        </w:tc>
        <w:tc>
          <w:tcPr>
            <w:tcW w:w="100" w:type="dxa"/>
            <w:vAlign w:val="bottom"/>
            <w:shd w:val="clear" w:color="auto" w:fill="424E6A"/>
          </w:tcPr>
          <w:p>
            <w:pPr>
              <w:spacing w:after="0"/>
              <w:rPr>
                <w:sz w:val="14"/>
                <w:szCs w:val="14"/>
                <w:color w:val="auto"/>
              </w:rPr>
            </w:pPr>
          </w:p>
        </w:tc>
        <w:tc>
          <w:tcPr>
            <w:tcW w:w="980" w:type="dxa"/>
            <w:vAlign w:val="bottom"/>
            <w:tcBorders>
              <w:right w:val="single" w:sz="8" w:color="424E6A"/>
            </w:tcBorders>
            <w:shd w:val="clear" w:color="auto" w:fill="424E6A"/>
          </w:tcPr>
          <w:p>
            <w:pPr>
              <w:spacing w:after="0"/>
              <w:rPr>
                <w:sz w:val="14"/>
                <w:szCs w:val="14"/>
                <w:color w:val="auto"/>
              </w:rPr>
            </w:pPr>
          </w:p>
        </w:tc>
        <w:tc>
          <w:tcPr>
            <w:tcW w:w="96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424E6A"/>
              <w:right w:val="single" w:sz="8" w:color="424E6A"/>
            </w:tcBorders>
            <w:shd w:val="clear" w:color="auto" w:fill="424E6A"/>
          </w:tcPr>
          <w:p>
            <w:pPr>
              <w:spacing w:after="0"/>
              <w:rPr>
                <w:sz w:val="7"/>
                <w:szCs w:val="7"/>
                <w:color w:val="auto"/>
              </w:rPr>
            </w:pPr>
          </w:p>
        </w:tc>
        <w:tc>
          <w:tcPr>
            <w:tcW w:w="980" w:type="dxa"/>
            <w:vAlign w:val="bottom"/>
            <w:shd w:val="clear" w:color="auto" w:fill="424E6A"/>
          </w:tcPr>
          <w:p>
            <w:pPr>
              <w:spacing w:after="0"/>
              <w:rPr>
                <w:sz w:val="7"/>
                <w:szCs w:val="7"/>
                <w:color w:val="auto"/>
              </w:rPr>
            </w:pPr>
          </w:p>
        </w:tc>
        <w:tc>
          <w:tcPr>
            <w:tcW w:w="160" w:type="dxa"/>
            <w:vAlign w:val="bottom"/>
            <w:tcBorders>
              <w:right w:val="single" w:sz="8" w:color="424E6A"/>
            </w:tcBorders>
            <w:shd w:val="clear" w:color="auto" w:fill="424E6A"/>
          </w:tcPr>
          <w:p>
            <w:pPr>
              <w:spacing w:after="0"/>
              <w:rPr>
                <w:sz w:val="7"/>
                <w:szCs w:val="7"/>
                <w:color w:val="auto"/>
              </w:rPr>
            </w:pPr>
          </w:p>
        </w:tc>
        <w:tc>
          <w:tcPr>
            <w:tcW w:w="260" w:type="dxa"/>
            <w:vAlign w:val="bottom"/>
            <w:shd w:val="clear" w:color="auto" w:fill="424E6A"/>
          </w:tcPr>
          <w:p>
            <w:pPr>
              <w:spacing w:after="0"/>
              <w:rPr>
                <w:sz w:val="7"/>
                <w:szCs w:val="7"/>
                <w:color w:val="auto"/>
              </w:rPr>
            </w:pPr>
          </w:p>
        </w:tc>
        <w:tc>
          <w:tcPr>
            <w:tcW w:w="720" w:type="dxa"/>
            <w:vAlign w:val="bottom"/>
            <w:shd w:val="clear" w:color="auto" w:fill="424E6A"/>
          </w:tcPr>
          <w:p>
            <w:pPr>
              <w:spacing w:after="0"/>
              <w:rPr>
                <w:sz w:val="7"/>
                <w:szCs w:val="7"/>
                <w:color w:val="auto"/>
              </w:rPr>
            </w:pPr>
          </w:p>
        </w:tc>
        <w:tc>
          <w:tcPr>
            <w:tcW w:w="160" w:type="dxa"/>
            <w:vAlign w:val="bottom"/>
            <w:tcBorders>
              <w:right w:val="single" w:sz="8" w:color="424E6A"/>
            </w:tcBorders>
            <w:shd w:val="clear" w:color="auto" w:fill="424E6A"/>
          </w:tcPr>
          <w:p>
            <w:pPr>
              <w:spacing w:after="0"/>
              <w:rPr>
                <w:sz w:val="7"/>
                <w:szCs w:val="7"/>
                <w:color w:val="auto"/>
              </w:rPr>
            </w:pPr>
          </w:p>
        </w:tc>
        <w:tc>
          <w:tcPr>
            <w:tcW w:w="1000" w:type="dxa"/>
            <w:vAlign w:val="bottom"/>
            <w:vMerge w:val="continue"/>
            <w:shd w:val="clear" w:color="auto" w:fill="424E6A"/>
          </w:tcPr>
          <w:p>
            <w:pPr>
              <w:spacing w:after="0"/>
              <w:rPr>
                <w:sz w:val="7"/>
                <w:szCs w:val="7"/>
                <w:color w:val="auto"/>
              </w:rPr>
            </w:pPr>
          </w:p>
        </w:tc>
        <w:tc>
          <w:tcPr>
            <w:tcW w:w="160" w:type="dxa"/>
            <w:vAlign w:val="bottom"/>
            <w:tcBorders>
              <w:right w:val="single" w:sz="8" w:color="424E6A"/>
            </w:tcBorders>
            <w:shd w:val="clear" w:color="auto" w:fill="424E6A"/>
          </w:tcPr>
          <w:p>
            <w:pPr>
              <w:spacing w:after="0"/>
              <w:rPr>
                <w:sz w:val="7"/>
                <w:szCs w:val="7"/>
                <w:color w:val="auto"/>
              </w:rPr>
            </w:pPr>
          </w:p>
        </w:tc>
        <w:tc>
          <w:tcPr>
            <w:tcW w:w="980" w:type="dxa"/>
            <w:vAlign w:val="bottom"/>
            <w:shd w:val="clear" w:color="auto" w:fill="424E6A"/>
          </w:tcPr>
          <w:p>
            <w:pPr>
              <w:spacing w:after="0"/>
              <w:rPr>
                <w:sz w:val="7"/>
                <w:szCs w:val="7"/>
                <w:color w:val="auto"/>
              </w:rPr>
            </w:pPr>
          </w:p>
        </w:tc>
        <w:tc>
          <w:tcPr>
            <w:tcW w:w="160" w:type="dxa"/>
            <w:vAlign w:val="bottom"/>
            <w:tcBorders>
              <w:right w:val="single" w:sz="8" w:color="424E6A"/>
            </w:tcBorders>
            <w:shd w:val="clear" w:color="auto" w:fill="424E6A"/>
          </w:tcPr>
          <w:p>
            <w:pPr>
              <w:spacing w:after="0"/>
              <w:rPr>
                <w:sz w:val="7"/>
                <w:szCs w:val="7"/>
                <w:color w:val="auto"/>
              </w:rPr>
            </w:pPr>
          </w:p>
        </w:tc>
        <w:tc>
          <w:tcPr>
            <w:tcW w:w="100" w:type="dxa"/>
            <w:vAlign w:val="bottom"/>
            <w:shd w:val="clear" w:color="auto" w:fill="424E6A"/>
          </w:tcPr>
          <w:p>
            <w:pPr>
              <w:spacing w:after="0"/>
              <w:rPr>
                <w:sz w:val="7"/>
                <w:szCs w:val="7"/>
                <w:color w:val="auto"/>
              </w:rPr>
            </w:pPr>
          </w:p>
        </w:tc>
        <w:tc>
          <w:tcPr>
            <w:tcW w:w="120" w:type="dxa"/>
            <w:vAlign w:val="bottom"/>
            <w:shd w:val="clear" w:color="auto" w:fill="424E6A"/>
          </w:tcPr>
          <w:p>
            <w:pPr>
              <w:spacing w:after="0"/>
              <w:rPr>
                <w:sz w:val="7"/>
                <w:szCs w:val="7"/>
                <w:color w:val="auto"/>
              </w:rPr>
            </w:pPr>
          </w:p>
        </w:tc>
        <w:tc>
          <w:tcPr>
            <w:tcW w:w="1420" w:type="dxa"/>
            <w:vAlign w:val="bottom"/>
            <w:tcBorders>
              <w:right w:val="single" w:sz="8" w:color="424E6A"/>
            </w:tcBorders>
            <w:gridSpan w:val="4"/>
            <w:vMerge w:val="restart"/>
            <w:shd w:val="clear" w:color="auto" w:fill="424E6A"/>
          </w:tcPr>
          <w:p>
            <w:pPr>
              <w:jc w:val="center"/>
              <w:ind w:right="214"/>
              <w:spacing w:after="0"/>
              <w:rPr>
                <w:sz w:val="20"/>
                <w:szCs w:val="20"/>
                <w:color w:val="auto"/>
              </w:rPr>
            </w:pPr>
            <w:r>
              <w:rPr>
                <w:rFonts w:ascii="Arial" w:cs="Arial" w:eastAsia="Arial" w:hAnsi="Arial"/>
                <w:sz w:val="13"/>
                <w:szCs w:val="13"/>
                <w:b w:val="1"/>
                <w:bCs w:val="1"/>
                <w:color w:val="FFFFFF"/>
                <w:w w:val="96"/>
              </w:rPr>
              <w:t>$100 Investment</w:t>
            </w:r>
          </w:p>
        </w:tc>
        <w:tc>
          <w:tcPr>
            <w:tcW w:w="100" w:type="dxa"/>
            <w:vAlign w:val="bottom"/>
            <w:shd w:val="clear" w:color="auto" w:fill="424E6A"/>
          </w:tcPr>
          <w:p>
            <w:pPr>
              <w:spacing w:after="0"/>
              <w:rPr>
                <w:sz w:val="7"/>
                <w:szCs w:val="7"/>
                <w:color w:val="auto"/>
              </w:rPr>
            </w:pPr>
          </w:p>
        </w:tc>
        <w:tc>
          <w:tcPr>
            <w:tcW w:w="980" w:type="dxa"/>
            <w:vAlign w:val="bottom"/>
            <w:tcBorders>
              <w:right w:val="single" w:sz="8" w:color="424E6A"/>
            </w:tcBorders>
            <w:shd w:val="clear" w:color="auto" w:fill="424E6A"/>
          </w:tcPr>
          <w:p>
            <w:pPr>
              <w:spacing w:after="0"/>
              <w:rPr>
                <w:sz w:val="7"/>
                <w:szCs w:val="7"/>
                <w:color w:val="auto"/>
              </w:rPr>
            </w:pPr>
          </w:p>
        </w:tc>
        <w:tc>
          <w:tcPr>
            <w:tcW w:w="960" w:type="dxa"/>
            <w:vAlign w:val="bottom"/>
            <w:tcBorders>
              <w:right w:val="single" w:sz="8" w:color="424E6A"/>
            </w:tcBorders>
            <w:shd w:val="clear" w:color="auto" w:fill="424E6A"/>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424E6A"/>
              <w:right w:val="single" w:sz="8" w:color="424E6A"/>
            </w:tcBorders>
            <w:shd w:val="clear" w:color="auto" w:fill="424E6A"/>
          </w:tcPr>
          <w:p>
            <w:pPr>
              <w:spacing w:after="0"/>
              <w:rPr>
                <w:sz w:val="5"/>
                <w:szCs w:val="5"/>
                <w:color w:val="auto"/>
              </w:rPr>
            </w:pPr>
          </w:p>
        </w:tc>
        <w:tc>
          <w:tcPr>
            <w:tcW w:w="980" w:type="dxa"/>
            <w:vAlign w:val="bottom"/>
            <w:shd w:val="clear" w:color="auto" w:fill="424E6A"/>
          </w:tcPr>
          <w:p>
            <w:pPr>
              <w:spacing w:after="0"/>
              <w:rPr>
                <w:sz w:val="5"/>
                <w:szCs w:val="5"/>
                <w:color w:val="auto"/>
              </w:rPr>
            </w:pPr>
          </w:p>
        </w:tc>
        <w:tc>
          <w:tcPr>
            <w:tcW w:w="160" w:type="dxa"/>
            <w:vAlign w:val="bottom"/>
            <w:tcBorders>
              <w:right w:val="single" w:sz="8" w:color="424E6A"/>
            </w:tcBorders>
            <w:shd w:val="clear" w:color="auto" w:fill="424E6A"/>
          </w:tcPr>
          <w:p>
            <w:pPr>
              <w:spacing w:after="0"/>
              <w:rPr>
                <w:sz w:val="5"/>
                <w:szCs w:val="5"/>
                <w:color w:val="auto"/>
              </w:rPr>
            </w:pPr>
          </w:p>
        </w:tc>
        <w:tc>
          <w:tcPr>
            <w:tcW w:w="260" w:type="dxa"/>
            <w:vAlign w:val="bottom"/>
            <w:shd w:val="clear" w:color="auto" w:fill="424E6A"/>
          </w:tcPr>
          <w:p>
            <w:pPr>
              <w:spacing w:after="0"/>
              <w:rPr>
                <w:sz w:val="5"/>
                <w:szCs w:val="5"/>
                <w:color w:val="auto"/>
              </w:rPr>
            </w:pPr>
          </w:p>
        </w:tc>
        <w:tc>
          <w:tcPr>
            <w:tcW w:w="720" w:type="dxa"/>
            <w:vAlign w:val="bottom"/>
            <w:shd w:val="clear" w:color="auto" w:fill="424E6A"/>
          </w:tcPr>
          <w:p>
            <w:pPr>
              <w:spacing w:after="0"/>
              <w:rPr>
                <w:sz w:val="5"/>
                <w:szCs w:val="5"/>
                <w:color w:val="auto"/>
              </w:rPr>
            </w:pPr>
          </w:p>
        </w:tc>
        <w:tc>
          <w:tcPr>
            <w:tcW w:w="160" w:type="dxa"/>
            <w:vAlign w:val="bottom"/>
            <w:tcBorders>
              <w:right w:val="single" w:sz="8" w:color="424E6A"/>
            </w:tcBorders>
            <w:shd w:val="clear" w:color="auto" w:fill="424E6A"/>
          </w:tcPr>
          <w:p>
            <w:pPr>
              <w:spacing w:after="0"/>
              <w:rPr>
                <w:sz w:val="5"/>
                <w:szCs w:val="5"/>
                <w:color w:val="auto"/>
              </w:rPr>
            </w:pPr>
          </w:p>
        </w:tc>
        <w:tc>
          <w:tcPr>
            <w:tcW w:w="1000" w:type="dxa"/>
            <w:vAlign w:val="bottom"/>
            <w:vMerge w:val="restart"/>
            <w:shd w:val="clear" w:color="auto" w:fill="424E6A"/>
          </w:tcPr>
          <w:p>
            <w:pPr>
              <w:jc w:val="center"/>
              <w:ind w:left="35"/>
              <w:spacing w:after="0" w:line="135" w:lineRule="exact"/>
              <w:rPr>
                <w:sz w:val="20"/>
                <w:szCs w:val="20"/>
                <w:color w:val="auto"/>
              </w:rPr>
            </w:pPr>
            <w:r>
              <w:rPr>
                <w:rFonts w:ascii="Arial" w:cs="Arial" w:eastAsia="Arial" w:hAnsi="Arial"/>
                <w:sz w:val="13"/>
                <w:szCs w:val="13"/>
                <w:b w:val="1"/>
                <w:bCs w:val="1"/>
                <w:color w:val="FFFFFF"/>
                <w:w w:val="97"/>
              </w:rPr>
              <w:t>Summary</w:t>
            </w:r>
          </w:p>
        </w:tc>
        <w:tc>
          <w:tcPr>
            <w:tcW w:w="160" w:type="dxa"/>
            <w:vAlign w:val="bottom"/>
            <w:tcBorders>
              <w:right w:val="single" w:sz="8" w:color="424E6A"/>
            </w:tcBorders>
            <w:shd w:val="clear" w:color="auto" w:fill="424E6A"/>
          </w:tcPr>
          <w:p>
            <w:pPr>
              <w:spacing w:after="0"/>
              <w:rPr>
                <w:sz w:val="5"/>
                <w:szCs w:val="5"/>
                <w:color w:val="auto"/>
              </w:rPr>
            </w:pPr>
          </w:p>
        </w:tc>
        <w:tc>
          <w:tcPr>
            <w:tcW w:w="980" w:type="dxa"/>
            <w:vAlign w:val="bottom"/>
            <w:vMerge w:val="restart"/>
            <w:shd w:val="clear" w:color="auto" w:fill="424E6A"/>
          </w:tcPr>
          <w:p>
            <w:pPr>
              <w:jc w:val="center"/>
              <w:ind w:left="35"/>
              <w:spacing w:after="0" w:line="135" w:lineRule="exact"/>
              <w:rPr>
                <w:sz w:val="20"/>
                <w:szCs w:val="20"/>
                <w:color w:val="auto"/>
              </w:rPr>
            </w:pPr>
            <w:r>
              <w:rPr>
                <w:rFonts w:ascii="Arial" w:cs="Arial" w:eastAsia="Arial" w:hAnsi="Arial"/>
                <w:sz w:val="13"/>
                <w:szCs w:val="13"/>
                <w:b w:val="1"/>
                <w:bCs w:val="1"/>
                <w:color w:val="FFFFFF"/>
                <w:w w:val="93"/>
              </w:rPr>
              <w:t>Average</w:t>
            </w:r>
          </w:p>
        </w:tc>
        <w:tc>
          <w:tcPr>
            <w:tcW w:w="160" w:type="dxa"/>
            <w:vAlign w:val="bottom"/>
            <w:tcBorders>
              <w:right w:val="single" w:sz="8" w:color="424E6A"/>
            </w:tcBorders>
            <w:shd w:val="clear" w:color="auto" w:fill="424E6A"/>
          </w:tcPr>
          <w:p>
            <w:pPr>
              <w:spacing w:after="0"/>
              <w:rPr>
                <w:sz w:val="5"/>
                <w:szCs w:val="5"/>
                <w:color w:val="auto"/>
              </w:rPr>
            </w:pPr>
          </w:p>
        </w:tc>
        <w:tc>
          <w:tcPr>
            <w:tcW w:w="100" w:type="dxa"/>
            <w:vAlign w:val="bottom"/>
            <w:shd w:val="clear" w:color="auto" w:fill="424E6A"/>
          </w:tcPr>
          <w:p>
            <w:pPr>
              <w:spacing w:after="0"/>
              <w:rPr>
                <w:sz w:val="5"/>
                <w:szCs w:val="5"/>
                <w:color w:val="auto"/>
              </w:rPr>
            </w:pPr>
          </w:p>
        </w:tc>
        <w:tc>
          <w:tcPr>
            <w:tcW w:w="120" w:type="dxa"/>
            <w:vAlign w:val="bottom"/>
            <w:shd w:val="clear" w:color="auto" w:fill="424E6A"/>
          </w:tcPr>
          <w:p>
            <w:pPr>
              <w:spacing w:after="0"/>
              <w:rPr>
                <w:sz w:val="5"/>
                <w:szCs w:val="5"/>
                <w:color w:val="auto"/>
              </w:rPr>
            </w:pPr>
          </w:p>
        </w:tc>
        <w:tc>
          <w:tcPr>
            <w:tcW w:w="1420" w:type="dxa"/>
            <w:vAlign w:val="bottom"/>
            <w:tcBorders>
              <w:right w:val="single" w:sz="8" w:color="424E6A"/>
            </w:tcBorders>
            <w:gridSpan w:val="4"/>
            <w:vMerge w:val="continue"/>
            <w:shd w:val="clear" w:color="auto" w:fill="424E6A"/>
          </w:tcPr>
          <w:p>
            <w:pPr>
              <w:spacing w:after="0"/>
              <w:rPr>
                <w:sz w:val="5"/>
                <w:szCs w:val="5"/>
                <w:color w:val="auto"/>
              </w:rPr>
            </w:pPr>
          </w:p>
        </w:tc>
        <w:tc>
          <w:tcPr>
            <w:tcW w:w="100" w:type="dxa"/>
            <w:vAlign w:val="bottom"/>
            <w:shd w:val="clear" w:color="auto" w:fill="424E6A"/>
          </w:tcPr>
          <w:p>
            <w:pPr>
              <w:spacing w:after="0"/>
              <w:rPr>
                <w:sz w:val="5"/>
                <w:szCs w:val="5"/>
                <w:color w:val="auto"/>
              </w:rPr>
            </w:pPr>
          </w:p>
        </w:tc>
        <w:tc>
          <w:tcPr>
            <w:tcW w:w="980" w:type="dxa"/>
            <w:vAlign w:val="bottom"/>
            <w:tcBorders>
              <w:right w:val="single" w:sz="8" w:color="424E6A"/>
            </w:tcBorders>
            <w:shd w:val="clear" w:color="auto" w:fill="424E6A"/>
          </w:tcPr>
          <w:p>
            <w:pPr>
              <w:spacing w:after="0"/>
              <w:rPr>
                <w:sz w:val="5"/>
                <w:szCs w:val="5"/>
                <w:color w:val="auto"/>
              </w:rPr>
            </w:pPr>
          </w:p>
        </w:tc>
        <w:tc>
          <w:tcPr>
            <w:tcW w:w="960" w:type="dxa"/>
            <w:vAlign w:val="bottom"/>
            <w:tcBorders>
              <w:right w:val="single" w:sz="8" w:color="424E6A"/>
            </w:tcBorders>
            <w:shd w:val="clear" w:color="auto" w:fill="424E6A"/>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424E6A"/>
              <w:right w:val="single" w:sz="8" w:color="424E6A"/>
            </w:tcBorders>
            <w:shd w:val="clear" w:color="auto" w:fill="424E6A"/>
          </w:tcPr>
          <w:p>
            <w:pPr>
              <w:spacing w:after="0"/>
              <w:rPr>
                <w:sz w:val="5"/>
                <w:szCs w:val="5"/>
                <w:color w:val="auto"/>
              </w:rPr>
            </w:pPr>
          </w:p>
        </w:tc>
        <w:tc>
          <w:tcPr>
            <w:tcW w:w="980" w:type="dxa"/>
            <w:vAlign w:val="bottom"/>
            <w:shd w:val="clear" w:color="auto" w:fill="424E6A"/>
          </w:tcPr>
          <w:p>
            <w:pPr>
              <w:spacing w:after="0"/>
              <w:rPr>
                <w:sz w:val="5"/>
                <w:szCs w:val="5"/>
                <w:color w:val="auto"/>
              </w:rPr>
            </w:pPr>
          </w:p>
        </w:tc>
        <w:tc>
          <w:tcPr>
            <w:tcW w:w="160" w:type="dxa"/>
            <w:vAlign w:val="bottom"/>
            <w:tcBorders>
              <w:right w:val="single" w:sz="8" w:color="424E6A"/>
            </w:tcBorders>
            <w:shd w:val="clear" w:color="auto" w:fill="424E6A"/>
          </w:tcPr>
          <w:p>
            <w:pPr>
              <w:spacing w:after="0"/>
              <w:rPr>
                <w:sz w:val="5"/>
                <w:szCs w:val="5"/>
                <w:color w:val="auto"/>
              </w:rPr>
            </w:pPr>
          </w:p>
        </w:tc>
        <w:tc>
          <w:tcPr>
            <w:tcW w:w="260" w:type="dxa"/>
            <w:vAlign w:val="bottom"/>
            <w:shd w:val="clear" w:color="auto" w:fill="424E6A"/>
          </w:tcPr>
          <w:p>
            <w:pPr>
              <w:spacing w:after="0"/>
              <w:rPr>
                <w:sz w:val="5"/>
                <w:szCs w:val="5"/>
                <w:color w:val="auto"/>
              </w:rPr>
            </w:pPr>
          </w:p>
        </w:tc>
        <w:tc>
          <w:tcPr>
            <w:tcW w:w="720" w:type="dxa"/>
            <w:vAlign w:val="bottom"/>
            <w:shd w:val="clear" w:color="auto" w:fill="424E6A"/>
          </w:tcPr>
          <w:p>
            <w:pPr>
              <w:spacing w:after="0"/>
              <w:rPr>
                <w:sz w:val="5"/>
                <w:szCs w:val="5"/>
                <w:color w:val="auto"/>
              </w:rPr>
            </w:pPr>
          </w:p>
        </w:tc>
        <w:tc>
          <w:tcPr>
            <w:tcW w:w="160" w:type="dxa"/>
            <w:vAlign w:val="bottom"/>
            <w:tcBorders>
              <w:right w:val="single" w:sz="8" w:color="424E6A"/>
            </w:tcBorders>
            <w:shd w:val="clear" w:color="auto" w:fill="424E6A"/>
          </w:tcPr>
          <w:p>
            <w:pPr>
              <w:spacing w:after="0"/>
              <w:rPr>
                <w:sz w:val="5"/>
                <w:szCs w:val="5"/>
                <w:color w:val="auto"/>
              </w:rPr>
            </w:pPr>
          </w:p>
        </w:tc>
        <w:tc>
          <w:tcPr>
            <w:tcW w:w="1000" w:type="dxa"/>
            <w:vAlign w:val="bottom"/>
            <w:vMerge w:val="continue"/>
            <w:shd w:val="clear" w:color="auto" w:fill="424E6A"/>
          </w:tcPr>
          <w:p>
            <w:pPr>
              <w:spacing w:after="0"/>
              <w:rPr>
                <w:sz w:val="5"/>
                <w:szCs w:val="5"/>
                <w:color w:val="auto"/>
              </w:rPr>
            </w:pPr>
          </w:p>
        </w:tc>
        <w:tc>
          <w:tcPr>
            <w:tcW w:w="160" w:type="dxa"/>
            <w:vAlign w:val="bottom"/>
            <w:tcBorders>
              <w:right w:val="single" w:sz="8" w:color="424E6A"/>
            </w:tcBorders>
            <w:shd w:val="clear" w:color="auto" w:fill="424E6A"/>
          </w:tcPr>
          <w:p>
            <w:pPr>
              <w:spacing w:after="0"/>
              <w:rPr>
                <w:sz w:val="5"/>
                <w:szCs w:val="5"/>
                <w:color w:val="auto"/>
              </w:rPr>
            </w:pPr>
          </w:p>
        </w:tc>
        <w:tc>
          <w:tcPr>
            <w:tcW w:w="980" w:type="dxa"/>
            <w:vAlign w:val="bottom"/>
            <w:vMerge w:val="continue"/>
            <w:shd w:val="clear" w:color="auto" w:fill="424E6A"/>
          </w:tcPr>
          <w:p>
            <w:pPr>
              <w:spacing w:after="0"/>
              <w:rPr>
                <w:sz w:val="5"/>
                <w:szCs w:val="5"/>
                <w:color w:val="auto"/>
              </w:rPr>
            </w:pPr>
          </w:p>
        </w:tc>
        <w:tc>
          <w:tcPr>
            <w:tcW w:w="160" w:type="dxa"/>
            <w:vAlign w:val="bottom"/>
            <w:tcBorders>
              <w:right w:val="single" w:sz="8" w:color="424E6A"/>
            </w:tcBorders>
            <w:shd w:val="clear" w:color="auto" w:fill="424E6A"/>
          </w:tcPr>
          <w:p>
            <w:pPr>
              <w:spacing w:after="0"/>
              <w:rPr>
                <w:sz w:val="5"/>
                <w:szCs w:val="5"/>
                <w:color w:val="auto"/>
              </w:rPr>
            </w:pPr>
          </w:p>
        </w:tc>
        <w:tc>
          <w:tcPr>
            <w:tcW w:w="100" w:type="dxa"/>
            <w:vAlign w:val="bottom"/>
            <w:shd w:val="clear" w:color="auto" w:fill="424E6A"/>
          </w:tcPr>
          <w:p>
            <w:pPr>
              <w:spacing w:after="0"/>
              <w:rPr>
                <w:sz w:val="5"/>
                <w:szCs w:val="5"/>
                <w:color w:val="auto"/>
              </w:rPr>
            </w:pPr>
          </w:p>
        </w:tc>
        <w:tc>
          <w:tcPr>
            <w:tcW w:w="120" w:type="dxa"/>
            <w:vAlign w:val="bottom"/>
            <w:shd w:val="clear" w:color="auto" w:fill="424E6A"/>
          </w:tcPr>
          <w:p>
            <w:pPr>
              <w:spacing w:after="0"/>
              <w:rPr>
                <w:sz w:val="5"/>
                <w:szCs w:val="5"/>
                <w:color w:val="auto"/>
              </w:rPr>
            </w:pPr>
          </w:p>
        </w:tc>
        <w:tc>
          <w:tcPr>
            <w:tcW w:w="1420" w:type="dxa"/>
            <w:vAlign w:val="bottom"/>
            <w:tcBorders>
              <w:right w:val="single" w:sz="8" w:color="424E6A"/>
            </w:tcBorders>
            <w:gridSpan w:val="4"/>
            <w:vMerge w:val="restart"/>
            <w:shd w:val="clear" w:color="auto" w:fill="424E6A"/>
          </w:tcPr>
          <w:p>
            <w:pPr>
              <w:jc w:val="center"/>
              <w:ind w:right="174"/>
              <w:spacing w:after="0"/>
              <w:rPr>
                <w:sz w:val="20"/>
                <w:szCs w:val="20"/>
                <w:color w:val="auto"/>
              </w:rPr>
            </w:pPr>
            <w:r>
              <w:rPr>
                <w:rFonts w:ascii="Arial" w:cs="Arial" w:eastAsia="Arial" w:hAnsi="Arial"/>
                <w:sz w:val="13"/>
                <w:szCs w:val="13"/>
                <w:b w:val="1"/>
                <w:bCs w:val="1"/>
                <w:color w:val="FFFFFF"/>
                <w:w w:val="95"/>
              </w:rPr>
              <w:t>Based On:</w:t>
            </w:r>
          </w:p>
        </w:tc>
        <w:tc>
          <w:tcPr>
            <w:tcW w:w="100" w:type="dxa"/>
            <w:vAlign w:val="bottom"/>
            <w:shd w:val="clear" w:color="auto" w:fill="424E6A"/>
          </w:tcPr>
          <w:p>
            <w:pPr>
              <w:spacing w:after="0"/>
              <w:rPr>
                <w:sz w:val="5"/>
                <w:szCs w:val="5"/>
                <w:color w:val="auto"/>
              </w:rPr>
            </w:pPr>
          </w:p>
        </w:tc>
        <w:tc>
          <w:tcPr>
            <w:tcW w:w="980" w:type="dxa"/>
            <w:vAlign w:val="bottom"/>
            <w:tcBorders>
              <w:right w:val="single" w:sz="8" w:color="424E6A"/>
            </w:tcBorders>
            <w:shd w:val="clear" w:color="auto" w:fill="424E6A"/>
          </w:tcPr>
          <w:p>
            <w:pPr>
              <w:spacing w:after="0"/>
              <w:rPr>
                <w:sz w:val="5"/>
                <w:szCs w:val="5"/>
                <w:color w:val="auto"/>
              </w:rPr>
            </w:pPr>
          </w:p>
        </w:tc>
        <w:tc>
          <w:tcPr>
            <w:tcW w:w="960" w:type="dxa"/>
            <w:vAlign w:val="bottom"/>
            <w:tcBorders>
              <w:right w:val="single" w:sz="8" w:color="424E6A"/>
            </w:tcBorders>
            <w:shd w:val="clear" w:color="auto" w:fill="424E6A"/>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820" w:type="dxa"/>
            <w:vAlign w:val="bottom"/>
            <w:tcBorders>
              <w:left w:val="single" w:sz="8" w:color="424E6A"/>
              <w:bottom w:val="single" w:sz="8" w:color="424E6A"/>
              <w:right w:val="single" w:sz="8" w:color="424E6A"/>
            </w:tcBorders>
            <w:shd w:val="clear" w:color="auto" w:fill="424E6A"/>
          </w:tcPr>
          <w:p>
            <w:pPr>
              <w:spacing w:after="0"/>
              <w:rPr>
                <w:sz w:val="10"/>
                <w:szCs w:val="10"/>
                <w:color w:val="auto"/>
              </w:rPr>
            </w:pPr>
          </w:p>
        </w:tc>
        <w:tc>
          <w:tcPr>
            <w:tcW w:w="980" w:type="dxa"/>
            <w:vAlign w:val="bottom"/>
            <w:tcBorders>
              <w:bottom w:val="single" w:sz="8" w:color="424E6A"/>
            </w:tcBorders>
            <w:shd w:val="clear" w:color="auto" w:fill="424E6A"/>
          </w:tcPr>
          <w:p>
            <w:pPr>
              <w:jc w:val="center"/>
              <w:ind w:left="15"/>
              <w:spacing w:after="0" w:line="119" w:lineRule="exact"/>
              <w:rPr>
                <w:sz w:val="20"/>
                <w:szCs w:val="20"/>
                <w:color w:val="auto"/>
              </w:rPr>
            </w:pPr>
            <w:r>
              <w:rPr>
                <w:rFonts w:ascii="Arial" w:cs="Arial" w:eastAsia="Arial" w:hAnsi="Arial"/>
                <w:sz w:val="13"/>
                <w:szCs w:val="13"/>
                <w:b w:val="1"/>
                <w:bCs w:val="1"/>
                <w:color w:val="FFFFFF"/>
                <w:w w:val="97"/>
              </w:rPr>
              <w:t>Summary</w:t>
            </w:r>
          </w:p>
        </w:tc>
        <w:tc>
          <w:tcPr>
            <w:tcW w:w="160" w:type="dxa"/>
            <w:vAlign w:val="bottom"/>
            <w:tcBorders>
              <w:bottom w:val="single" w:sz="8" w:color="424E6A"/>
              <w:right w:val="single" w:sz="8" w:color="424E6A"/>
            </w:tcBorders>
            <w:shd w:val="clear" w:color="auto" w:fill="424E6A"/>
          </w:tcPr>
          <w:p>
            <w:pPr>
              <w:spacing w:after="0"/>
              <w:rPr>
                <w:sz w:val="10"/>
                <w:szCs w:val="10"/>
                <w:color w:val="auto"/>
              </w:rPr>
            </w:pPr>
          </w:p>
        </w:tc>
        <w:tc>
          <w:tcPr>
            <w:tcW w:w="260" w:type="dxa"/>
            <w:vAlign w:val="bottom"/>
            <w:tcBorders>
              <w:bottom w:val="single" w:sz="8" w:color="424E6A"/>
            </w:tcBorders>
            <w:shd w:val="clear" w:color="auto" w:fill="424E6A"/>
          </w:tcPr>
          <w:p>
            <w:pPr>
              <w:spacing w:after="0"/>
              <w:rPr>
                <w:sz w:val="10"/>
                <w:szCs w:val="10"/>
                <w:color w:val="auto"/>
              </w:rPr>
            </w:pPr>
          </w:p>
        </w:tc>
        <w:tc>
          <w:tcPr>
            <w:tcW w:w="720" w:type="dxa"/>
            <w:vAlign w:val="bottom"/>
            <w:tcBorders>
              <w:bottom w:val="single" w:sz="8" w:color="424E6A"/>
            </w:tcBorders>
            <w:shd w:val="clear" w:color="auto" w:fill="424E6A"/>
          </w:tcPr>
          <w:p>
            <w:pPr>
              <w:spacing w:after="0"/>
              <w:rPr>
                <w:sz w:val="10"/>
                <w:szCs w:val="10"/>
                <w:color w:val="auto"/>
              </w:rPr>
            </w:pPr>
          </w:p>
        </w:tc>
        <w:tc>
          <w:tcPr>
            <w:tcW w:w="160" w:type="dxa"/>
            <w:vAlign w:val="bottom"/>
            <w:tcBorders>
              <w:bottom w:val="single" w:sz="8" w:color="424E6A"/>
              <w:right w:val="single" w:sz="8" w:color="424E6A"/>
            </w:tcBorders>
            <w:shd w:val="clear" w:color="auto" w:fill="424E6A"/>
          </w:tcPr>
          <w:p>
            <w:pPr>
              <w:spacing w:after="0"/>
              <w:rPr>
                <w:sz w:val="10"/>
                <w:szCs w:val="10"/>
                <w:color w:val="auto"/>
              </w:rPr>
            </w:pPr>
          </w:p>
        </w:tc>
        <w:tc>
          <w:tcPr>
            <w:tcW w:w="1000" w:type="dxa"/>
            <w:vAlign w:val="bottom"/>
            <w:tcBorders>
              <w:bottom w:val="single" w:sz="8" w:color="424E6A"/>
            </w:tcBorders>
            <w:shd w:val="clear" w:color="auto" w:fill="424E6A"/>
          </w:tcPr>
          <w:p>
            <w:pPr>
              <w:jc w:val="center"/>
              <w:ind w:left="35"/>
              <w:spacing w:after="0" w:line="119" w:lineRule="exact"/>
              <w:rPr>
                <w:sz w:val="20"/>
                <w:szCs w:val="20"/>
                <w:color w:val="auto"/>
              </w:rPr>
            </w:pPr>
            <w:r>
              <w:rPr>
                <w:rFonts w:ascii="Arial" w:cs="Arial" w:eastAsia="Arial" w:hAnsi="Arial"/>
                <w:sz w:val="13"/>
                <w:szCs w:val="13"/>
                <w:b w:val="1"/>
                <w:bCs w:val="1"/>
                <w:color w:val="FFFFFF"/>
                <w:w w:val="95"/>
              </w:rPr>
              <w:t>Compensation</w:t>
            </w:r>
          </w:p>
        </w:tc>
        <w:tc>
          <w:tcPr>
            <w:tcW w:w="160" w:type="dxa"/>
            <w:vAlign w:val="bottom"/>
            <w:tcBorders>
              <w:bottom w:val="single" w:sz="8" w:color="424E6A"/>
              <w:right w:val="single" w:sz="8" w:color="424E6A"/>
            </w:tcBorders>
            <w:shd w:val="clear" w:color="auto" w:fill="424E6A"/>
          </w:tcPr>
          <w:p>
            <w:pPr>
              <w:spacing w:after="0"/>
              <w:rPr>
                <w:sz w:val="10"/>
                <w:szCs w:val="10"/>
                <w:color w:val="auto"/>
              </w:rPr>
            </w:pPr>
          </w:p>
        </w:tc>
        <w:tc>
          <w:tcPr>
            <w:tcW w:w="980" w:type="dxa"/>
            <w:vAlign w:val="bottom"/>
            <w:tcBorders>
              <w:bottom w:val="single" w:sz="8" w:color="424E6A"/>
            </w:tcBorders>
            <w:shd w:val="clear" w:color="auto" w:fill="424E6A"/>
          </w:tcPr>
          <w:p>
            <w:pPr>
              <w:jc w:val="center"/>
              <w:ind w:left="35"/>
              <w:spacing w:after="0" w:line="119" w:lineRule="exact"/>
              <w:rPr>
                <w:sz w:val="20"/>
                <w:szCs w:val="20"/>
                <w:color w:val="auto"/>
              </w:rPr>
            </w:pPr>
            <w:r>
              <w:rPr>
                <w:rFonts w:ascii="Arial" w:cs="Arial" w:eastAsia="Arial" w:hAnsi="Arial"/>
                <w:sz w:val="13"/>
                <w:szCs w:val="13"/>
                <w:b w:val="1"/>
                <w:bCs w:val="1"/>
                <w:color w:val="FFFFFF"/>
                <w:w w:val="97"/>
              </w:rPr>
              <w:t>Compensation</w:t>
            </w:r>
          </w:p>
        </w:tc>
        <w:tc>
          <w:tcPr>
            <w:tcW w:w="160" w:type="dxa"/>
            <w:vAlign w:val="bottom"/>
            <w:tcBorders>
              <w:bottom w:val="single" w:sz="8" w:color="424E6A"/>
              <w:right w:val="single" w:sz="8" w:color="424E6A"/>
            </w:tcBorders>
            <w:shd w:val="clear" w:color="auto" w:fill="424E6A"/>
          </w:tcPr>
          <w:p>
            <w:pPr>
              <w:spacing w:after="0"/>
              <w:rPr>
                <w:sz w:val="10"/>
                <w:szCs w:val="10"/>
                <w:color w:val="auto"/>
              </w:rPr>
            </w:pPr>
          </w:p>
        </w:tc>
        <w:tc>
          <w:tcPr>
            <w:tcW w:w="100" w:type="dxa"/>
            <w:vAlign w:val="bottom"/>
            <w:tcBorders>
              <w:bottom w:val="single" w:sz="8" w:color="424E6A"/>
            </w:tcBorders>
            <w:shd w:val="clear" w:color="auto" w:fill="424E6A"/>
          </w:tcPr>
          <w:p>
            <w:pPr>
              <w:spacing w:after="0"/>
              <w:rPr>
                <w:sz w:val="10"/>
                <w:szCs w:val="10"/>
                <w:color w:val="auto"/>
              </w:rPr>
            </w:pPr>
          </w:p>
        </w:tc>
        <w:tc>
          <w:tcPr>
            <w:tcW w:w="120" w:type="dxa"/>
            <w:vAlign w:val="bottom"/>
            <w:tcBorders>
              <w:bottom w:val="single" w:sz="8" w:color="424E6A"/>
            </w:tcBorders>
            <w:shd w:val="clear" w:color="auto" w:fill="424E6A"/>
          </w:tcPr>
          <w:p>
            <w:pPr>
              <w:spacing w:after="0"/>
              <w:rPr>
                <w:sz w:val="10"/>
                <w:szCs w:val="10"/>
                <w:color w:val="auto"/>
              </w:rPr>
            </w:pPr>
          </w:p>
        </w:tc>
        <w:tc>
          <w:tcPr>
            <w:tcW w:w="1420" w:type="dxa"/>
            <w:vAlign w:val="bottom"/>
            <w:tcBorders>
              <w:bottom w:val="single" w:sz="8" w:color="424E6A"/>
              <w:right w:val="single" w:sz="8" w:color="424E6A"/>
            </w:tcBorders>
            <w:gridSpan w:val="4"/>
            <w:vMerge w:val="continue"/>
            <w:shd w:val="clear" w:color="auto" w:fill="424E6A"/>
          </w:tcPr>
          <w:p>
            <w:pPr>
              <w:spacing w:after="0"/>
              <w:rPr>
                <w:sz w:val="10"/>
                <w:szCs w:val="10"/>
                <w:color w:val="auto"/>
              </w:rPr>
            </w:pPr>
          </w:p>
        </w:tc>
        <w:tc>
          <w:tcPr>
            <w:tcW w:w="100" w:type="dxa"/>
            <w:vAlign w:val="bottom"/>
            <w:tcBorders>
              <w:bottom w:val="single" w:sz="8" w:color="424E6A"/>
            </w:tcBorders>
            <w:shd w:val="clear" w:color="auto" w:fill="424E6A"/>
          </w:tcPr>
          <w:p>
            <w:pPr>
              <w:spacing w:after="0"/>
              <w:rPr>
                <w:sz w:val="10"/>
                <w:szCs w:val="10"/>
                <w:color w:val="auto"/>
              </w:rPr>
            </w:pPr>
          </w:p>
        </w:tc>
        <w:tc>
          <w:tcPr>
            <w:tcW w:w="980" w:type="dxa"/>
            <w:vAlign w:val="bottom"/>
            <w:tcBorders>
              <w:bottom w:val="single" w:sz="8" w:color="424E6A"/>
              <w:right w:val="single" w:sz="8" w:color="424E6A"/>
            </w:tcBorders>
            <w:shd w:val="clear" w:color="auto" w:fill="424E6A"/>
          </w:tcPr>
          <w:p>
            <w:pPr>
              <w:spacing w:after="0"/>
              <w:rPr>
                <w:sz w:val="10"/>
                <w:szCs w:val="10"/>
                <w:color w:val="auto"/>
              </w:rPr>
            </w:pPr>
          </w:p>
        </w:tc>
        <w:tc>
          <w:tcPr>
            <w:tcW w:w="960" w:type="dxa"/>
            <w:vAlign w:val="bottom"/>
            <w:tcBorders>
              <w:bottom w:val="single" w:sz="8" w:color="424E6A"/>
              <w:right w:val="single" w:sz="8" w:color="424E6A"/>
            </w:tcBorders>
            <w:shd w:val="clear" w:color="auto" w:fill="424E6A"/>
          </w:tcPr>
          <w:p>
            <w:pPr>
              <w:jc w:val="center"/>
              <w:spacing w:after="0" w:line="119" w:lineRule="exact"/>
              <w:rPr>
                <w:sz w:val="20"/>
                <w:szCs w:val="20"/>
                <w:color w:val="auto"/>
              </w:rPr>
            </w:pPr>
            <w:r>
              <w:rPr>
                <w:rFonts w:ascii="Arial" w:cs="Arial" w:eastAsia="Arial" w:hAnsi="Arial"/>
                <w:sz w:val="13"/>
                <w:szCs w:val="13"/>
                <w:b w:val="1"/>
                <w:bCs w:val="1"/>
                <w:color w:val="FFFFFF"/>
                <w:w w:val="97"/>
              </w:rPr>
              <w:t>Adjusted</w:t>
            </w:r>
          </w:p>
        </w:tc>
        <w:tc>
          <w:tcPr>
            <w:tcW w:w="0" w:type="dxa"/>
            <w:vAlign w:val="bottom"/>
          </w:tcPr>
          <w:p>
            <w:pPr>
              <w:spacing w:after="0"/>
              <w:rPr>
                <w:sz w:val="1"/>
                <w:szCs w:val="1"/>
                <w:color w:val="auto"/>
              </w:rPr>
            </w:pPr>
          </w:p>
        </w:tc>
      </w:tr>
      <w:tr>
        <w:trPr>
          <w:trHeight w:val="142"/>
        </w:trPr>
        <w:tc>
          <w:tcPr>
            <w:tcW w:w="820" w:type="dxa"/>
            <w:vAlign w:val="bottom"/>
            <w:tcBorders>
              <w:top w:val="single" w:sz="8" w:color="424E6A"/>
              <w:left w:val="single" w:sz="8" w:color="424E6A"/>
              <w:right w:val="single" w:sz="8" w:color="424E6A"/>
            </w:tcBorders>
            <w:shd w:val="clear" w:color="auto" w:fill="424E6A"/>
          </w:tcPr>
          <w:p>
            <w:pPr>
              <w:spacing w:after="0"/>
              <w:rPr>
                <w:sz w:val="12"/>
                <w:szCs w:val="12"/>
                <w:color w:val="auto"/>
              </w:rPr>
            </w:pPr>
          </w:p>
        </w:tc>
        <w:tc>
          <w:tcPr>
            <w:tcW w:w="980" w:type="dxa"/>
            <w:vAlign w:val="bottom"/>
            <w:tcBorders>
              <w:top w:val="single" w:sz="8" w:color="424E6A"/>
            </w:tcBorders>
            <w:shd w:val="clear" w:color="auto" w:fill="424E6A"/>
          </w:tcPr>
          <w:p>
            <w:pPr>
              <w:jc w:val="center"/>
              <w:ind w:left="35"/>
              <w:spacing w:after="0" w:line="142" w:lineRule="exact"/>
              <w:rPr>
                <w:sz w:val="20"/>
                <w:szCs w:val="20"/>
                <w:color w:val="auto"/>
              </w:rPr>
            </w:pPr>
            <w:r>
              <w:rPr>
                <w:rFonts w:ascii="Arial" w:cs="Arial" w:eastAsia="Arial" w:hAnsi="Arial"/>
                <w:sz w:val="13"/>
                <w:szCs w:val="13"/>
                <w:b w:val="1"/>
                <w:bCs w:val="1"/>
                <w:color w:val="FFFFFF"/>
                <w:w w:val="97"/>
              </w:rPr>
              <w:t>Compensation</w:t>
            </w:r>
          </w:p>
        </w:tc>
        <w:tc>
          <w:tcPr>
            <w:tcW w:w="160" w:type="dxa"/>
            <w:vAlign w:val="bottom"/>
            <w:tcBorders>
              <w:top w:val="single" w:sz="8" w:color="424E6A"/>
              <w:right w:val="single" w:sz="8" w:color="424E6A"/>
            </w:tcBorders>
            <w:shd w:val="clear" w:color="auto" w:fill="424E6A"/>
          </w:tcPr>
          <w:p>
            <w:pPr>
              <w:spacing w:after="0"/>
              <w:rPr>
                <w:sz w:val="12"/>
                <w:szCs w:val="12"/>
                <w:color w:val="auto"/>
              </w:rPr>
            </w:pPr>
          </w:p>
        </w:tc>
        <w:tc>
          <w:tcPr>
            <w:tcW w:w="1140" w:type="dxa"/>
            <w:vAlign w:val="bottom"/>
            <w:tcBorders>
              <w:top w:val="single" w:sz="8" w:color="424E6A"/>
              <w:right w:val="single" w:sz="8" w:color="424E6A"/>
            </w:tcBorders>
            <w:gridSpan w:val="3"/>
            <w:shd w:val="clear" w:color="auto" w:fill="424E6A"/>
          </w:tcPr>
          <w:p>
            <w:pPr>
              <w:jc w:val="right"/>
              <w:ind w:right="88"/>
              <w:spacing w:after="0" w:line="142" w:lineRule="exact"/>
              <w:rPr>
                <w:sz w:val="20"/>
                <w:szCs w:val="20"/>
                <w:color w:val="auto"/>
              </w:rPr>
            </w:pPr>
            <w:r>
              <w:rPr>
                <w:rFonts w:ascii="Arial" w:cs="Arial" w:eastAsia="Arial" w:hAnsi="Arial"/>
                <w:sz w:val="13"/>
                <w:szCs w:val="13"/>
                <w:b w:val="1"/>
                <w:bCs w:val="1"/>
                <w:color w:val="FFFFFF"/>
              </w:rPr>
              <w:t>Compensation</w:t>
            </w:r>
          </w:p>
        </w:tc>
        <w:tc>
          <w:tcPr>
            <w:tcW w:w="1000" w:type="dxa"/>
            <w:vAlign w:val="bottom"/>
            <w:tcBorders>
              <w:top w:val="single" w:sz="8" w:color="424E6A"/>
            </w:tcBorders>
            <w:shd w:val="clear" w:color="auto" w:fill="424E6A"/>
          </w:tcPr>
          <w:p>
            <w:pPr>
              <w:jc w:val="center"/>
              <w:ind w:left="35"/>
              <w:spacing w:after="0" w:line="142" w:lineRule="exact"/>
              <w:rPr>
                <w:sz w:val="20"/>
                <w:szCs w:val="20"/>
                <w:color w:val="auto"/>
              </w:rPr>
            </w:pPr>
            <w:r>
              <w:rPr>
                <w:rFonts w:ascii="Arial" w:cs="Arial" w:eastAsia="Arial" w:hAnsi="Arial"/>
                <w:sz w:val="13"/>
                <w:szCs w:val="13"/>
                <w:b w:val="1"/>
                <w:bCs w:val="1"/>
                <w:color w:val="FFFFFF"/>
                <w:w w:val="95"/>
              </w:rPr>
              <w:t>Table Total for</w:t>
            </w:r>
          </w:p>
        </w:tc>
        <w:tc>
          <w:tcPr>
            <w:tcW w:w="160" w:type="dxa"/>
            <w:vAlign w:val="bottom"/>
            <w:tcBorders>
              <w:top w:val="single" w:sz="8" w:color="424E6A"/>
              <w:right w:val="single" w:sz="8" w:color="424E6A"/>
            </w:tcBorders>
            <w:shd w:val="clear" w:color="auto" w:fill="424E6A"/>
          </w:tcPr>
          <w:p>
            <w:pPr>
              <w:spacing w:after="0"/>
              <w:rPr>
                <w:sz w:val="12"/>
                <w:szCs w:val="12"/>
                <w:color w:val="auto"/>
              </w:rPr>
            </w:pPr>
          </w:p>
        </w:tc>
        <w:tc>
          <w:tcPr>
            <w:tcW w:w="980" w:type="dxa"/>
            <w:vAlign w:val="bottom"/>
            <w:tcBorders>
              <w:top w:val="single" w:sz="8" w:color="424E6A"/>
            </w:tcBorders>
            <w:shd w:val="clear" w:color="auto" w:fill="424E6A"/>
          </w:tcPr>
          <w:p>
            <w:pPr>
              <w:jc w:val="center"/>
              <w:ind w:left="35"/>
              <w:spacing w:after="0" w:line="142" w:lineRule="exact"/>
              <w:rPr>
                <w:sz w:val="20"/>
                <w:szCs w:val="20"/>
                <w:color w:val="auto"/>
              </w:rPr>
            </w:pPr>
            <w:r>
              <w:rPr>
                <w:rFonts w:ascii="Arial" w:cs="Arial" w:eastAsia="Arial" w:hAnsi="Arial"/>
                <w:sz w:val="13"/>
                <w:szCs w:val="13"/>
                <w:b w:val="1"/>
                <w:bCs w:val="1"/>
                <w:color w:val="FFFFFF"/>
                <w:w w:val="94"/>
              </w:rPr>
              <w:t>Actually</w:t>
            </w:r>
          </w:p>
        </w:tc>
        <w:tc>
          <w:tcPr>
            <w:tcW w:w="160" w:type="dxa"/>
            <w:vAlign w:val="bottom"/>
            <w:tcBorders>
              <w:top w:val="single" w:sz="8" w:color="424E6A"/>
              <w:right w:val="single" w:sz="8" w:color="424E6A"/>
            </w:tcBorders>
            <w:shd w:val="clear" w:color="auto" w:fill="424E6A"/>
          </w:tcPr>
          <w:p>
            <w:pPr>
              <w:spacing w:after="0"/>
              <w:rPr>
                <w:sz w:val="12"/>
                <w:szCs w:val="12"/>
                <w:color w:val="auto"/>
              </w:rPr>
            </w:pPr>
          </w:p>
        </w:tc>
        <w:tc>
          <w:tcPr>
            <w:tcW w:w="100" w:type="dxa"/>
            <w:vAlign w:val="bottom"/>
            <w:tcBorders>
              <w:top w:val="single" w:sz="8" w:color="auto"/>
            </w:tcBorders>
            <w:shd w:val="clear" w:color="auto" w:fill="424E6A"/>
          </w:tcPr>
          <w:p>
            <w:pPr>
              <w:spacing w:after="0"/>
              <w:rPr>
                <w:sz w:val="12"/>
                <w:szCs w:val="12"/>
                <w:color w:val="auto"/>
              </w:rPr>
            </w:pPr>
          </w:p>
        </w:tc>
        <w:tc>
          <w:tcPr>
            <w:tcW w:w="600" w:type="dxa"/>
            <w:vAlign w:val="bottom"/>
            <w:tcBorders>
              <w:top w:val="single" w:sz="8" w:color="auto"/>
            </w:tcBorders>
            <w:gridSpan w:val="2"/>
            <w:vMerge w:val="restart"/>
            <w:shd w:val="clear" w:color="auto" w:fill="424E6A"/>
          </w:tcPr>
          <w:p>
            <w:pPr>
              <w:jc w:val="center"/>
              <w:spacing w:after="0"/>
              <w:rPr>
                <w:sz w:val="20"/>
                <w:szCs w:val="20"/>
                <w:color w:val="auto"/>
              </w:rPr>
            </w:pPr>
            <w:r>
              <w:rPr>
                <w:rFonts w:ascii="Arial" w:cs="Arial" w:eastAsia="Arial" w:hAnsi="Arial"/>
                <w:sz w:val="13"/>
                <w:szCs w:val="13"/>
                <w:b w:val="1"/>
                <w:bCs w:val="1"/>
                <w:color w:val="FFFFFF"/>
                <w:w w:val="97"/>
              </w:rPr>
              <w:t>Company</w:t>
            </w:r>
          </w:p>
        </w:tc>
        <w:tc>
          <w:tcPr>
            <w:tcW w:w="160" w:type="dxa"/>
            <w:vAlign w:val="bottom"/>
            <w:tcBorders>
              <w:top w:val="single" w:sz="8" w:color="auto"/>
              <w:right w:val="single" w:sz="8" w:color="424E6A"/>
            </w:tcBorders>
            <w:shd w:val="clear" w:color="auto" w:fill="424E6A"/>
          </w:tcPr>
          <w:p>
            <w:pPr>
              <w:spacing w:after="0"/>
              <w:rPr>
                <w:sz w:val="12"/>
                <w:szCs w:val="12"/>
                <w:color w:val="auto"/>
              </w:rPr>
            </w:pPr>
          </w:p>
        </w:tc>
        <w:tc>
          <w:tcPr>
            <w:tcW w:w="200" w:type="dxa"/>
            <w:vAlign w:val="bottom"/>
            <w:tcBorders>
              <w:top w:val="single" w:sz="8" w:color="auto"/>
            </w:tcBorders>
            <w:shd w:val="clear" w:color="auto" w:fill="424E6A"/>
          </w:tcPr>
          <w:p>
            <w:pPr>
              <w:spacing w:after="0"/>
              <w:rPr>
                <w:sz w:val="12"/>
                <w:szCs w:val="12"/>
                <w:color w:val="auto"/>
              </w:rPr>
            </w:pPr>
          </w:p>
        </w:tc>
        <w:tc>
          <w:tcPr>
            <w:tcW w:w="580" w:type="dxa"/>
            <w:vAlign w:val="bottom"/>
            <w:tcBorders>
              <w:top w:val="single" w:sz="8" w:color="auto"/>
              <w:right w:val="single" w:sz="8" w:color="424E6A"/>
            </w:tcBorders>
            <w:shd w:val="clear" w:color="auto" w:fill="424E6A"/>
          </w:tcPr>
          <w:p>
            <w:pPr>
              <w:jc w:val="center"/>
              <w:ind w:right="194"/>
              <w:spacing w:after="0" w:line="142" w:lineRule="exact"/>
              <w:rPr>
                <w:sz w:val="20"/>
                <w:szCs w:val="20"/>
                <w:color w:val="auto"/>
              </w:rPr>
            </w:pPr>
            <w:r>
              <w:rPr>
                <w:rFonts w:ascii="Arial" w:cs="Arial" w:eastAsia="Arial" w:hAnsi="Arial"/>
                <w:sz w:val="13"/>
                <w:szCs w:val="13"/>
                <w:b w:val="1"/>
                <w:bCs w:val="1"/>
                <w:color w:val="FFFFFF"/>
                <w:w w:val="99"/>
              </w:rPr>
              <w:t>Peer</w:t>
            </w:r>
          </w:p>
        </w:tc>
        <w:tc>
          <w:tcPr>
            <w:tcW w:w="100" w:type="dxa"/>
            <w:vAlign w:val="bottom"/>
            <w:tcBorders>
              <w:top w:val="single" w:sz="8" w:color="424E6A"/>
            </w:tcBorders>
            <w:shd w:val="clear" w:color="auto" w:fill="424E6A"/>
          </w:tcPr>
          <w:p>
            <w:pPr>
              <w:spacing w:after="0"/>
              <w:rPr>
                <w:sz w:val="12"/>
                <w:szCs w:val="12"/>
                <w:color w:val="auto"/>
              </w:rPr>
            </w:pPr>
          </w:p>
        </w:tc>
        <w:tc>
          <w:tcPr>
            <w:tcW w:w="980" w:type="dxa"/>
            <w:vAlign w:val="bottom"/>
            <w:tcBorders>
              <w:top w:val="single" w:sz="8" w:color="424E6A"/>
              <w:right w:val="single" w:sz="8" w:color="424E6A"/>
            </w:tcBorders>
            <w:vMerge w:val="restart"/>
            <w:shd w:val="clear" w:color="auto" w:fill="424E6A"/>
          </w:tcPr>
          <w:p>
            <w:pPr>
              <w:jc w:val="center"/>
              <w:ind w:right="11"/>
              <w:spacing w:after="0"/>
              <w:rPr>
                <w:sz w:val="20"/>
                <w:szCs w:val="20"/>
                <w:color w:val="auto"/>
              </w:rPr>
            </w:pPr>
            <w:r>
              <w:rPr>
                <w:rFonts w:ascii="Arial" w:cs="Arial" w:eastAsia="Arial" w:hAnsi="Arial"/>
                <w:sz w:val="13"/>
                <w:szCs w:val="13"/>
                <w:b w:val="1"/>
                <w:bCs w:val="1"/>
                <w:color w:val="FFFFFF"/>
              </w:rPr>
              <w:t>Net Income/​</w:t>
            </w:r>
          </w:p>
        </w:tc>
        <w:tc>
          <w:tcPr>
            <w:tcW w:w="960" w:type="dxa"/>
            <w:vAlign w:val="bottom"/>
            <w:tcBorders>
              <w:top w:val="single" w:sz="8" w:color="424E6A"/>
              <w:right w:val="single" w:sz="8" w:color="424E6A"/>
            </w:tcBorders>
            <w:shd w:val="clear" w:color="auto" w:fill="424E6A"/>
          </w:tcPr>
          <w:p>
            <w:pPr>
              <w:jc w:val="center"/>
              <w:spacing w:after="0" w:line="142" w:lineRule="exact"/>
              <w:rPr>
                <w:sz w:val="20"/>
                <w:szCs w:val="20"/>
                <w:color w:val="auto"/>
              </w:rPr>
            </w:pPr>
            <w:r>
              <w:rPr>
                <w:rFonts w:ascii="Arial" w:cs="Arial" w:eastAsia="Arial" w:hAnsi="Arial"/>
                <w:sz w:val="13"/>
                <w:szCs w:val="13"/>
                <w:b w:val="1"/>
                <w:bCs w:val="1"/>
                <w:color w:val="FFFFFF"/>
                <w:w w:val="94"/>
              </w:rPr>
              <w:t>EBITDA</w:t>
            </w:r>
          </w:p>
        </w:tc>
        <w:tc>
          <w:tcPr>
            <w:tcW w:w="0" w:type="dxa"/>
            <w:vAlign w:val="bottom"/>
          </w:tcPr>
          <w:p>
            <w:pPr>
              <w:spacing w:after="0"/>
              <w:rPr>
                <w:sz w:val="1"/>
                <w:szCs w:val="1"/>
                <w:color w:val="auto"/>
              </w:rPr>
            </w:pPr>
          </w:p>
        </w:tc>
      </w:tr>
      <w:tr>
        <w:trPr>
          <w:trHeight w:val="135"/>
        </w:trPr>
        <w:tc>
          <w:tcPr>
            <w:tcW w:w="820" w:type="dxa"/>
            <w:vAlign w:val="bottom"/>
            <w:tcBorders>
              <w:left w:val="single" w:sz="8" w:color="424E6A"/>
              <w:right w:val="single" w:sz="8" w:color="424E6A"/>
            </w:tcBorders>
            <w:shd w:val="clear" w:color="auto" w:fill="424E6A"/>
          </w:tcPr>
          <w:p>
            <w:pPr>
              <w:spacing w:after="0"/>
              <w:rPr>
                <w:sz w:val="11"/>
                <w:szCs w:val="11"/>
                <w:color w:val="auto"/>
              </w:rPr>
            </w:pPr>
          </w:p>
        </w:tc>
        <w:tc>
          <w:tcPr>
            <w:tcW w:w="980" w:type="dxa"/>
            <w:vAlign w:val="bottom"/>
            <w:shd w:val="clear" w:color="auto" w:fill="424E6A"/>
          </w:tcPr>
          <w:p>
            <w:pPr>
              <w:jc w:val="center"/>
              <w:ind w:left="35"/>
              <w:spacing w:after="0" w:line="135" w:lineRule="exact"/>
              <w:rPr>
                <w:sz w:val="20"/>
                <w:szCs w:val="20"/>
                <w:color w:val="auto"/>
              </w:rPr>
            </w:pPr>
            <w:r>
              <w:rPr>
                <w:rFonts w:ascii="Arial" w:cs="Arial" w:eastAsia="Arial" w:hAnsi="Arial"/>
                <w:sz w:val="13"/>
                <w:szCs w:val="13"/>
                <w:b w:val="1"/>
                <w:bCs w:val="1"/>
                <w:color w:val="FFFFFF"/>
                <w:w w:val="93"/>
              </w:rPr>
              <w:t>Table Total</w:t>
            </w:r>
          </w:p>
        </w:tc>
        <w:tc>
          <w:tcPr>
            <w:tcW w:w="160" w:type="dxa"/>
            <w:vAlign w:val="bottom"/>
            <w:tcBorders>
              <w:right w:val="single" w:sz="8" w:color="424E6A"/>
            </w:tcBorders>
            <w:shd w:val="clear" w:color="auto" w:fill="424E6A"/>
          </w:tcPr>
          <w:p>
            <w:pPr>
              <w:spacing w:after="0"/>
              <w:rPr>
                <w:sz w:val="11"/>
                <w:szCs w:val="11"/>
                <w:color w:val="auto"/>
              </w:rPr>
            </w:pPr>
          </w:p>
        </w:tc>
        <w:tc>
          <w:tcPr>
            <w:tcW w:w="260" w:type="dxa"/>
            <w:vAlign w:val="bottom"/>
            <w:shd w:val="clear" w:color="auto" w:fill="424E6A"/>
          </w:tcPr>
          <w:p>
            <w:pPr>
              <w:spacing w:after="0"/>
              <w:rPr>
                <w:sz w:val="11"/>
                <w:szCs w:val="11"/>
                <w:color w:val="auto"/>
              </w:rPr>
            </w:pPr>
          </w:p>
        </w:tc>
        <w:tc>
          <w:tcPr>
            <w:tcW w:w="720" w:type="dxa"/>
            <w:vAlign w:val="bottom"/>
            <w:shd w:val="clear" w:color="auto" w:fill="424E6A"/>
          </w:tcPr>
          <w:p>
            <w:pPr>
              <w:jc w:val="right"/>
              <w:ind w:right="131"/>
              <w:spacing w:after="0" w:line="135" w:lineRule="exact"/>
              <w:rPr>
                <w:sz w:val="20"/>
                <w:szCs w:val="20"/>
                <w:color w:val="auto"/>
              </w:rPr>
            </w:pPr>
            <w:r>
              <w:rPr>
                <w:rFonts w:ascii="Arial" w:cs="Arial" w:eastAsia="Arial" w:hAnsi="Arial"/>
                <w:sz w:val="13"/>
                <w:szCs w:val="13"/>
                <w:b w:val="1"/>
                <w:bCs w:val="1"/>
                <w:color w:val="FFFFFF"/>
                <w:w w:val="98"/>
              </w:rPr>
              <w:t>Actually</w:t>
            </w:r>
          </w:p>
        </w:tc>
        <w:tc>
          <w:tcPr>
            <w:tcW w:w="160" w:type="dxa"/>
            <w:vAlign w:val="bottom"/>
            <w:tcBorders>
              <w:right w:val="single" w:sz="8" w:color="424E6A"/>
            </w:tcBorders>
            <w:shd w:val="clear" w:color="auto" w:fill="424E6A"/>
          </w:tcPr>
          <w:p>
            <w:pPr>
              <w:spacing w:after="0"/>
              <w:rPr>
                <w:sz w:val="11"/>
                <w:szCs w:val="11"/>
                <w:color w:val="auto"/>
              </w:rPr>
            </w:pPr>
          </w:p>
        </w:tc>
        <w:tc>
          <w:tcPr>
            <w:tcW w:w="1000" w:type="dxa"/>
            <w:vAlign w:val="bottom"/>
            <w:shd w:val="clear" w:color="auto" w:fill="424E6A"/>
          </w:tcPr>
          <w:p>
            <w:pPr>
              <w:jc w:val="center"/>
              <w:ind w:left="35"/>
              <w:spacing w:after="0" w:line="135" w:lineRule="exact"/>
              <w:rPr>
                <w:sz w:val="20"/>
                <w:szCs w:val="20"/>
                <w:color w:val="auto"/>
              </w:rPr>
            </w:pPr>
            <w:r>
              <w:rPr>
                <w:rFonts w:ascii="Arial" w:cs="Arial" w:eastAsia="Arial" w:hAnsi="Arial"/>
                <w:sz w:val="13"/>
                <w:szCs w:val="13"/>
                <w:b w:val="1"/>
                <w:bCs w:val="1"/>
                <w:color w:val="FFFFFF"/>
                <w:w w:val="94"/>
              </w:rPr>
              <w:t>Non-PEO</w:t>
            </w:r>
          </w:p>
        </w:tc>
        <w:tc>
          <w:tcPr>
            <w:tcW w:w="160" w:type="dxa"/>
            <w:vAlign w:val="bottom"/>
            <w:tcBorders>
              <w:right w:val="single" w:sz="8" w:color="424E6A"/>
            </w:tcBorders>
            <w:shd w:val="clear" w:color="auto" w:fill="424E6A"/>
          </w:tcPr>
          <w:p>
            <w:pPr>
              <w:spacing w:after="0"/>
              <w:rPr>
                <w:sz w:val="11"/>
                <w:szCs w:val="11"/>
                <w:color w:val="auto"/>
              </w:rPr>
            </w:pPr>
          </w:p>
        </w:tc>
        <w:tc>
          <w:tcPr>
            <w:tcW w:w="980" w:type="dxa"/>
            <w:vAlign w:val="bottom"/>
            <w:shd w:val="clear" w:color="auto" w:fill="424E6A"/>
          </w:tcPr>
          <w:p>
            <w:pPr>
              <w:jc w:val="center"/>
              <w:ind w:left="15"/>
              <w:spacing w:after="0" w:line="135" w:lineRule="exact"/>
              <w:rPr>
                <w:sz w:val="20"/>
                <w:szCs w:val="20"/>
                <w:color w:val="auto"/>
              </w:rPr>
            </w:pPr>
            <w:r>
              <w:rPr>
                <w:rFonts w:ascii="Arial" w:cs="Arial" w:eastAsia="Arial" w:hAnsi="Arial"/>
                <w:sz w:val="13"/>
                <w:szCs w:val="13"/>
                <w:b w:val="1"/>
                <w:bCs w:val="1"/>
                <w:color w:val="FFFFFF"/>
                <w:w w:val="96"/>
              </w:rPr>
              <w:t>Paid to Non-</w:t>
            </w:r>
          </w:p>
        </w:tc>
        <w:tc>
          <w:tcPr>
            <w:tcW w:w="160" w:type="dxa"/>
            <w:vAlign w:val="bottom"/>
            <w:tcBorders>
              <w:right w:val="single" w:sz="8" w:color="424E6A"/>
            </w:tcBorders>
            <w:shd w:val="clear" w:color="auto" w:fill="424E6A"/>
          </w:tcPr>
          <w:p>
            <w:pPr>
              <w:spacing w:after="0"/>
              <w:rPr>
                <w:sz w:val="11"/>
                <w:szCs w:val="11"/>
                <w:color w:val="auto"/>
              </w:rPr>
            </w:pPr>
          </w:p>
        </w:tc>
        <w:tc>
          <w:tcPr>
            <w:tcW w:w="100" w:type="dxa"/>
            <w:vAlign w:val="bottom"/>
            <w:shd w:val="clear" w:color="auto" w:fill="424E6A"/>
          </w:tcPr>
          <w:p>
            <w:pPr>
              <w:spacing w:after="0"/>
              <w:rPr>
                <w:sz w:val="11"/>
                <w:szCs w:val="11"/>
                <w:color w:val="auto"/>
              </w:rPr>
            </w:pPr>
          </w:p>
        </w:tc>
        <w:tc>
          <w:tcPr>
            <w:tcW w:w="600" w:type="dxa"/>
            <w:vAlign w:val="bottom"/>
            <w:gridSpan w:val="2"/>
            <w:vMerge w:val="continue"/>
            <w:shd w:val="clear" w:color="auto" w:fill="424E6A"/>
          </w:tcPr>
          <w:p>
            <w:pPr>
              <w:spacing w:after="0"/>
              <w:rPr>
                <w:sz w:val="11"/>
                <w:szCs w:val="11"/>
                <w:color w:val="auto"/>
              </w:rPr>
            </w:pPr>
          </w:p>
        </w:tc>
        <w:tc>
          <w:tcPr>
            <w:tcW w:w="160" w:type="dxa"/>
            <w:vAlign w:val="bottom"/>
            <w:tcBorders>
              <w:right w:val="single" w:sz="8" w:color="424E6A"/>
            </w:tcBorders>
            <w:shd w:val="clear" w:color="auto" w:fill="424E6A"/>
          </w:tcPr>
          <w:p>
            <w:pPr>
              <w:spacing w:after="0"/>
              <w:rPr>
                <w:sz w:val="11"/>
                <w:szCs w:val="11"/>
                <w:color w:val="auto"/>
              </w:rPr>
            </w:pPr>
          </w:p>
        </w:tc>
        <w:tc>
          <w:tcPr>
            <w:tcW w:w="780" w:type="dxa"/>
            <w:vAlign w:val="bottom"/>
            <w:tcBorders>
              <w:right w:val="single" w:sz="8" w:color="424E6A"/>
            </w:tcBorders>
            <w:gridSpan w:val="2"/>
            <w:shd w:val="clear" w:color="auto" w:fill="424E6A"/>
          </w:tcPr>
          <w:p>
            <w:pPr>
              <w:jc w:val="center"/>
              <w:spacing w:after="0" w:line="135" w:lineRule="exact"/>
              <w:rPr>
                <w:sz w:val="20"/>
                <w:szCs w:val="20"/>
                <w:color w:val="auto"/>
              </w:rPr>
            </w:pPr>
            <w:r>
              <w:rPr>
                <w:rFonts w:ascii="Arial" w:cs="Arial" w:eastAsia="Arial" w:hAnsi="Arial"/>
                <w:sz w:val="13"/>
                <w:szCs w:val="13"/>
                <w:b w:val="1"/>
                <w:bCs w:val="1"/>
                <w:color w:val="FFFFFF"/>
                <w:w w:val="92"/>
              </w:rPr>
              <w:t>Group</w:t>
            </w:r>
          </w:p>
        </w:tc>
        <w:tc>
          <w:tcPr>
            <w:tcW w:w="100" w:type="dxa"/>
            <w:vAlign w:val="bottom"/>
            <w:shd w:val="clear" w:color="auto" w:fill="424E6A"/>
          </w:tcPr>
          <w:p>
            <w:pPr>
              <w:spacing w:after="0"/>
              <w:rPr>
                <w:sz w:val="11"/>
                <w:szCs w:val="11"/>
                <w:color w:val="auto"/>
              </w:rPr>
            </w:pPr>
          </w:p>
        </w:tc>
        <w:tc>
          <w:tcPr>
            <w:tcW w:w="980" w:type="dxa"/>
            <w:vAlign w:val="bottom"/>
            <w:tcBorders>
              <w:right w:val="single" w:sz="8" w:color="424E6A"/>
            </w:tcBorders>
            <w:vMerge w:val="continue"/>
            <w:shd w:val="clear" w:color="auto" w:fill="424E6A"/>
          </w:tcPr>
          <w:p>
            <w:pPr>
              <w:spacing w:after="0"/>
              <w:rPr>
                <w:sz w:val="11"/>
                <w:szCs w:val="11"/>
                <w:color w:val="auto"/>
              </w:rPr>
            </w:pPr>
          </w:p>
        </w:tc>
        <w:tc>
          <w:tcPr>
            <w:tcW w:w="960" w:type="dxa"/>
            <w:vAlign w:val="bottom"/>
            <w:tcBorders>
              <w:right w:val="single" w:sz="8" w:color="424E6A"/>
            </w:tcBorders>
            <w:shd w:val="clear" w:color="auto" w:fill="424E6A"/>
          </w:tcPr>
          <w:p>
            <w:pPr>
              <w:jc w:val="center"/>
              <w:spacing w:after="0" w:line="135" w:lineRule="exact"/>
              <w:rPr>
                <w:sz w:val="20"/>
                <w:szCs w:val="20"/>
                <w:color w:val="auto"/>
              </w:rPr>
            </w:pPr>
            <w:r>
              <w:rPr>
                <w:rFonts w:ascii="Arial" w:cs="Arial" w:eastAsia="Arial" w:hAnsi="Arial"/>
                <w:sz w:val="13"/>
                <w:szCs w:val="13"/>
                <w:b w:val="1"/>
                <w:bCs w:val="1"/>
                <w:color w:val="FFFFFF"/>
                <w:w w:val="95"/>
              </w:rPr>
              <w:t>Attributable</w:t>
            </w:r>
          </w:p>
        </w:tc>
        <w:tc>
          <w:tcPr>
            <w:tcW w:w="0" w:type="dxa"/>
            <w:vAlign w:val="bottom"/>
          </w:tcPr>
          <w:p>
            <w:pPr>
              <w:spacing w:after="0"/>
              <w:rPr>
                <w:sz w:val="1"/>
                <w:szCs w:val="1"/>
                <w:color w:val="auto"/>
              </w:rPr>
            </w:pPr>
          </w:p>
        </w:tc>
      </w:tr>
      <w:tr>
        <w:trPr>
          <w:trHeight w:val="230"/>
        </w:trPr>
        <w:tc>
          <w:tcPr>
            <w:tcW w:w="820" w:type="dxa"/>
            <w:vAlign w:val="bottom"/>
            <w:tcBorders>
              <w:left w:val="single" w:sz="8" w:color="424E6A"/>
              <w:right w:val="single" w:sz="8" w:color="424E6A"/>
            </w:tcBorders>
            <w:shd w:val="clear" w:color="auto" w:fill="424E6A"/>
          </w:tcPr>
          <w:p>
            <w:pPr>
              <w:ind w:left="40"/>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Year</w:t>
            </w:r>
          </w:p>
        </w:tc>
        <w:tc>
          <w:tcPr>
            <w:tcW w:w="980" w:type="dxa"/>
            <w:vAlign w:val="bottom"/>
            <w:shd w:val="clear" w:color="auto" w:fill="424E6A"/>
          </w:tcPr>
          <w:p>
            <w:pPr>
              <w:jc w:val="center"/>
              <w:ind w:left="75"/>
              <w:spacing w:after="0"/>
              <w:rPr>
                <w:sz w:val="20"/>
                <w:szCs w:val="20"/>
                <w:color w:val="auto"/>
              </w:rPr>
            </w:pPr>
            <w:r>
              <w:rPr>
                <w:rFonts w:ascii="Arial" w:cs="Arial" w:eastAsia="Arial" w:hAnsi="Arial"/>
                <w:sz w:val="13"/>
                <w:szCs w:val="13"/>
                <w:b w:val="1"/>
                <w:bCs w:val="1"/>
                <w:color w:val="FFFFFF"/>
                <w:w w:val="91"/>
              </w:rPr>
              <w:t>for PEO</w:t>
            </w:r>
            <w:r>
              <w:rPr>
                <w:rFonts w:ascii="Arial" w:cs="Arial" w:eastAsia="Arial" w:hAnsi="Arial"/>
                <w:sz w:val="16"/>
                <w:szCs w:val="16"/>
                <w:b w:val="1"/>
                <w:bCs w:val="1"/>
                <w:color w:val="FFFFFF"/>
                <w:w w:val="91"/>
                <w:vertAlign w:val="superscript"/>
              </w:rPr>
              <w:t>(1)</w:t>
            </w:r>
          </w:p>
        </w:tc>
        <w:tc>
          <w:tcPr>
            <w:tcW w:w="160" w:type="dxa"/>
            <w:vAlign w:val="bottom"/>
            <w:tcBorders>
              <w:right w:val="single" w:sz="8" w:color="424E6A"/>
            </w:tcBorders>
            <w:shd w:val="clear" w:color="auto" w:fill="424E6A"/>
          </w:tcPr>
          <w:p>
            <w:pPr>
              <w:spacing w:after="0"/>
              <w:rPr>
                <w:sz w:val="19"/>
                <w:szCs w:val="19"/>
                <w:color w:val="auto"/>
              </w:rPr>
            </w:pPr>
          </w:p>
        </w:tc>
        <w:tc>
          <w:tcPr>
            <w:tcW w:w="1140" w:type="dxa"/>
            <w:vAlign w:val="bottom"/>
            <w:tcBorders>
              <w:right w:val="single" w:sz="8" w:color="424E6A"/>
            </w:tcBorders>
            <w:gridSpan w:val="3"/>
            <w:shd w:val="clear" w:color="auto" w:fill="424E6A"/>
          </w:tcPr>
          <w:p>
            <w:pPr>
              <w:ind w:left="160"/>
              <w:spacing w:after="0"/>
              <w:rPr>
                <w:sz w:val="20"/>
                <w:szCs w:val="20"/>
                <w:color w:val="auto"/>
              </w:rPr>
            </w:pPr>
            <w:r>
              <w:rPr>
                <w:rFonts w:ascii="Arial" w:cs="Arial" w:eastAsia="Arial" w:hAnsi="Arial"/>
                <w:sz w:val="13"/>
                <w:szCs w:val="13"/>
                <w:b w:val="1"/>
                <w:bCs w:val="1"/>
                <w:color w:val="FFFFFF"/>
              </w:rPr>
              <w:t>Paid to PEO</w:t>
            </w:r>
            <w:r>
              <w:rPr>
                <w:rFonts w:ascii="Arial" w:cs="Arial" w:eastAsia="Arial" w:hAnsi="Arial"/>
                <w:sz w:val="16"/>
                <w:szCs w:val="16"/>
                <w:b w:val="1"/>
                <w:bCs w:val="1"/>
                <w:color w:val="FFFFFF"/>
                <w:vertAlign w:val="superscript"/>
              </w:rPr>
              <w:t>(2)</w:t>
            </w:r>
          </w:p>
        </w:tc>
        <w:tc>
          <w:tcPr>
            <w:tcW w:w="1000" w:type="dxa"/>
            <w:vAlign w:val="bottom"/>
            <w:shd w:val="clear" w:color="auto" w:fill="424E6A"/>
          </w:tcPr>
          <w:p>
            <w:pPr>
              <w:jc w:val="center"/>
              <w:ind w:left="55"/>
              <w:spacing w:after="0"/>
              <w:rPr>
                <w:sz w:val="20"/>
                <w:szCs w:val="20"/>
                <w:color w:val="auto"/>
              </w:rPr>
            </w:pPr>
            <w:r>
              <w:rPr>
                <w:rFonts w:ascii="Arial" w:cs="Arial" w:eastAsia="Arial" w:hAnsi="Arial"/>
                <w:sz w:val="13"/>
                <w:szCs w:val="13"/>
                <w:b w:val="1"/>
                <w:bCs w:val="1"/>
                <w:color w:val="FFFFFF"/>
                <w:w w:val="90"/>
              </w:rPr>
              <w:t>NEOs</w:t>
            </w:r>
            <w:r>
              <w:rPr>
                <w:rFonts w:ascii="Arial" w:cs="Arial" w:eastAsia="Arial" w:hAnsi="Arial"/>
                <w:sz w:val="16"/>
                <w:szCs w:val="16"/>
                <w:b w:val="1"/>
                <w:bCs w:val="1"/>
                <w:color w:val="FFFFFF"/>
                <w:w w:val="90"/>
                <w:vertAlign w:val="superscript"/>
              </w:rPr>
              <w:t>(1)</w:t>
            </w:r>
          </w:p>
        </w:tc>
        <w:tc>
          <w:tcPr>
            <w:tcW w:w="160" w:type="dxa"/>
            <w:vAlign w:val="bottom"/>
            <w:tcBorders>
              <w:right w:val="single" w:sz="8" w:color="424E6A"/>
            </w:tcBorders>
            <w:shd w:val="clear" w:color="auto" w:fill="424E6A"/>
          </w:tcPr>
          <w:p>
            <w:pPr>
              <w:spacing w:after="0"/>
              <w:rPr>
                <w:sz w:val="19"/>
                <w:szCs w:val="19"/>
                <w:color w:val="auto"/>
              </w:rPr>
            </w:pPr>
          </w:p>
        </w:tc>
        <w:tc>
          <w:tcPr>
            <w:tcW w:w="980" w:type="dxa"/>
            <w:vAlign w:val="bottom"/>
            <w:shd w:val="clear" w:color="auto" w:fill="424E6A"/>
          </w:tcPr>
          <w:p>
            <w:pPr>
              <w:jc w:val="center"/>
              <w:ind w:left="55"/>
              <w:spacing w:after="0"/>
              <w:rPr>
                <w:sz w:val="20"/>
                <w:szCs w:val="20"/>
                <w:color w:val="auto"/>
              </w:rPr>
            </w:pPr>
            <w:r>
              <w:rPr>
                <w:rFonts w:ascii="Arial" w:cs="Arial" w:eastAsia="Arial" w:hAnsi="Arial"/>
                <w:sz w:val="13"/>
                <w:szCs w:val="13"/>
                <w:b w:val="1"/>
                <w:bCs w:val="1"/>
                <w:color w:val="FFFFFF"/>
                <w:w w:val="93"/>
              </w:rPr>
              <w:t>PEO NEOs</w:t>
            </w:r>
            <w:r>
              <w:rPr>
                <w:rFonts w:ascii="Arial" w:cs="Arial" w:eastAsia="Arial" w:hAnsi="Arial"/>
                <w:sz w:val="16"/>
                <w:szCs w:val="16"/>
                <w:b w:val="1"/>
                <w:bCs w:val="1"/>
                <w:color w:val="FFFFFF"/>
                <w:w w:val="93"/>
                <w:vertAlign w:val="superscript"/>
              </w:rPr>
              <w:t>(2)</w:t>
            </w:r>
          </w:p>
        </w:tc>
        <w:tc>
          <w:tcPr>
            <w:tcW w:w="160" w:type="dxa"/>
            <w:vAlign w:val="bottom"/>
            <w:tcBorders>
              <w:right w:val="single" w:sz="8" w:color="424E6A"/>
            </w:tcBorders>
            <w:shd w:val="clear" w:color="auto" w:fill="424E6A"/>
          </w:tcPr>
          <w:p>
            <w:pPr>
              <w:spacing w:after="0"/>
              <w:rPr>
                <w:sz w:val="19"/>
                <w:szCs w:val="19"/>
                <w:color w:val="auto"/>
              </w:rPr>
            </w:pPr>
          </w:p>
        </w:tc>
        <w:tc>
          <w:tcPr>
            <w:tcW w:w="100" w:type="dxa"/>
            <w:vAlign w:val="bottom"/>
            <w:shd w:val="clear" w:color="auto" w:fill="424E6A"/>
          </w:tcPr>
          <w:p>
            <w:pPr>
              <w:spacing w:after="0"/>
              <w:rPr>
                <w:sz w:val="19"/>
                <w:szCs w:val="19"/>
                <w:color w:val="auto"/>
              </w:rPr>
            </w:pPr>
          </w:p>
        </w:tc>
        <w:tc>
          <w:tcPr>
            <w:tcW w:w="120" w:type="dxa"/>
            <w:vAlign w:val="bottom"/>
            <w:shd w:val="clear" w:color="auto" w:fill="424E6A"/>
          </w:tcPr>
          <w:p>
            <w:pPr>
              <w:spacing w:after="0"/>
              <w:rPr>
                <w:sz w:val="19"/>
                <w:szCs w:val="19"/>
                <w:color w:val="auto"/>
              </w:rPr>
            </w:pPr>
          </w:p>
        </w:tc>
        <w:tc>
          <w:tcPr>
            <w:tcW w:w="480" w:type="dxa"/>
            <w:vAlign w:val="bottom"/>
            <w:shd w:val="clear" w:color="auto" w:fill="424E6A"/>
          </w:tcPr>
          <w:p>
            <w:pPr>
              <w:jc w:val="center"/>
              <w:ind w:right="39"/>
              <w:spacing w:after="0" w:line="216" w:lineRule="exact"/>
              <w:rPr>
                <w:sz w:val="20"/>
                <w:szCs w:val="20"/>
                <w:color w:val="auto"/>
              </w:rPr>
            </w:pPr>
            <w:r>
              <w:rPr>
                <w:rFonts w:ascii="Arial" w:cs="Arial" w:eastAsia="Arial" w:hAnsi="Arial"/>
                <w:sz w:val="25"/>
                <w:szCs w:val="25"/>
                <w:b w:val="1"/>
                <w:bCs w:val="1"/>
                <w:color w:val="FFFFFF"/>
                <w:w w:val="78"/>
                <w:vertAlign w:val="subscript"/>
              </w:rPr>
              <w:t>TSR</w:t>
            </w:r>
            <w:r>
              <w:rPr>
                <w:rFonts w:ascii="Arial" w:cs="Arial" w:eastAsia="Arial" w:hAnsi="Arial"/>
                <w:sz w:val="8"/>
                <w:szCs w:val="8"/>
                <w:b w:val="1"/>
                <w:bCs w:val="1"/>
                <w:color w:val="FFFFFF"/>
                <w:w w:val="78"/>
              </w:rPr>
              <w:t>(3)</w:t>
            </w:r>
          </w:p>
        </w:tc>
        <w:tc>
          <w:tcPr>
            <w:tcW w:w="160" w:type="dxa"/>
            <w:vAlign w:val="bottom"/>
            <w:tcBorders>
              <w:right w:val="single" w:sz="8" w:color="424E6A"/>
            </w:tcBorders>
            <w:shd w:val="clear" w:color="auto" w:fill="424E6A"/>
          </w:tcPr>
          <w:p>
            <w:pPr>
              <w:jc w:val="right"/>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424E6A"/>
          </w:tcPr>
          <w:p>
            <w:pPr>
              <w:ind w:left="40"/>
              <w:spacing w:after="0"/>
              <w:rPr>
                <w:sz w:val="20"/>
                <w:szCs w:val="20"/>
                <w:color w:val="auto"/>
              </w:rPr>
            </w:pPr>
            <w:r>
              <w:rPr>
                <w:rFonts w:ascii="Arial" w:cs="Arial" w:eastAsia="Arial" w:hAnsi="Arial"/>
                <w:sz w:val="13"/>
                <w:szCs w:val="13"/>
                <w:b w:val="1"/>
                <w:bCs w:val="1"/>
                <w:color w:val="FFFFFF"/>
              </w:rPr>
              <w:t>​</w:t>
            </w:r>
          </w:p>
        </w:tc>
        <w:tc>
          <w:tcPr>
            <w:tcW w:w="580" w:type="dxa"/>
            <w:vAlign w:val="bottom"/>
            <w:tcBorders>
              <w:right w:val="single" w:sz="8" w:color="424E6A"/>
            </w:tcBorders>
            <w:shd w:val="clear" w:color="auto" w:fill="424E6A"/>
          </w:tcPr>
          <w:p>
            <w:pPr>
              <w:jc w:val="center"/>
              <w:ind w:right="174"/>
              <w:spacing w:after="0"/>
              <w:rPr>
                <w:sz w:val="20"/>
                <w:szCs w:val="20"/>
                <w:color w:val="auto"/>
              </w:rPr>
            </w:pPr>
            <w:r>
              <w:rPr>
                <w:rFonts w:ascii="Arial" w:cs="Arial" w:eastAsia="Arial" w:hAnsi="Arial"/>
                <w:sz w:val="13"/>
                <w:szCs w:val="13"/>
                <w:b w:val="1"/>
                <w:bCs w:val="1"/>
                <w:color w:val="FFFFFF"/>
                <w:w w:val="86"/>
              </w:rPr>
              <w:t>TSR</w:t>
            </w:r>
            <w:r>
              <w:rPr>
                <w:rFonts w:ascii="Arial" w:cs="Arial" w:eastAsia="Arial" w:hAnsi="Arial"/>
                <w:sz w:val="16"/>
                <w:szCs w:val="16"/>
                <w:b w:val="1"/>
                <w:bCs w:val="1"/>
                <w:color w:val="FFFFFF"/>
                <w:w w:val="86"/>
                <w:vertAlign w:val="superscript"/>
              </w:rPr>
              <w:t>(3)</w:t>
            </w:r>
          </w:p>
        </w:tc>
        <w:tc>
          <w:tcPr>
            <w:tcW w:w="100" w:type="dxa"/>
            <w:vAlign w:val="bottom"/>
            <w:shd w:val="clear" w:color="auto" w:fill="424E6A"/>
          </w:tcPr>
          <w:p>
            <w:pPr>
              <w:spacing w:after="0"/>
              <w:rPr>
                <w:sz w:val="19"/>
                <w:szCs w:val="19"/>
                <w:color w:val="auto"/>
              </w:rPr>
            </w:pPr>
          </w:p>
        </w:tc>
        <w:tc>
          <w:tcPr>
            <w:tcW w:w="980" w:type="dxa"/>
            <w:vAlign w:val="bottom"/>
            <w:tcBorders>
              <w:right w:val="single" w:sz="8" w:color="424E6A"/>
            </w:tcBorders>
            <w:shd w:val="clear" w:color="auto" w:fill="424E6A"/>
          </w:tcPr>
          <w:p>
            <w:pPr>
              <w:jc w:val="center"/>
              <w:ind w:right="51"/>
              <w:spacing w:after="0"/>
              <w:rPr>
                <w:sz w:val="20"/>
                <w:szCs w:val="20"/>
                <w:color w:val="auto"/>
              </w:rPr>
            </w:pPr>
            <w:r>
              <w:rPr>
                <w:rFonts w:ascii="Arial" w:cs="Arial" w:eastAsia="Arial" w:hAnsi="Arial"/>
                <w:sz w:val="13"/>
                <w:szCs w:val="13"/>
                <w:b w:val="1"/>
                <w:bCs w:val="1"/>
                <w:color w:val="FFFFFF"/>
                <w:w w:val="97"/>
              </w:rPr>
              <w:t>(Loss)</w:t>
            </w:r>
          </w:p>
        </w:tc>
        <w:tc>
          <w:tcPr>
            <w:tcW w:w="960" w:type="dxa"/>
            <w:vAlign w:val="bottom"/>
            <w:tcBorders>
              <w:right w:val="single" w:sz="8" w:color="424E6A"/>
            </w:tcBorders>
            <w:shd w:val="clear" w:color="auto" w:fill="424E6A"/>
          </w:tcPr>
          <w:p>
            <w:pPr>
              <w:ind w:left="60"/>
              <w:spacing w:after="0" w:line="216" w:lineRule="exact"/>
              <w:rPr>
                <w:sz w:val="20"/>
                <w:szCs w:val="20"/>
                <w:color w:val="auto"/>
              </w:rPr>
            </w:pPr>
            <w:r>
              <w:rPr>
                <w:rFonts w:ascii="Arial" w:cs="Arial" w:eastAsia="Arial" w:hAnsi="Arial"/>
                <w:sz w:val="25"/>
                <w:szCs w:val="25"/>
                <w:b w:val="1"/>
                <w:bCs w:val="1"/>
                <w:color w:val="FFFFFF"/>
                <w:vertAlign w:val="subscript"/>
              </w:rPr>
              <w:t>​</w:t>
            </w:r>
            <w:r>
              <w:rPr>
                <w:rFonts w:ascii="Arial" w:cs="Arial" w:eastAsia="Arial" w:hAnsi="Arial"/>
                <w:sz w:val="13"/>
                <w:szCs w:val="13"/>
                <w:b w:val="1"/>
                <w:bCs w:val="1"/>
                <w:color w:val="FFFFFF"/>
              </w:rPr>
              <w:t xml:space="preserve">   to PAA</w:t>
            </w:r>
          </w:p>
        </w:tc>
        <w:tc>
          <w:tcPr>
            <w:tcW w:w="0" w:type="dxa"/>
            <w:vAlign w:val="bottom"/>
          </w:tcPr>
          <w:p>
            <w:pPr>
              <w:spacing w:after="0"/>
              <w:rPr>
                <w:sz w:val="1"/>
                <w:szCs w:val="1"/>
                <w:color w:val="auto"/>
              </w:rPr>
            </w:pPr>
          </w:p>
        </w:tc>
      </w:tr>
      <w:tr>
        <w:trPr>
          <w:trHeight w:val="229"/>
        </w:trPr>
        <w:tc>
          <w:tcPr>
            <w:tcW w:w="820" w:type="dxa"/>
            <w:vAlign w:val="bottom"/>
            <w:tcBorders>
              <w:left w:val="single" w:sz="8" w:color="424E6A"/>
              <w:bottom w:val="single" w:sz="8" w:color="424E6A"/>
              <w:right w:val="single" w:sz="8" w:color="424E6A"/>
            </w:tcBorders>
            <w:shd w:val="clear" w:color="auto" w:fill="D9DCE1"/>
          </w:tcPr>
          <w:p>
            <w:pPr>
              <w:ind w:left="4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2023</w:t>
            </w:r>
          </w:p>
        </w:tc>
        <w:tc>
          <w:tcPr>
            <w:tcW w:w="980" w:type="dxa"/>
            <w:vAlign w:val="bottom"/>
            <w:tcBorders>
              <w:bottom w:val="single" w:sz="8" w:color="424E6A"/>
            </w:tcBorders>
            <w:shd w:val="clear" w:color="auto" w:fill="D9DCE1"/>
          </w:tcPr>
          <w:p>
            <w:pPr>
              <w:jc w:val="center"/>
              <w:ind w:left="55"/>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$ 7,453,919</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424E6A"/>
              <w:right w:val="single" w:sz="8" w:color="424E6A"/>
            </w:tcBorders>
            <w:gridSpan w:val="3"/>
            <w:shd w:val="clear" w:color="auto" w:fill="D9DCE1"/>
          </w:tcPr>
          <w:p>
            <w:pPr>
              <w:jc w:val="right"/>
              <w:ind w:right="8"/>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$ 16,427,772 </w:t>
            </w:r>
            <w:r>
              <w:rPr>
                <w:rFonts w:ascii="Arial" w:cs="Arial" w:eastAsia="Arial" w:hAnsi="Arial"/>
                <w:sz w:val="26"/>
                <w:szCs w:val="26"/>
                <w:color w:val="auto"/>
                <w:vertAlign w:val="subscript"/>
              </w:rPr>
              <w:t>​</w:t>
            </w:r>
          </w:p>
        </w:tc>
        <w:tc>
          <w:tcPr>
            <w:tcW w:w="1000" w:type="dxa"/>
            <w:vAlign w:val="bottom"/>
            <w:tcBorders>
              <w:bottom w:val="single" w:sz="8" w:color="424E6A"/>
            </w:tcBorders>
            <w:shd w:val="clear" w:color="auto" w:fill="D9DCE1"/>
          </w:tcPr>
          <w:p>
            <w:pPr>
              <w:jc w:val="center"/>
              <w:ind w:left="55"/>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$ 2,949,247</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424E6A"/>
            </w:tcBorders>
            <w:shd w:val="clear" w:color="auto" w:fill="D9DCE1"/>
          </w:tcPr>
          <w:p>
            <w:pPr>
              <w:jc w:val="center"/>
              <w:ind w:left="55"/>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$ 6,454,569</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shd w:val="clear" w:color="auto" w:fill="D9DCE1"/>
          </w:tcPr>
          <w:p>
            <w:pPr>
              <w:spacing w:after="0"/>
              <w:rPr>
                <w:sz w:val="19"/>
                <w:szCs w:val="19"/>
                <w:color w:val="auto"/>
              </w:rPr>
            </w:pPr>
          </w:p>
        </w:tc>
        <w:tc>
          <w:tcPr>
            <w:tcW w:w="760" w:type="dxa"/>
            <w:vAlign w:val="bottom"/>
            <w:tcBorders>
              <w:bottom w:val="single" w:sz="8" w:color="424E6A"/>
              <w:right w:val="single" w:sz="8" w:color="424E6A"/>
            </w:tcBorders>
            <w:gridSpan w:val="3"/>
            <w:shd w:val="clear" w:color="auto" w:fill="D9DCE1"/>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$ 113.53 </w:t>
            </w:r>
            <w:r>
              <w:rPr>
                <w:rFonts w:ascii="Arial" w:cs="Arial" w:eastAsia="Arial" w:hAnsi="Arial"/>
                <w:sz w:val="26"/>
                <w:szCs w:val="26"/>
                <w:color w:val="auto"/>
                <w:vertAlign w:val="subscript"/>
              </w:rPr>
              <w:t>​ ​</w:t>
            </w:r>
          </w:p>
        </w:tc>
        <w:tc>
          <w:tcPr>
            <w:tcW w:w="780" w:type="dxa"/>
            <w:vAlign w:val="bottom"/>
            <w:tcBorders>
              <w:bottom w:val="single" w:sz="8" w:color="424E6A"/>
              <w:right w:val="single" w:sz="8" w:color="424E6A"/>
            </w:tcBorders>
            <w:gridSpan w:val="2"/>
            <w:shd w:val="clear" w:color="auto" w:fill="D9DCE1"/>
          </w:tcPr>
          <w:p>
            <w:pPr>
              <w:ind w:left="40"/>
              <w:spacing w:after="0" w:line="230"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4"/>
                <w:szCs w:val="14"/>
                <w:color w:val="auto"/>
              </w:rPr>
              <w:t>$147.00</w:t>
            </w:r>
          </w:p>
        </w:tc>
        <w:tc>
          <w:tcPr>
            <w:tcW w:w="100" w:type="dxa"/>
            <w:vAlign w:val="bottom"/>
            <w:tcBorders>
              <w:bottom w:val="single" w:sz="8" w:color="424E6A"/>
            </w:tcBorders>
            <w:shd w:val="clear" w:color="auto" w:fill="D9DCE1"/>
          </w:tcPr>
          <w:p>
            <w:pPr>
              <w:spacing w:after="0"/>
              <w:rPr>
                <w:sz w:val="19"/>
                <w:szCs w:val="19"/>
                <w:color w:val="auto"/>
              </w:rPr>
            </w:pPr>
          </w:p>
        </w:tc>
        <w:tc>
          <w:tcPr>
            <w:tcW w:w="980" w:type="dxa"/>
            <w:vAlign w:val="bottom"/>
            <w:tcBorders>
              <w:bottom w:val="single" w:sz="8" w:color="424E6A"/>
              <w:right w:val="single" w:sz="8" w:color="424E6A"/>
            </w:tcBorders>
            <w:shd w:val="clear" w:color="auto" w:fill="D9DCE1"/>
          </w:tcPr>
          <w:p>
            <w:pPr>
              <w:jc w:val="center"/>
              <w:ind w:right="51"/>
              <w:spacing w:after="0"/>
              <w:rPr>
                <w:sz w:val="20"/>
                <w:szCs w:val="20"/>
                <w:color w:val="auto"/>
              </w:rPr>
            </w:pPr>
            <w:r>
              <w:rPr>
                <w:rFonts w:ascii="Arial" w:cs="Arial" w:eastAsia="Arial" w:hAnsi="Arial"/>
                <w:sz w:val="14"/>
                <w:szCs w:val="14"/>
                <w:color w:val="auto"/>
              </w:rPr>
              <w:t>$1.50 billion</w:t>
            </w:r>
          </w:p>
        </w:tc>
        <w:tc>
          <w:tcPr>
            <w:tcW w:w="960" w:type="dxa"/>
            <w:vAlign w:val="bottom"/>
            <w:tcBorders>
              <w:bottom w:val="single" w:sz="8" w:color="424E6A"/>
              <w:right w:val="single" w:sz="8" w:color="424E6A"/>
            </w:tcBorders>
            <w:shd w:val="clear" w:color="auto" w:fill="D9DCE1"/>
          </w:tcPr>
          <w:p>
            <w:pPr>
              <w:jc w:val="cente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$2.71 billion</w:t>
            </w:r>
          </w:p>
        </w:tc>
        <w:tc>
          <w:tcPr>
            <w:tcW w:w="0" w:type="dxa"/>
            <w:vAlign w:val="bottom"/>
          </w:tcPr>
          <w:p>
            <w:pPr>
              <w:spacing w:after="0"/>
              <w:rPr>
                <w:sz w:val="1"/>
                <w:szCs w:val="1"/>
                <w:color w:val="auto"/>
              </w:rPr>
            </w:pPr>
          </w:p>
        </w:tc>
      </w:tr>
      <w:tr>
        <w:trPr>
          <w:trHeight w:val="223"/>
        </w:trPr>
        <w:tc>
          <w:tcPr>
            <w:tcW w:w="820" w:type="dxa"/>
            <w:vAlign w:val="bottom"/>
            <w:tcBorders>
              <w:left w:val="single" w:sz="8" w:color="424E6A"/>
              <w:bottom w:val="single" w:sz="8" w:color="424E6A"/>
              <w:right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2022</w:t>
            </w:r>
          </w:p>
        </w:tc>
        <w:tc>
          <w:tcPr>
            <w:tcW w:w="980" w:type="dxa"/>
            <w:vAlign w:val="bottom"/>
            <w:tcBorders>
              <w:bottom w:val="single" w:sz="8" w:color="424E6A"/>
            </w:tcBorders>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$ 8,296,140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424E6A"/>
            </w:tcBorders>
            <w:gridSpan w:val="2"/>
          </w:tcPr>
          <w:p>
            <w:pPr>
              <w:jc w:val="right"/>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$ 14,459,710</w:t>
            </w:r>
          </w:p>
        </w:tc>
        <w:tc>
          <w:tcPr>
            <w:tcW w:w="16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tcBorders>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$ 4,387,570</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424E6A"/>
            </w:tcBorders>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$ 8,142,198</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spacing w:after="0"/>
              <w:rPr>
                <w:sz w:val="19"/>
                <w:szCs w:val="19"/>
                <w:color w:val="auto"/>
              </w:rPr>
            </w:pPr>
          </w:p>
        </w:tc>
        <w:tc>
          <w:tcPr>
            <w:tcW w:w="120" w:type="dxa"/>
            <w:vAlign w:val="bottom"/>
            <w:tcBorders>
              <w:bottom w:val="single" w:sz="8" w:color="424E6A"/>
            </w:tcBorders>
          </w:tcPr>
          <w:p>
            <w:pPr>
              <w:ind w:left="2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6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 xml:space="preserve">81.51 </w:t>
            </w:r>
            <w:r>
              <w:rPr>
                <w:rFonts w:ascii="Arial" w:cs="Arial" w:eastAsia="Arial" w:hAnsi="Arial"/>
                <w:sz w:val="25"/>
                <w:szCs w:val="25"/>
                <w:color w:val="auto"/>
                <w:vertAlign w:val="subscript"/>
              </w:rPr>
              <w:t>​ ​</w:t>
            </w:r>
          </w:p>
        </w:tc>
        <w:tc>
          <w:tcPr>
            <w:tcW w:w="780" w:type="dxa"/>
            <w:vAlign w:val="bottom"/>
            <w:tcBorders>
              <w:bottom w:val="single" w:sz="8" w:color="424E6A"/>
              <w:right w:val="single" w:sz="8" w:color="424E6A"/>
            </w:tcBorders>
            <w:gridSpan w:val="2"/>
          </w:tcPr>
          <w:p>
            <w:pPr>
              <w:ind w:left="4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$128.92</w:t>
            </w:r>
          </w:p>
        </w:tc>
        <w:tc>
          <w:tcPr>
            <w:tcW w:w="100" w:type="dxa"/>
            <w:vAlign w:val="bottom"/>
            <w:tcBorders>
              <w:bottom w:val="single" w:sz="8" w:color="424E6A"/>
            </w:tcBorders>
          </w:tcPr>
          <w:p>
            <w:pPr>
              <w:spacing w:after="0"/>
              <w:rPr>
                <w:sz w:val="19"/>
                <w:szCs w:val="19"/>
                <w:color w:val="auto"/>
              </w:rPr>
            </w:pPr>
          </w:p>
        </w:tc>
        <w:tc>
          <w:tcPr>
            <w:tcW w:w="980" w:type="dxa"/>
            <w:vAlign w:val="bottom"/>
            <w:tcBorders>
              <w:bottom w:val="single" w:sz="8" w:color="424E6A"/>
              <w:right w:val="single" w:sz="8" w:color="424E6A"/>
            </w:tcBorders>
          </w:tcPr>
          <w:p>
            <w:pPr>
              <w:jc w:val="center"/>
              <w:ind w:right="51"/>
              <w:spacing w:after="0"/>
              <w:rPr>
                <w:sz w:val="20"/>
                <w:szCs w:val="20"/>
                <w:color w:val="auto"/>
              </w:rPr>
            </w:pPr>
            <w:r>
              <w:rPr>
                <w:rFonts w:ascii="Arial" w:cs="Arial" w:eastAsia="Arial" w:hAnsi="Arial"/>
                <w:sz w:val="14"/>
                <w:szCs w:val="14"/>
                <w:color w:val="auto"/>
              </w:rPr>
              <w:t>$1.23 billion</w:t>
            </w:r>
          </w:p>
        </w:tc>
        <w:tc>
          <w:tcPr>
            <w:tcW w:w="960" w:type="dxa"/>
            <w:vAlign w:val="bottom"/>
            <w:tcBorders>
              <w:bottom w:val="single" w:sz="8" w:color="424E6A"/>
              <w:right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$2.51 billion</w:t>
            </w:r>
          </w:p>
        </w:tc>
        <w:tc>
          <w:tcPr>
            <w:tcW w:w="0" w:type="dxa"/>
            <w:vAlign w:val="bottom"/>
          </w:tcPr>
          <w:p>
            <w:pPr>
              <w:spacing w:after="0"/>
              <w:rPr>
                <w:sz w:val="1"/>
                <w:szCs w:val="1"/>
                <w:color w:val="auto"/>
              </w:rPr>
            </w:pPr>
          </w:p>
        </w:tc>
      </w:tr>
      <w:tr>
        <w:trPr>
          <w:trHeight w:val="223"/>
        </w:trPr>
        <w:tc>
          <w:tcPr>
            <w:tcW w:w="820" w:type="dxa"/>
            <w:vAlign w:val="bottom"/>
            <w:tcBorders>
              <w:left w:val="single" w:sz="8" w:color="424E6A"/>
              <w:bottom w:val="single" w:sz="8" w:color="424E6A"/>
              <w:right w:val="single" w:sz="8" w:color="424E6A"/>
            </w:tcBorders>
            <w:shd w:val="clear" w:color="auto" w:fill="D9DCE1"/>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2021</w:t>
            </w:r>
          </w:p>
        </w:tc>
        <w:tc>
          <w:tcPr>
            <w:tcW w:w="980" w:type="dxa"/>
            <w:vAlign w:val="bottom"/>
            <w:tcBorders>
              <w:bottom w:val="single" w:sz="8" w:color="424E6A"/>
            </w:tcBorders>
            <w:shd w:val="clear" w:color="auto" w:fill="D9DCE1"/>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$ 4,392,210</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shd w:val="clear" w:color="auto" w:fill="D9DCE1"/>
          </w:tcPr>
          <w:p>
            <w:pPr>
              <w:ind w:left="1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perscript"/>
              </w:rPr>
              <w:t>$</w:t>
            </w:r>
          </w:p>
        </w:tc>
        <w:tc>
          <w:tcPr>
            <w:tcW w:w="7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4"/>
                <w:szCs w:val="14"/>
                <w:color w:val="auto"/>
              </w:rPr>
              <w:t>4,792,883</w:t>
            </w:r>
          </w:p>
        </w:tc>
        <w:tc>
          <w:tcPr>
            <w:tcW w:w="160" w:type="dxa"/>
            <w:vAlign w:val="bottom"/>
            <w:tcBorders>
              <w:bottom w:val="single" w:sz="8" w:color="424E6A"/>
              <w:right w:val="single" w:sz="8" w:color="424E6A"/>
            </w:tcBorders>
            <w:shd w:val="clear" w:color="auto" w:fill="D9DCE1"/>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tcBorders>
            <w:shd w:val="clear" w:color="auto" w:fill="D9DCE1"/>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$ 2,147,374</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424E6A"/>
            </w:tcBorders>
            <w:shd w:val="clear" w:color="auto" w:fill="D9DCE1"/>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$ 2,385,698</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shd w:val="clear" w:color="auto" w:fill="D9DCE1"/>
          </w:tcPr>
          <w:p>
            <w:pPr>
              <w:spacing w:after="0"/>
              <w:rPr>
                <w:sz w:val="19"/>
                <w:szCs w:val="19"/>
                <w:color w:val="auto"/>
              </w:rPr>
            </w:pPr>
          </w:p>
        </w:tc>
        <w:tc>
          <w:tcPr>
            <w:tcW w:w="120" w:type="dxa"/>
            <w:vAlign w:val="bottom"/>
            <w:tcBorders>
              <w:bottom w:val="single" w:sz="8" w:color="424E6A"/>
            </w:tcBorders>
            <w:shd w:val="clear" w:color="auto" w:fill="D9DCE1"/>
          </w:tcPr>
          <w:p>
            <w:pPr>
              <w:ind w:left="20"/>
              <w:spacing w:after="0" w:line="223" w:lineRule="exact"/>
              <w:rPr>
                <w:sz w:val="20"/>
                <w:szCs w:val="20"/>
                <w:color w:val="auto"/>
              </w:rPr>
            </w:pPr>
            <w:r>
              <w:rPr>
                <w:rFonts w:ascii="Arial" w:cs="Arial" w:eastAsia="Arial" w:hAnsi="Arial"/>
                <w:sz w:val="13"/>
                <w:szCs w:val="13"/>
                <w:color w:val="auto"/>
                <w:w w:val="85"/>
              </w:rPr>
              <w:t>​</w:t>
            </w:r>
            <w:r>
              <w:rPr>
                <w:rFonts w:ascii="Arial" w:cs="Arial" w:eastAsia="Arial" w:hAnsi="Arial"/>
                <w:sz w:val="25"/>
                <w:szCs w:val="25"/>
                <w:color w:val="auto"/>
                <w:w w:val="85"/>
                <w:vertAlign w:val="superscript"/>
              </w:rPr>
              <w:t>$</w:t>
            </w:r>
          </w:p>
        </w:tc>
        <w:tc>
          <w:tcPr>
            <w:tcW w:w="640" w:type="dxa"/>
            <w:vAlign w:val="bottom"/>
            <w:tcBorders>
              <w:bottom w:val="single" w:sz="8" w:color="424E6A"/>
              <w:right w:val="single" w:sz="8" w:color="424E6A"/>
            </w:tcBorders>
            <w:gridSpan w:val="2"/>
            <w:shd w:val="clear" w:color="auto" w:fill="D9DCE1"/>
          </w:tcPr>
          <w:p>
            <w:pPr>
              <w:jc w:val="right"/>
              <w:spacing w:after="0" w:line="223" w:lineRule="exact"/>
              <w:rPr>
                <w:sz w:val="20"/>
                <w:szCs w:val="20"/>
                <w:color w:val="auto"/>
              </w:rPr>
            </w:pPr>
            <w:r>
              <w:rPr>
                <w:rFonts w:ascii="Arial" w:cs="Arial" w:eastAsia="Arial" w:hAnsi="Arial"/>
                <w:sz w:val="13"/>
                <w:szCs w:val="13"/>
                <w:color w:val="auto"/>
              </w:rPr>
              <w:t xml:space="preserve">60.08 </w:t>
            </w:r>
            <w:r>
              <w:rPr>
                <w:rFonts w:ascii="Arial" w:cs="Arial" w:eastAsia="Arial" w:hAnsi="Arial"/>
                <w:sz w:val="25"/>
                <w:szCs w:val="25"/>
                <w:color w:val="auto"/>
                <w:vertAlign w:val="subscript"/>
              </w:rPr>
              <w:t>​ ​</w:t>
            </w:r>
          </w:p>
        </w:tc>
        <w:tc>
          <w:tcPr>
            <w:tcW w:w="780" w:type="dxa"/>
            <w:vAlign w:val="bottom"/>
            <w:tcBorders>
              <w:bottom w:val="single" w:sz="8" w:color="424E6A"/>
              <w:right w:val="single" w:sz="8" w:color="424E6A"/>
            </w:tcBorders>
            <w:gridSpan w:val="2"/>
            <w:shd w:val="clear" w:color="auto" w:fill="D9DCE1"/>
          </w:tcPr>
          <w:p>
            <w:pPr>
              <w:ind w:left="40"/>
              <w:spacing w:after="0" w:line="223" w:lineRule="exact"/>
              <w:rPr>
                <w:sz w:val="20"/>
                <w:szCs w:val="20"/>
                <w:color w:val="auto"/>
              </w:rPr>
            </w:pPr>
            <w:r>
              <w:rPr>
                <w:rFonts w:ascii="Arial" w:cs="Arial" w:eastAsia="Arial" w:hAnsi="Arial"/>
                <w:sz w:val="25"/>
                <w:szCs w:val="25"/>
                <w:color w:val="auto"/>
                <w:vertAlign w:val="subscript"/>
              </w:rPr>
              <w:t>​ ​</w:t>
            </w:r>
            <w:r>
              <w:rPr>
                <w:rFonts w:ascii="Arial" w:cs="Arial" w:eastAsia="Arial" w:hAnsi="Arial"/>
                <w:sz w:val="13"/>
                <w:szCs w:val="13"/>
                <w:color w:val="auto"/>
              </w:rPr>
              <w:t>$106.08</w:t>
            </w:r>
          </w:p>
        </w:tc>
        <w:tc>
          <w:tcPr>
            <w:tcW w:w="100" w:type="dxa"/>
            <w:vAlign w:val="bottom"/>
            <w:tcBorders>
              <w:bottom w:val="single" w:sz="8" w:color="424E6A"/>
            </w:tcBorders>
            <w:shd w:val="clear" w:color="auto" w:fill="D9DCE1"/>
          </w:tcPr>
          <w:p>
            <w:pPr>
              <w:spacing w:after="0"/>
              <w:rPr>
                <w:sz w:val="19"/>
                <w:szCs w:val="19"/>
                <w:color w:val="auto"/>
              </w:rPr>
            </w:pPr>
          </w:p>
        </w:tc>
        <w:tc>
          <w:tcPr>
            <w:tcW w:w="980" w:type="dxa"/>
            <w:vAlign w:val="bottom"/>
            <w:tcBorders>
              <w:bottom w:val="single" w:sz="8" w:color="424E6A"/>
              <w:right w:val="single" w:sz="8" w:color="424E6A"/>
            </w:tcBorders>
            <w:shd w:val="clear" w:color="auto" w:fill="D9DCE1"/>
          </w:tcPr>
          <w:p>
            <w:pPr>
              <w:jc w:val="center"/>
              <w:ind w:right="51"/>
              <w:spacing w:after="0"/>
              <w:rPr>
                <w:sz w:val="20"/>
                <w:szCs w:val="20"/>
                <w:color w:val="auto"/>
              </w:rPr>
            </w:pPr>
            <w:r>
              <w:rPr>
                <w:rFonts w:ascii="Arial" w:cs="Arial" w:eastAsia="Arial" w:hAnsi="Arial"/>
                <w:sz w:val="14"/>
                <w:szCs w:val="14"/>
                <w:color w:val="auto"/>
              </w:rPr>
              <w:t>$648 million</w:t>
            </w:r>
          </w:p>
        </w:tc>
        <w:tc>
          <w:tcPr>
            <w:tcW w:w="960" w:type="dxa"/>
            <w:vAlign w:val="bottom"/>
            <w:tcBorders>
              <w:bottom w:val="single" w:sz="8" w:color="424E6A"/>
              <w:right w:val="single" w:sz="8" w:color="424E6A"/>
            </w:tcBorders>
            <w:shd w:val="clear" w:color="auto" w:fill="D9DCE1"/>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$2.20 billion</w:t>
            </w:r>
          </w:p>
        </w:tc>
        <w:tc>
          <w:tcPr>
            <w:tcW w:w="0" w:type="dxa"/>
            <w:vAlign w:val="bottom"/>
          </w:tcPr>
          <w:p>
            <w:pPr>
              <w:spacing w:after="0"/>
              <w:rPr>
                <w:sz w:val="1"/>
                <w:szCs w:val="1"/>
                <w:color w:val="auto"/>
              </w:rPr>
            </w:pPr>
          </w:p>
        </w:tc>
      </w:tr>
      <w:tr>
        <w:trPr>
          <w:trHeight w:val="223"/>
        </w:trPr>
        <w:tc>
          <w:tcPr>
            <w:tcW w:w="820" w:type="dxa"/>
            <w:vAlign w:val="bottom"/>
            <w:tcBorders>
              <w:left w:val="single" w:sz="8" w:color="424E6A"/>
              <w:bottom w:val="single" w:sz="8" w:color="424E6A"/>
              <w:right w:val="single" w:sz="8" w:color="424E6A"/>
            </w:tcBorders>
          </w:tcPr>
          <w:p>
            <w:pPr>
              <w:ind w:left="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2020</w:t>
            </w:r>
          </w:p>
        </w:tc>
        <w:tc>
          <w:tcPr>
            <w:tcW w:w="980" w:type="dxa"/>
            <w:vAlign w:val="bottom"/>
            <w:tcBorders>
              <w:bottom w:val="single" w:sz="8" w:color="424E6A"/>
            </w:tcBorders>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$ 4,290,241</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424E6A"/>
            </w:tcBorders>
          </w:tcPr>
          <w:p>
            <w:pPr>
              <w:ind w:left="14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720" w:type="dxa"/>
            <w:vAlign w:val="bottom"/>
            <w:tcBorders>
              <w:bottom w:val="single" w:sz="8" w:color="424E6A"/>
            </w:tcBorders>
          </w:tcPr>
          <w:p>
            <w:pPr>
              <w:jc w:val="right"/>
              <w:spacing w:after="0"/>
              <w:rPr>
                <w:sz w:val="20"/>
                <w:szCs w:val="20"/>
                <w:color w:val="auto"/>
              </w:rPr>
            </w:pPr>
            <w:r>
              <w:rPr>
                <w:rFonts w:ascii="Arial" w:cs="Arial" w:eastAsia="Arial" w:hAnsi="Arial"/>
                <w:sz w:val="14"/>
                <w:szCs w:val="14"/>
                <w:color w:val="auto"/>
              </w:rPr>
              <w:t>2,401,749</w:t>
            </w:r>
          </w:p>
        </w:tc>
        <w:tc>
          <w:tcPr>
            <w:tcW w:w="160" w:type="dxa"/>
            <w:vAlign w:val="bottom"/>
            <w:tcBorders>
              <w:bottom w:val="single" w:sz="8" w:color="424E6A"/>
              <w:right w:val="single" w:sz="8" w:color="424E6A"/>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424E6A"/>
            </w:tcBorders>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$ 1,957,177</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424E6A"/>
            </w:tcBorders>
          </w:tcPr>
          <w:p>
            <w:pPr>
              <w:jc w:val="center"/>
              <w:ind w:left="55"/>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429,822</w:t>
            </w:r>
          </w:p>
        </w:tc>
        <w:tc>
          <w:tcPr>
            <w:tcW w:w="16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424E6A"/>
            </w:tcBorders>
          </w:tcPr>
          <w:p>
            <w:pPr>
              <w:spacing w:after="0"/>
              <w:rPr>
                <w:sz w:val="19"/>
                <w:szCs w:val="19"/>
                <w:color w:val="auto"/>
              </w:rPr>
            </w:pPr>
          </w:p>
        </w:tc>
        <w:tc>
          <w:tcPr>
            <w:tcW w:w="120" w:type="dxa"/>
            <w:vAlign w:val="bottom"/>
            <w:tcBorders>
              <w:bottom w:val="single" w:sz="8" w:color="424E6A"/>
            </w:tcBorders>
          </w:tcPr>
          <w:p>
            <w:pPr>
              <w:ind w:left="20"/>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w:t>
            </w:r>
          </w:p>
        </w:tc>
        <w:tc>
          <w:tcPr>
            <w:tcW w:w="640" w:type="dxa"/>
            <w:vAlign w:val="bottom"/>
            <w:tcBorders>
              <w:bottom w:val="single" w:sz="8" w:color="424E6A"/>
              <w:right w:val="single" w:sz="8" w:color="424E6A"/>
            </w:tcBorders>
            <w:gridSpan w:val="2"/>
          </w:tcPr>
          <w:p>
            <w:pPr>
              <w:jc w:val="right"/>
              <w:spacing w:after="0" w:line="223" w:lineRule="exact"/>
              <w:rPr>
                <w:sz w:val="20"/>
                <w:szCs w:val="20"/>
                <w:color w:val="auto"/>
              </w:rPr>
            </w:pPr>
            <w:r>
              <w:rPr>
                <w:rFonts w:ascii="Arial" w:cs="Arial" w:eastAsia="Arial" w:hAnsi="Arial"/>
                <w:sz w:val="13"/>
                <w:szCs w:val="13"/>
                <w:color w:val="auto"/>
              </w:rPr>
              <w:t xml:space="preserve">49.18 </w:t>
            </w:r>
            <w:r>
              <w:rPr>
                <w:rFonts w:ascii="Arial" w:cs="Arial" w:eastAsia="Arial" w:hAnsi="Arial"/>
                <w:sz w:val="25"/>
                <w:szCs w:val="25"/>
                <w:color w:val="auto"/>
                <w:vertAlign w:val="subscript"/>
              </w:rPr>
              <w:t>​ ​</w:t>
            </w:r>
          </w:p>
        </w:tc>
        <w:tc>
          <w:tcPr>
            <w:tcW w:w="200" w:type="dxa"/>
            <w:vAlign w:val="bottom"/>
            <w:tcBorders>
              <w:bottom w:val="single" w:sz="8" w:color="424E6A"/>
            </w:tcBorders>
          </w:tcPr>
          <w:p>
            <w:pPr>
              <w:ind w:left="40"/>
              <w:spacing w:after="0" w:line="223" w:lineRule="exact"/>
              <w:rPr>
                <w:sz w:val="20"/>
                <w:szCs w:val="20"/>
                <w:color w:val="auto"/>
              </w:rPr>
            </w:pPr>
            <w:r>
              <w:rPr>
                <w:rFonts w:ascii="Arial" w:cs="Arial" w:eastAsia="Arial" w:hAnsi="Arial"/>
                <w:sz w:val="13"/>
                <w:szCs w:val="13"/>
                <w:color w:val="auto"/>
              </w:rPr>
              <w:t>​ ​</w:t>
            </w:r>
            <w:r>
              <w:rPr>
                <w:rFonts w:ascii="Arial" w:cs="Arial" w:eastAsia="Arial" w:hAnsi="Arial"/>
                <w:sz w:val="25"/>
                <w:szCs w:val="25"/>
                <w:color w:val="auto"/>
                <w:vertAlign w:val="superscript"/>
              </w:rPr>
              <w:t>$</w:t>
            </w:r>
          </w:p>
        </w:tc>
        <w:tc>
          <w:tcPr>
            <w:tcW w:w="580" w:type="dxa"/>
            <w:vAlign w:val="bottom"/>
            <w:tcBorders>
              <w:bottom w:val="single" w:sz="8" w:color="424E6A"/>
              <w:right w:val="single" w:sz="8" w:color="424E6A"/>
            </w:tcBorders>
          </w:tcPr>
          <w:p>
            <w:pPr>
              <w:jc w:val="right"/>
              <w:ind w:right="74"/>
              <w:spacing w:after="0"/>
              <w:rPr>
                <w:sz w:val="20"/>
                <w:szCs w:val="20"/>
                <w:color w:val="auto"/>
              </w:rPr>
            </w:pPr>
            <w:r>
              <w:rPr>
                <w:rFonts w:ascii="Arial" w:cs="Arial" w:eastAsia="Arial" w:hAnsi="Arial"/>
                <w:sz w:val="14"/>
                <w:szCs w:val="14"/>
                <w:color w:val="auto"/>
              </w:rPr>
              <w:t>76.64</w:t>
            </w:r>
          </w:p>
        </w:tc>
        <w:tc>
          <w:tcPr>
            <w:tcW w:w="100" w:type="dxa"/>
            <w:vAlign w:val="bottom"/>
            <w:tcBorders>
              <w:bottom w:val="single" w:sz="8" w:color="424E6A"/>
            </w:tcBorders>
          </w:tcPr>
          <w:p>
            <w:pPr>
              <w:spacing w:after="0"/>
              <w:rPr>
                <w:sz w:val="19"/>
                <w:szCs w:val="19"/>
                <w:color w:val="auto"/>
              </w:rPr>
            </w:pPr>
          </w:p>
        </w:tc>
        <w:tc>
          <w:tcPr>
            <w:tcW w:w="980" w:type="dxa"/>
            <w:vAlign w:val="bottom"/>
            <w:tcBorders>
              <w:bottom w:val="single" w:sz="8" w:color="424E6A"/>
              <w:right w:val="single" w:sz="8" w:color="424E6A"/>
            </w:tcBorders>
          </w:tcPr>
          <w:p>
            <w:pPr>
              <w:jc w:val="center"/>
              <w:ind w:right="51"/>
              <w:spacing w:after="0"/>
              <w:rPr>
                <w:sz w:val="20"/>
                <w:szCs w:val="20"/>
                <w:color w:val="auto"/>
              </w:rPr>
            </w:pPr>
            <w:r>
              <w:rPr>
                <w:rFonts w:ascii="Arial" w:cs="Arial" w:eastAsia="Arial" w:hAnsi="Arial"/>
                <w:sz w:val="14"/>
                <w:szCs w:val="14"/>
                <w:color w:val="auto"/>
              </w:rPr>
              <w:t>$(2.58 billion)</w:t>
            </w:r>
          </w:p>
        </w:tc>
        <w:tc>
          <w:tcPr>
            <w:tcW w:w="960" w:type="dxa"/>
            <w:vAlign w:val="bottom"/>
            <w:tcBorders>
              <w:bottom w:val="single" w:sz="8" w:color="424E6A"/>
              <w:right w:val="single" w:sz="8" w:color="424E6A"/>
            </w:tcBorders>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$2.55 billion</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20" w:right="880" w:hanging="360"/>
        <w:spacing w:after="0" w:line="210"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For each of the years presented, our PEO is Willie Chiang and our Non-PEO NEOs are Harry Pefanis, Al Swanson, Richard McGee, Chris Chandler and Jeremy Goebel.</w:t>
      </w:r>
    </w:p>
    <w:p>
      <w:pPr>
        <w:spacing w:after="0" w:line="73" w:lineRule="exact"/>
        <w:rPr>
          <w:rFonts w:ascii="Arial" w:cs="Arial" w:eastAsia="Arial" w:hAnsi="Arial"/>
          <w:sz w:val="27"/>
          <w:szCs w:val="27"/>
          <w:color w:val="auto"/>
          <w:vertAlign w:val="superscript"/>
        </w:rPr>
      </w:pPr>
    </w:p>
    <w:p>
      <w:pPr>
        <w:ind w:left="1620" w:right="580" w:hanging="360"/>
        <w:spacing w:after="0" w:line="232"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p>
    <w:p>
      <w:pPr>
        <w:spacing w:after="0" w:line="60" w:lineRule="exact"/>
        <w:rPr>
          <w:rFonts w:ascii="Arial" w:cs="Arial" w:eastAsia="Arial" w:hAnsi="Arial"/>
          <w:sz w:val="27"/>
          <w:szCs w:val="27"/>
          <w:color w:val="auto"/>
          <w:vertAlign w:val="superscript"/>
        </w:rPr>
      </w:pPr>
    </w:p>
    <w:p>
      <w:pPr>
        <w:ind w:left="1620" w:right="600" w:hanging="360"/>
        <w:spacing w:after="0" w:line="228" w:lineRule="auto"/>
        <w:tabs>
          <w:tab w:leader="none" w:pos="1620" w:val="left"/>
        </w:tabs>
        <w:numPr>
          <w:ilvl w:val="0"/>
          <w:numId w:val="76"/>
        </w:numPr>
        <w:rPr>
          <w:rFonts w:ascii="Arial" w:cs="Arial" w:eastAsia="Arial" w:hAnsi="Arial"/>
          <w:sz w:val="27"/>
          <w:szCs w:val="27"/>
          <w:color w:val="auto"/>
          <w:vertAlign w:val="superscript"/>
        </w:rPr>
      </w:pPr>
      <w:r>
        <w:rPr>
          <w:rFonts w:ascii="Arial" w:cs="Arial" w:eastAsia="Arial" w:hAnsi="Arial"/>
          <w:sz w:val="18"/>
          <w:szCs w:val="18"/>
          <w:color w:val="auto"/>
        </w:rPr>
        <w:t>TSR figures assume an initial investment of $100 in PAA on December 31, 2019. The peer group referenced for purposes of the TSR comparison is the group of companies included in the Alerian Midstream Energy Index, which is the same index used for purposes of Item 201(e) of Regulation S-K.</w:t>
      </w:r>
    </w:p>
    <w:p>
      <w:pPr>
        <w:spacing w:after="0" w:line="128" w:lineRule="exact"/>
        <w:rPr>
          <w:sz w:val="20"/>
          <w:szCs w:val="20"/>
          <w:color w:val="auto"/>
        </w:rPr>
      </w:pPr>
    </w:p>
    <w:p>
      <w:pPr>
        <w:ind w:left="1260" w:right="620" w:firstLine="360"/>
        <w:spacing w:after="0" w:line="287" w:lineRule="auto"/>
        <w:rPr>
          <w:sz w:val="20"/>
          <w:szCs w:val="20"/>
          <w:color w:val="auto"/>
        </w:rPr>
      </w:pPr>
      <w:r>
        <w:rPr>
          <w:rFonts w:ascii="Arial" w:cs="Arial" w:eastAsia="Arial" w:hAnsi="Arial"/>
          <w:sz w:val="18"/>
          <w:szCs w:val="18"/>
          <w:color w:val="auto"/>
        </w:rPr>
        <w:t>The adjustments made to the Summary Compensation Table (“SCT”) amounts to determine CAP are shown in the tables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080" w:type="dxa"/>
            <w:vAlign w:val="bottom"/>
            <w:tcBorders>
              <w:left w:val="single" w:sz="8" w:color="424E6A"/>
            </w:tcBorders>
            <w:shd w:val="clear" w:color="auto" w:fill="424E6A"/>
          </w:tcPr>
          <w:p>
            <w:pPr>
              <w:spacing w:after="0"/>
              <w:rPr>
                <w:sz w:val="17"/>
                <w:szCs w:val="17"/>
                <w:color w:val="auto"/>
              </w:rPr>
            </w:pPr>
          </w:p>
        </w:tc>
        <w:tc>
          <w:tcPr>
            <w:tcW w:w="700" w:type="dxa"/>
            <w:vAlign w:val="bottom"/>
            <w:tcBorders>
              <w:right w:val="single" w:sz="8" w:color="424E6A"/>
            </w:tcBorders>
            <w:shd w:val="clear" w:color="auto" w:fill="424E6A"/>
          </w:tcPr>
          <w:p>
            <w:pPr>
              <w:spacing w:after="0"/>
              <w:rPr>
                <w:sz w:val="17"/>
                <w:szCs w:val="17"/>
                <w:color w:val="auto"/>
              </w:rPr>
            </w:pPr>
          </w:p>
        </w:tc>
        <w:tc>
          <w:tcPr>
            <w:tcW w:w="1120" w:type="dxa"/>
            <w:vAlign w:val="bottom"/>
            <w:tcBorders>
              <w:right w:val="single" w:sz="8" w:color="424E6A"/>
            </w:tcBorders>
            <w:shd w:val="clear" w:color="auto" w:fill="424E6A"/>
          </w:tcPr>
          <w:p>
            <w:pPr>
              <w:spacing w:after="0"/>
              <w:rPr>
                <w:sz w:val="17"/>
                <w:szCs w:val="17"/>
                <w:color w:val="auto"/>
              </w:rPr>
            </w:pPr>
          </w:p>
        </w:tc>
        <w:tc>
          <w:tcPr>
            <w:tcW w:w="4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52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200" w:type="dxa"/>
            <w:vAlign w:val="bottom"/>
            <w:tcBorders>
              <w:right w:val="single" w:sz="8" w:color="424E6A"/>
            </w:tcBorders>
            <w:shd w:val="clear" w:color="auto" w:fill="424E6A"/>
          </w:tcPr>
          <w:p>
            <w:pPr>
              <w:spacing w:after="0"/>
              <w:rPr>
                <w:sz w:val="17"/>
                <w:szCs w:val="17"/>
                <w:color w:val="auto"/>
              </w:rPr>
            </w:pPr>
          </w:p>
        </w:tc>
      </w:tr>
      <w:tr>
        <w:trPr>
          <w:trHeight w:val="162"/>
        </w:trPr>
        <w:tc>
          <w:tcPr>
            <w:tcW w:w="1080" w:type="dxa"/>
            <w:vAlign w:val="bottom"/>
            <w:tcBorders>
              <w:left w:val="single" w:sz="8" w:color="424E6A"/>
            </w:tcBorders>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162"/>
        </w:trPr>
        <w:tc>
          <w:tcPr>
            <w:tcW w:w="1080" w:type="dxa"/>
            <w:vAlign w:val="bottom"/>
            <w:tcBorders>
              <w:left w:val="single" w:sz="8" w:color="424E6A"/>
            </w:tcBorders>
            <w:shd w:val="clear" w:color="auto" w:fill="424E6A"/>
          </w:tcPr>
          <w:p>
            <w:pPr>
              <w:spacing w:after="0"/>
              <w:rPr>
                <w:sz w:val="14"/>
                <w:szCs w:val="14"/>
                <w:color w:val="auto"/>
              </w:rPr>
            </w:pPr>
          </w:p>
        </w:tc>
        <w:tc>
          <w:tcPr>
            <w:tcW w:w="70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 SEC</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212"/>
        </w:trPr>
        <w:tc>
          <w:tcPr>
            <w:tcW w:w="108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2320" w:type="dxa"/>
            <w:vAlign w:val="bottom"/>
            <w:gridSpan w:val="4"/>
            <w:shd w:val="clear" w:color="auto" w:fill="424E6A"/>
          </w:tcPr>
          <w:p>
            <w:pPr>
              <w:ind w:left="62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the Year</w:t>
            </w:r>
          </w:p>
        </w:tc>
        <w:tc>
          <w:tcPr>
            <w:tcW w:w="54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 ​  ​ ​</w:t>
            </w: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Methodology</w:t>
            </w:r>
          </w:p>
        </w:tc>
        <w:tc>
          <w:tcPr>
            <w:tcW w:w="164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6"/>
        </w:trPr>
        <w:tc>
          <w:tcPr>
            <w:tcW w:w="10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​2023</w:t>
            </w:r>
          </w:p>
        </w:tc>
        <w:tc>
          <w:tcPr>
            <w:tcW w:w="700" w:type="dxa"/>
            <w:vAlign w:val="bottom"/>
            <w:tcBorders>
              <w:bottom w:val="single" w:sz="8" w:color="424E6A"/>
              <w:right w:val="single" w:sz="8" w:color="424E6A"/>
            </w:tcBorders>
          </w:tcPr>
          <w:p>
            <w:pPr>
              <w:ind w:left="6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​​$7,453,919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​$3,658,279</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​$12,632,132</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​​$16,427,772</w:t>
            </w:r>
          </w:p>
        </w:tc>
      </w:tr>
    </w:tbl>
    <w:p>
      <w:pPr>
        <w:spacing w:after="0" w:line="157" w:lineRule="exact"/>
        <w:rPr>
          <w:sz w:val="20"/>
          <w:szCs w:val="20"/>
          <w:color w:val="auto"/>
        </w:rPr>
      </w:pPr>
    </w:p>
    <w:p>
      <w:pPr>
        <w:ind w:left="1620" w:right="419" w:hanging="360"/>
        <w:spacing w:after="0" w:line="235" w:lineRule="auto"/>
        <w:tabs>
          <w:tab w:leader="none" w:pos="1620" w:val="left"/>
        </w:tabs>
        <w:numPr>
          <w:ilvl w:val="0"/>
          <w:numId w:val="77"/>
        </w:numPr>
        <w:rPr>
          <w:rFonts w:ascii="Arial" w:cs="Arial" w:eastAsia="Arial" w:hAnsi="Arial"/>
          <w:sz w:val="27"/>
          <w:szCs w:val="27"/>
          <w:color w:val="auto"/>
          <w:vertAlign w:val="superscript"/>
        </w:rPr>
      </w:pPr>
      <w:r>
        <w:rPr>
          <w:rFonts w:ascii="Arial" w:cs="Arial" w:eastAsia="Arial" w:hAnsi="Arial"/>
          <w:sz w:val="18"/>
          <w:szCs w:val="18"/>
          <w:color w:val="auto"/>
        </w:rPr>
        <w:t>As shown in the table, the CAP total represents the SCT total for the covered fiscal year, but adjusted as required by SEC rules to replace the grant date fair value of awards granted during the covered fiscal year with the fair value of current and prior year equity awards that were outstanding at the end of the covered fiscal year or that vested or were forfeited during the covered fiscal year. Our NEOs do not participate in a defined benefit plan; therefore, no adjustment for pension benefits is included.</w:t>
      </w:r>
    </w:p>
    <w:p>
      <w:pPr>
        <w:spacing w:after="0" w:line="114" w:lineRule="exact"/>
        <w:rPr>
          <w:sz w:val="20"/>
          <w:szCs w:val="20"/>
          <w:color w:val="auto"/>
        </w:rPr>
      </w:pPr>
    </w:p>
    <w:p>
      <w:pPr>
        <w:ind w:left="1260" w:right="739" w:firstLine="360"/>
        <w:spacing w:after="0" w:line="287" w:lineRule="auto"/>
        <w:rPr>
          <w:sz w:val="20"/>
          <w:szCs w:val="20"/>
          <w:color w:val="auto"/>
        </w:rPr>
      </w:pPr>
      <w:r>
        <w:rPr>
          <w:rFonts w:ascii="Arial" w:cs="Arial" w:eastAsia="Arial" w:hAnsi="Arial"/>
          <w:sz w:val="18"/>
          <w:szCs w:val="18"/>
          <w:color w:val="auto"/>
        </w:rPr>
        <w:t>The calculation of the fair value of equity for the PEO for the covered fiscal year is shown in the following table:</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PEO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840" w:type="dxa"/>
            <w:vAlign w:val="bottom"/>
            <w:tcBorders>
              <w:left w:val="single" w:sz="8" w:color="424E6A"/>
              <w:right w:val="single" w:sz="8" w:color="424E6A"/>
            </w:tcBorders>
            <w:shd w:val="clear" w:color="auto" w:fill="424E6A"/>
          </w:tcPr>
          <w:p>
            <w:pPr>
              <w:spacing w:after="0"/>
              <w:rPr>
                <w:sz w:val="17"/>
                <w:szCs w:val="17"/>
                <w:color w:val="auto"/>
              </w:rPr>
            </w:pPr>
          </w:p>
        </w:tc>
        <w:tc>
          <w:tcPr>
            <w:tcW w:w="118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4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7"/>
                <w:szCs w:val="17"/>
                <w:color w:val="auto"/>
              </w:rPr>
            </w:pPr>
          </w:p>
        </w:tc>
        <w:tc>
          <w:tcPr>
            <w:tcW w:w="16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920" w:type="dxa"/>
            <w:vAlign w:val="bottom"/>
            <w:shd w:val="clear" w:color="auto" w:fill="424E6A"/>
          </w:tcPr>
          <w:p>
            <w:pPr>
              <w:spacing w:after="0"/>
              <w:rPr>
                <w:sz w:val="17"/>
                <w:szCs w:val="17"/>
                <w:color w:val="auto"/>
              </w:rPr>
            </w:pPr>
          </w:p>
        </w:tc>
        <w:tc>
          <w:tcPr>
            <w:tcW w:w="12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200" w:type="dxa"/>
            <w:vAlign w:val="bottom"/>
            <w:tcBorders>
              <w:right w:val="single" w:sz="8" w:color="424E6A"/>
            </w:tcBorders>
            <w:shd w:val="clear" w:color="auto" w:fill="424E6A"/>
          </w:tcPr>
          <w:p>
            <w:pPr>
              <w:spacing w:after="0"/>
              <w:rPr>
                <w:sz w:val="17"/>
                <w:szCs w:val="17"/>
                <w:color w:val="auto"/>
              </w:rPr>
            </w:pPr>
          </w:p>
        </w:tc>
      </w:tr>
      <w:tr>
        <w:trPr>
          <w:trHeight w:val="162"/>
        </w:trPr>
        <w:tc>
          <w:tcPr>
            <w:tcW w:w="84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162"/>
        </w:trPr>
        <w:tc>
          <w:tcPr>
            <w:tcW w:w="84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YE Fair Value of</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spacing w:after="0"/>
              <w:rPr>
                <w:sz w:val="14"/>
                <w:szCs w:val="14"/>
                <w:color w:val="auto"/>
              </w:rPr>
            </w:pPr>
          </w:p>
        </w:tc>
      </w:tr>
      <w:tr>
        <w:trPr>
          <w:trHeight w:val="162"/>
        </w:trPr>
        <w:tc>
          <w:tcPr>
            <w:tcW w:w="84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ind w:left="5"/>
              <w:spacing w:after="0"/>
              <w:rPr>
                <w:sz w:val="20"/>
                <w:szCs w:val="20"/>
                <w:color w:val="auto"/>
              </w:rPr>
            </w:pPr>
            <w:r>
              <w:rPr>
                <w:rFonts w:ascii="Arial" w:cs="Arial" w:eastAsia="Arial" w:hAnsi="Arial"/>
                <w:sz w:val="14"/>
                <w:szCs w:val="14"/>
                <w:b w:val="1"/>
                <w:bCs w:val="1"/>
                <w:color w:val="FFFFFF"/>
              </w:rPr>
              <w:t>Current Year</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Fair Value of</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84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DERs Paid</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84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4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20" w:type="dxa"/>
            <w:vAlign w:val="bottom"/>
            <w:tcBorders>
              <w:right w:val="single" w:sz="8" w:color="424E6A"/>
            </w:tcBorders>
            <w:shd w:val="clear" w:color="auto" w:fill="424E6A"/>
          </w:tcPr>
          <w:p>
            <w:pPr>
              <w:spacing w:after="0"/>
              <w:rPr>
                <w:sz w:val="14"/>
                <w:szCs w:val="14"/>
                <w:color w:val="auto"/>
              </w:rPr>
            </w:pPr>
          </w:p>
        </w:tc>
        <w:tc>
          <w:tcPr>
            <w:tcW w:w="1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During the</w:t>
            </w:r>
          </w:p>
        </w:tc>
        <w:tc>
          <w:tcPr>
            <w:tcW w:w="12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2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CAP</w:t>
            </w:r>
          </w:p>
        </w:tc>
      </w:tr>
      <w:tr>
        <w:trPr>
          <w:trHeight w:val="212"/>
        </w:trPr>
        <w:tc>
          <w:tcPr>
            <w:tcW w:w="840" w:type="dxa"/>
            <w:vAlign w:val="bottom"/>
            <w:tcBorders>
              <w:left w:val="single" w:sz="8" w:color="424E6A"/>
              <w:righ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1180" w:type="dxa"/>
            <w:vAlign w:val="bottom"/>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at YE</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1560" w:type="dxa"/>
            <w:vAlign w:val="bottom"/>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the Year</w:t>
            </w:r>
          </w:p>
        </w:tc>
        <w:tc>
          <w:tcPr>
            <w:tcW w:w="28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 ​</w:t>
            </w:r>
          </w:p>
        </w:tc>
        <w:tc>
          <w:tcPr>
            <w:tcW w:w="240" w:type="dxa"/>
            <w:vAlign w:val="bottom"/>
            <w:gridSpan w:val="2"/>
            <w:shd w:val="clear" w:color="auto" w:fill="424E6A"/>
          </w:tcPr>
          <w:p>
            <w:pPr>
              <w:ind w:left="80"/>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620" w:type="dxa"/>
            <w:vAlign w:val="bottom"/>
            <w:tcBorders>
              <w:right w:val="single" w:sz="8" w:color="424E6A"/>
            </w:tcBorders>
            <w:gridSpan w:val="3"/>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6"/>
        </w:trPr>
        <w:tc>
          <w:tcPr>
            <w:tcW w:w="840" w:type="dxa"/>
            <w:vAlign w:val="bottom"/>
            <w:tcBorders>
              <w:left w:val="single" w:sz="8" w:color="424E6A"/>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​2023</w:t>
            </w:r>
          </w:p>
        </w:tc>
        <w:tc>
          <w:tcPr>
            <w:tcW w:w="1180" w:type="dxa"/>
            <w:vAlign w:val="bottom"/>
            <w:tcBorders>
              <w:bottom w:val="single" w:sz="8" w:color="424E6A"/>
            </w:tcBorders>
          </w:tcPr>
          <w:p>
            <w:pPr>
              <w:jc w:val="center"/>
              <w:ind w:left="25"/>
              <w:spacing w:after="0"/>
              <w:rPr>
                <w:sz w:val="20"/>
                <w:szCs w:val="20"/>
                <w:color w:val="auto"/>
              </w:rPr>
            </w:pPr>
            <w:r>
              <w:rPr>
                <w:rFonts w:ascii="Arial" w:cs="Arial" w:eastAsia="Arial" w:hAnsi="Arial"/>
                <w:sz w:val="18"/>
                <w:szCs w:val="18"/>
                <w:color w:val="auto"/>
                <w:w w:val="96"/>
              </w:rPr>
              <w:t>​$ 3,510,732</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4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​$6,016,326 ​​</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60" w:type="dxa"/>
            <w:vAlign w:val="bottom"/>
            <w:tcBorders>
              <w:bottom w:val="single" w:sz="8" w:color="424E6A"/>
              <w:right w:val="single" w:sz="8" w:color="424E6A"/>
            </w:tcBorders>
            <w:gridSpan w:val="2"/>
          </w:tcPr>
          <w:p>
            <w:pPr>
              <w:ind w:left="60"/>
              <w:spacing w:after="0"/>
              <w:rPr>
                <w:sz w:val="20"/>
                <w:szCs w:val="20"/>
                <w:color w:val="auto"/>
              </w:rPr>
            </w:pPr>
            <w:r>
              <w:rPr>
                <w:rFonts w:ascii="Arial" w:cs="Arial" w:eastAsia="Arial" w:hAnsi="Arial"/>
                <w:sz w:val="18"/>
                <w:szCs w:val="18"/>
                <w:color w:val="auto"/>
              </w:rPr>
              <w:t>​ ​$1,718,016 ​​</w:t>
            </w:r>
          </w:p>
        </w:tc>
        <w:tc>
          <w:tcPr>
            <w:tcW w:w="300" w:type="dxa"/>
            <w:vAlign w:val="bottom"/>
            <w:tcBorders>
              <w:bottom w:val="single" w:sz="8" w:color="424E6A"/>
              <w:right w:val="single" w:sz="8" w:color="424E6A"/>
            </w:tcBorders>
            <w:gridSpan w:val="2"/>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4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​​$1,387,058 ​</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​​$12,632,132</w:t>
            </w:r>
          </w:p>
        </w:tc>
      </w:tr>
    </w:tbl>
    <w:p>
      <w:pPr>
        <w:spacing w:after="0" w:line="157" w:lineRule="exact"/>
        <w:rPr>
          <w:sz w:val="20"/>
          <w:szCs w:val="20"/>
          <w:color w:val="auto"/>
        </w:rPr>
      </w:pPr>
    </w:p>
    <w:p>
      <w:pPr>
        <w:ind w:left="1620" w:right="539" w:hanging="360"/>
        <w:spacing w:after="0" w:line="222" w:lineRule="auto"/>
        <w:tabs>
          <w:tab w:leader="none" w:pos="1620" w:val="left"/>
        </w:tabs>
        <w:numPr>
          <w:ilvl w:val="0"/>
          <w:numId w:val="78"/>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Additionally, no equity awards granted in any prior fiscal year failed to meet applicable vesting conditions or were forfeited during the covered fiscal year.</w:t>
      </w:r>
    </w:p>
    <w:p>
      <w:pPr>
        <w:spacing w:after="0" w:line="9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Reconciliation of SCT Total to CAP Total</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1120" w:type="dxa"/>
            <w:vAlign w:val="bottom"/>
            <w:tcBorders>
              <w:left w:val="single" w:sz="8" w:color="424E6A"/>
            </w:tcBorders>
            <w:shd w:val="clear" w:color="auto" w:fill="424E6A"/>
          </w:tcPr>
          <w:p>
            <w:pPr>
              <w:spacing w:after="0"/>
              <w:rPr>
                <w:sz w:val="17"/>
                <w:szCs w:val="17"/>
                <w:color w:val="auto"/>
              </w:rPr>
            </w:pPr>
          </w:p>
        </w:tc>
        <w:tc>
          <w:tcPr>
            <w:tcW w:w="740" w:type="dxa"/>
            <w:vAlign w:val="bottom"/>
            <w:tcBorders>
              <w:right w:val="single" w:sz="8" w:color="424E6A"/>
            </w:tcBorders>
            <w:shd w:val="clear" w:color="auto" w:fill="424E6A"/>
          </w:tcPr>
          <w:p>
            <w:pPr>
              <w:spacing w:after="0"/>
              <w:rPr>
                <w:sz w:val="17"/>
                <w:szCs w:val="17"/>
                <w:color w:val="auto"/>
              </w:rPr>
            </w:pPr>
          </w:p>
        </w:tc>
        <w:tc>
          <w:tcPr>
            <w:tcW w:w="1140" w:type="dxa"/>
            <w:vAlign w:val="bottom"/>
            <w:tcBorders>
              <w:right w:val="single" w:sz="8" w:color="424E6A"/>
            </w:tcBorders>
            <w:shd w:val="clear" w:color="auto" w:fill="424E6A"/>
          </w:tcPr>
          <w:p>
            <w:pPr>
              <w:spacing w:after="0"/>
              <w:rPr>
                <w:sz w:val="17"/>
                <w:szCs w:val="17"/>
                <w:color w:val="auto"/>
              </w:rPr>
            </w:pPr>
          </w:p>
        </w:tc>
        <w:tc>
          <w:tcPr>
            <w:tcW w:w="40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52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100" w:type="dxa"/>
            <w:vAlign w:val="bottom"/>
            <w:tcBorders>
              <w:right w:val="single" w:sz="8" w:color="424E6A"/>
            </w:tcBorders>
            <w:shd w:val="clear" w:color="auto" w:fill="424E6A"/>
          </w:tcPr>
          <w:p>
            <w:pPr>
              <w:spacing w:after="0"/>
              <w:rPr>
                <w:sz w:val="17"/>
                <w:szCs w:val="17"/>
                <w:color w:val="auto"/>
              </w:rPr>
            </w:pPr>
          </w:p>
        </w:tc>
      </w:tr>
      <w:tr>
        <w:trPr>
          <w:trHeight w:val="162"/>
        </w:trPr>
        <w:tc>
          <w:tcPr>
            <w:tcW w:w="1120" w:type="dxa"/>
            <w:vAlign w:val="bottom"/>
            <w:tcBorders>
              <w:lef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of Awards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 Equity</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00" w:type="dxa"/>
            <w:vAlign w:val="bottom"/>
            <w:tcBorders>
              <w:right w:val="single" w:sz="8" w:color="424E6A"/>
            </w:tcBorders>
            <w:shd w:val="clear" w:color="auto" w:fill="424E6A"/>
          </w:tcPr>
          <w:p>
            <w:pPr>
              <w:spacing w:after="0"/>
              <w:rPr>
                <w:sz w:val="14"/>
                <w:szCs w:val="14"/>
                <w:color w:val="auto"/>
              </w:rPr>
            </w:pPr>
          </w:p>
        </w:tc>
      </w:tr>
      <w:tr>
        <w:trPr>
          <w:trHeight w:val="162"/>
        </w:trPr>
        <w:tc>
          <w:tcPr>
            <w:tcW w:w="1120" w:type="dxa"/>
            <w:vAlign w:val="bottom"/>
            <w:tcBorders>
              <w:left w:val="single" w:sz="8" w:color="424E6A"/>
            </w:tcBorders>
            <w:shd w:val="clear" w:color="auto" w:fill="424E6A"/>
          </w:tcPr>
          <w:p>
            <w:pPr>
              <w:spacing w:after="0"/>
              <w:rPr>
                <w:sz w:val="14"/>
                <w:szCs w:val="14"/>
                <w:color w:val="auto"/>
              </w:rPr>
            </w:pPr>
          </w:p>
        </w:tc>
        <w:tc>
          <w:tcPr>
            <w:tcW w:w="740" w:type="dxa"/>
            <w:vAlign w:val="bottom"/>
            <w:tcBorders>
              <w:right w:val="single" w:sz="8" w:color="424E6A"/>
            </w:tcBorders>
            <w:shd w:val="clear" w:color="auto" w:fill="424E6A"/>
          </w:tcPr>
          <w:p>
            <w:pPr>
              <w:spacing w:after="0"/>
              <w:rPr>
                <w:sz w:val="14"/>
                <w:szCs w:val="14"/>
                <w:color w:val="auto"/>
              </w:rPr>
            </w:pPr>
          </w:p>
        </w:tc>
        <w:tc>
          <w:tcPr>
            <w:tcW w:w="1140" w:type="dxa"/>
            <w:vAlign w:val="bottom"/>
            <w:tcBorders>
              <w:right w:val="single" w:sz="8" w:color="424E6A"/>
            </w:tcBorders>
            <w:shd w:val="clear" w:color="auto" w:fill="424E6A"/>
          </w:tcPr>
          <w:p>
            <w:pPr>
              <w:spacing w:after="0"/>
              <w:rPr>
                <w:sz w:val="14"/>
                <w:szCs w:val="14"/>
                <w:color w:val="auto"/>
              </w:rPr>
            </w:pPr>
          </w:p>
        </w:tc>
        <w:tc>
          <w:tcPr>
            <w:tcW w:w="40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Granted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Calculated Using SEC</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100" w:type="dxa"/>
            <w:vAlign w:val="bottom"/>
            <w:tcBorders>
              <w:right w:val="single" w:sz="8" w:color="424E6A"/>
            </w:tcBorders>
            <w:shd w:val="clear" w:color="auto" w:fill="424E6A"/>
          </w:tcPr>
          <w:p>
            <w:pPr>
              <w:spacing w:after="0"/>
              <w:rPr>
                <w:sz w:val="14"/>
                <w:szCs w:val="14"/>
                <w:color w:val="auto"/>
              </w:rPr>
            </w:pPr>
          </w:p>
        </w:tc>
      </w:tr>
      <w:tr>
        <w:trPr>
          <w:trHeight w:val="212"/>
        </w:trPr>
        <w:tc>
          <w:tcPr>
            <w:tcW w:w="112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2360" w:type="dxa"/>
            <w:vAlign w:val="bottom"/>
            <w:gridSpan w:val="4"/>
            <w:shd w:val="clear" w:color="auto" w:fill="424E6A"/>
          </w:tcPr>
          <w:p>
            <w:pPr>
              <w:ind w:left="6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SCT Total  </w:t>
            </w:r>
            <w:r>
              <w:rPr>
                <w:rFonts w:ascii="Arial" w:cs="Arial" w:eastAsia="Arial" w:hAnsi="Arial"/>
                <w:sz w:val="22"/>
                <w:szCs w:val="22"/>
                <w:b w:val="1"/>
                <w:bCs w:val="1"/>
                <w:color w:val="FFFFFF"/>
                <w:vertAlign w:val="subscript"/>
              </w:rPr>
              <w:t>​ ​   ​ ​</w:t>
            </w:r>
          </w:p>
        </w:tc>
        <w:tc>
          <w:tcPr>
            <w:tcW w:w="1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5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Methodology</w:t>
            </w:r>
          </w:p>
        </w:tc>
        <w:tc>
          <w:tcPr>
            <w:tcW w:w="1540" w:type="dxa"/>
            <w:vAlign w:val="bottom"/>
            <w:tcBorders>
              <w:right w:val="single" w:sz="8" w:color="424E6A"/>
            </w:tcBorders>
            <w:gridSpan w:val="3"/>
            <w:shd w:val="clear" w:color="auto" w:fill="424E6A"/>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CAP Total</w:t>
            </w:r>
          </w:p>
        </w:tc>
      </w:tr>
      <w:tr>
        <w:trPr>
          <w:trHeight w:val="256"/>
        </w:trPr>
        <w:tc>
          <w:tcPr>
            <w:tcW w:w="112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​2023</w:t>
            </w:r>
          </w:p>
        </w:tc>
        <w:tc>
          <w:tcPr>
            <w:tcW w:w="740" w:type="dxa"/>
            <w:vAlign w:val="bottom"/>
            <w:tcBorders>
              <w:bottom w:val="single" w:sz="8" w:color="424E6A"/>
              <w:right w:val="single" w:sz="8" w:color="424E6A"/>
            </w:tcBorders>
          </w:tcPr>
          <w:p>
            <w:pPr>
              <w:ind w:left="6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right w:val="single" w:sz="8" w:color="424E6A"/>
            </w:tcBorders>
          </w:tcPr>
          <w:p>
            <w:pPr>
              <w:ind w:left="60"/>
              <w:spacing w:after="0"/>
              <w:rPr>
                <w:sz w:val="20"/>
                <w:szCs w:val="20"/>
                <w:color w:val="auto"/>
              </w:rPr>
            </w:pPr>
            <w:r>
              <w:rPr>
                <w:rFonts w:ascii="Arial" w:cs="Arial" w:eastAsia="Arial" w:hAnsi="Arial"/>
                <w:sz w:val="18"/>
                <w:szCs w:val="18"/>
                <w:color w:val="auto"/>
              </w:rPr>
              <w:t>​​$2,949,247 ​</w:t>
            </w:r>
          </w:p>
        </w:tc>
        <w:tc>
          <w:tcPr>
            <w:tcW w:w="4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​$1,055,607</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​$4,560,929</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0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​​$6,454,569</w:t>
            </w:r>
          </w:p>
        </w:tc>
      </w:tr>
    </w:tbl>
    <w:p>
      <w:pPr>
        <w:spacing w:after="0" w:line="157" w:lineRule="exact"/>
        <w:rPr>
          <w:sz w:val="20"/>
          <w:szCs w:val="20"/>
          <w:color w:val="auto"/>
        </w:rPr>
      </w:pPr>
    </w:p>
    <w:p>
      <w:pPr>
        <w:ind w:left="1620" w:right="459" w:hanging="360"/>
        <w:spacing w:after="0" w:line="210" w:lineRule="auto"/>
        <w:tabs>
          <w:tab w:leader="none" w:pos="1620" w:val="left"/>
        </w:tabs>
        <w:numPr>
          <w:ilvl w:val="0"/>
          <w:numId w:val="79"/>
        </w:numPr>
        <w:rPr>
          <w:rFonts w:ascii="Arial" w:cs="Arial" w:eastAsia="Arial" w:hAnsi="Arial"/>
          <w:sz w:val="27"/>
          <w:szCs w:val="27"/>
          <w:color w:val="auto"/>
          <w:vertAlign w:val="superscript"/>
        </w:rPr>
      </w:pPr>
      <w:r>
        <w:rPr>
          <w:rFonts w:ascii="Arial" w:cs="Arial" w:eastAsia="Arial" w:hAnsi="Arial"/>
          <w:sz w:val="18"/>
          <w:szCs w:val="18"/>
          <w:color w:val="auto"/>
        </w:rPr>
        <w:t>The CAP total figures were calculated using the same methodology described in footnote (a) to the “PEO — Reconciliation of SCT Total to CAP Total” table shown above.</w:t>
      </w:r>
    </w:p>
    <w:p>
      <w:pPr>
        <w:spacing w:after="0" w:line="128" w:lineRule="exact"/>
        <w:rPr>
          <w:sz w:val="20"/>
          <w:szCs w:val="20"/>
          <w:color w:val="auto"/>
        </w:rPr>
      </w:pPr>
    </w:p>
    <w:p>
      <w:pPr>
        <w:ind w:left="1260" w:right="879" w:firstLine="360"/>
        <w:spacing w:after="0" w:line="287" w:lineRule="auto"/>
        <w:rPr>
          <w:sz w:val="20"/>
          <w:szCs w:val="20"/>
          <w:color w:val="auto"/>
        </w:rPr>
      </w:pPr>
      <w:r>
        <w:rPr>
          <w:rFonts w:ascii="Arial" w:cs="Arial" w:eastAsia="Arial" w:hAnsi="Arial"/>
          <w:sz w:val="18"/>
          <w:szCs w:val="18"/>
          <w:color w:val="auto"/>
        </w:rPr>
        <w:t>The calculation of the fair value of equity for the Non-PEO NEOs for the covered fiscal year is shown in the following table:</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Non-PEO NEOs (Average) — CAP Fair Value of Equity Calculation</w:t>
      </w:r>
      <w:r>
        <w:rPr>
          <w:rFonts w:ascii="Arial" w:cs="Arial" w:eastAsia="Arial" w:hAnsi="Arial"/>
          <w:sz w:val="26"/>
          <w:szCs w:val="26"/>
          <w:u w:val="single" w:color="auto"/>
          <w:color w:val="auto"/>
          <w:vertAlign w:val="superscript"/>
        </w:rPr>
        <w:t>(a)</w:t>
      </w:r>
    </w:p>
    <w:p>
      <w:pPr>
        <w:spacing w:after="0" w:line="15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960" w:type="dxa"/>
            <w:vAlign w:val="bottom"/>
            <w:tcBorders>
              <w:left w:val="single" w:sz="8" w:color="424E6A"/>
              <w:right w:val="single" w:sz="8" w:color="424E6A"/>
            </w:tcBorders>
            <w:shd w:val="clear" w:color="auto" w:fill="424E6A"/>
          </w:tcPr>
          <w:p>
            <w:pPr>
              <w:spacing w:after="0"/>
              <w:rPr>
                <w:sz w:val="17"/>
                <w:szCs w:val="17"/>
                <w:color w:val="auto"/>
              </w:rPr>
            </w:pPr>
          </w:p>
        </w:tc>
        <w:tc>
          <w:tcPr>
            <w:tcW w:w="118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4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80" w:type="dxa"/>
            <w:vAlign w:val="bottom"/>
            <w:shd w:val="clear" w:color="auto" w:fill="424E6A"/>
          </w:tcPr>
          <w:p>
            <w:pPr>
              <w:spacing w:after="0"/>
              <w:rPr>
                <w:sz w:val="17"/>
                <w:szCs w:val="17"/>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40" w:type="dxa"/>
            <w:vAlign w:val="bottom"/>
            <w:tcBorders>
              <w:right w:val="single" w:sz="8" w:color="424E6A"/>
            </w:tcBorders>
            <w:shd w:val="clear" w:color="auto" w:fill="424E6A"/>
          </w:tcPr>
          <w:p>
            <w:pPr>
              <w:spacing w:after="0"/>
              <w:rPr>
                <w:sz w:val="17"/>
                <w:szCs w:val="17"/>
                <w:color w:val="auto"/>
              </w:rPr>
            </w:pPr>
          </w:p>
        </w:tc>
        <w:tc>
          <w:tcPr>
            <w:tcW w:w="30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900" w:type="dxa"/>
            <w:vAlign w:val="bottom"/>
            <w:shd w:val="clear" w:color="auto" w:fill="424E6A"/>
          </w:tcPr>
          <w:p>
            <w:pPr>
              <w:spacing w:after="0"/>
              <w:rPr>
                <w:sz w:val="17"/>
                <w:szCs w:val="17"/>
                <w:color w:val="auto"/>
              </w:rPr>
            </w:pPr>
          </w:p>
        </w:tc>
        <w:tc>
          <w:tcPr>
            <w:tcW w:w="100" w:type="dxa"/>
            <w:vAlign w:val="bottom"/>
            <w:tcBorders>
              <w:right w:val="single" w:sz="8" w:color="424E6A"/>
            </w:tcBorders>
            <w:shd w:val="clear" w:color="auto" w:fill="424E6A"/>
          </w:tcPr>
          <w:p>
            <w:pPr>
              <w:spacing w:after="0"/>
              <w:rPr>
                <w:sz w:val="17"/>
                <w:szCs w:val="17"/>
                <w:color w:val="auto"/>
              </w:rPr>
            </w:pPr>
          </w:p>
        </w:tc>
        <w:tc>
          <w:tcPr>
            <w:tcW w:w="320" w:type="dxa"/>
            <w:vAlign w:val="bottom"/>
            <w:tcBorders>
              <w:right w:val="single" w:sz="8" w:color="424E6A"/>
            </w:tcBorders>
            <w:shd w:val="clear" w:color="auto" w:fill="424E6A"/>
          </w:tcPr>
          <w:p>
            <w:pPr>
              <w:spacing w:after="0"/>
              <w:rPr>
                <w:sz w:val="17"/>
                <w:szCs w:val="17"/>
                <w:color w:val="auto"/>
              </w:rPr>
            </w:pPr>
          </w:p>
        </w:tc>
        <w:tc>
          <w:tcPr>
            <w:tcW w:w="1120" w:type="dxa"/>
            <w:vAlign w:val="bottom"/>
            <w:tcBorders>
              <w:right w:val="single" w:sz="8" w:color="424E6A"/>
            </w:tcBorders>
            <w:shd w:val="clear" w:color="auto" w:fill="424E6A"/>
          </w:tcPr>
          <w:p>
            <w:pPr>
              <w:spacing w:after="0"/>
              <w:rPr>
                <w:sz w:val="17"/>
                <w:szCs w:val="17"/>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Change in Fair</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YE Fair Value of</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Value as of YE</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Vesting Date</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spacing w:after="0"/>
              <w:rPr>
                <w:sz w:val="14"/>
                <w:szCs w:val="14"/>
                <w:color w:val="auto"/>
              </w:rPr>
            </w:pP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spacing w:after="0"/>
              <w:rPr>
                <w:sz w:val="14"/>
                <w:szCs w:val="14"/>
                <w:color w:val="auto"/>
              </w:rPr>
            </w:pP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Current Year</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for Prior Year</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Fair Value of</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Fair Value of</w:t>
            </w: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Awards that</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DERs Paid</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Equity for</w:t>
            </w:r>
          </w:p>
        </w:tc>
      </w:tr>
      <w:tr>
        <w:trPr>
          <w:trHeight w:val="162"/>
        </w:trPr>
        <w:tc>
          <w:tcPr>
            <w:tcW w:w="960" w:type="dxa"/>
            <w:vAlign w:val="bottom"/>
            <w:tcBorders>
              <w:left w:val="single" w:sz="8" w:color="424E6A"/>
              <w:right w:val="single" w:sz="8" w:color="424E6A"/>
            </w:tcBorders>
            <w:shd w:val="clear" w:color="auto" w:fill="424E6A"/>
          </w:tcPr>
          <w:p>
            <w:pPr>
              <w:spacing w:after="0"/>
              <w:rPr>
                <w:sz w:val="14"/>
                <w:szCs w:val="14"/>
                <w:color w:val="auto"/>
              </w:rPr>
            </w:pPr>
          </w:p>
        </w:tc>
        <w:tc>
          <w:tcPr>
            <w:tcW w:w="118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Vested During</w:t>
            </w:r>
          </w:p>
        </w:tc>
        <w:tc>
          <w:tcPr>
            <w:tcW w:w="140" w:type="dxa"/>
            <w:vAlign w:val="bottom"/>
            <w:tcBorders>
              <w:right w:val="single" w:sz="8" w:color="424E6A"/>
            </w:tcBorders>
            <w:shd w:val="clear" w:color="auto" w:fill="424E6A"/>
          </w:tcPr>
          <w:p>
            <w:pPr>
              <w:spacing w:after="0"/>
              <w:rPr>
                <w:sz w:val="14"/>
                <w:szCs w:val="14"/>
                <w:color w:val="auto"/>
              </w:rPr>
            </w:pPr>
          </w:p>
        </w:tc>
        <w:tc>
          <w:tcPr>
            <w:tcW w:w="30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During the</w:t>
            </w:r>
          </w:p>
        </w:tc>
        <w:tc>
          <w:tcPr>
            <w:tcW w:w="100" w:type="dxa"/>
            <w:vAlign w:val="bottom"/>
            <w:tcBorders>
              <w:right w:val="single" w:sz="8" w:color="424E6A"/>
            </w:tcBorders>
            <w:shd w:val="clear" w:color="auto" w:fill="424E6A"/>
          </w:tcPr>
          <w:p>
            <w:pPr>
              <w:spacing w:after="0"/>
              <w:rPr>
                <w:sz w:val="14"/>
                <w:szCs w:val="14"/>
                <w:color w:val="auto"/>
              </w:rPr>
            </w:pPr>
          </w:p>
        </w:tc>
        <w:tc>
          <w:tcPr>
            <w:tcW w:w="320" w:type="dxa"/>
            <w:vAlign w:val="bottom"/>
            <w:tcBorders>
              <w:right w:val="single" w:sz="8" w:color="424E6A"/>
            </w:tcBorders>
            <w:shd w:val="clear" w:color="auto" w:fill="424E6A"/>
          </w:tcPr>
          <w:p>
            <w:pPr>
              <w:spacing w:after="0"/>
              <w:rPr>
                <w:sz w:val="14"/>
                <w:szCs w:val="14"/>
                <w:color w:val="auto"/>
              </w:rPr>
            </w:pPr>
          </w:p>
        </w:tc>
        <w:tc>
          <w:tcPr>
            <w:tcW w:w="112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CAP</w:t>
            </w:r>
          </w:p>
        </w:tc>
      </w:tr>
      <w:tr>
        <w:trPr>
          <w:trHeight w:val="212"/>
        </w:trPr>
        <w:tc>
          <w:tcPr>
            <w:tcW w:w="960" w:type="dxa"/>
            <w:vAlign w:val="bottom"/>
            <w:tcBorders>
              <w:left w:val="single" w:sz="8" w:color="424E6A"/>
              <w:righ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Year</w:t>
            </w:r>
          </w:p>
        </w:tc>
        <w:tc>
          <w:tcPr>
            <w:tcW w:w="1180" w:type="dxa"/>
            <w:vAlign w:val="bottom"/>
            <w:shd w:val="clear" w:color="auto" w:fill="424E6A"/>
          </w:tcPr>
          <w:p>
            <w:pPr>
              <w:jc w:val="center"/>
              <w:ind w:left="25"/>
              <w:spacing w:after="0"/>
              <w:rPr>
                <w:sz w:val="20"/>
                <w:szCs w:val="20"/>
                <w:color w:val="auto"/>
              </w:rPr>
            </w:pPr>
            <w:r>
              <w:rPr>
                <w:rFonts w:ascii="Arial" w:cs="Arial" w:eastAsia="Arial" w:hAnsi="Arial"/>
                <w:sz w:val="14"/>
                <w:szCs w:val="14"/>
                <w:b w:val="1"/>
                <w:bCs w:val="1"/>
                <w:color w:val="FFFFFF"/>
              </w:rPr>
              <w:t>at YE</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10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at YE</w:t>
            </w:r>
          </w:p>
        </w:tc>
        <w:tc>
          <w:tcPr>
            <w:tcW w:w="500" w:type="dxa"/>
            <w:vAlign w:val="bottom"/>
            <w:gridSpan w:val="3"/>
            <w:shd w:val="clear" w:color="auto" w:fill="424E6A"/>
          </w:tcPr>
          <w:p>
            <w:pPr>
              <w:jc w:val="right"/>
              <w:spacing w:after="0"/>
              <w:rPr>
                <w:sz w:val="20"/>
                <w:szCs w:val="20"/>
                <w:color w:val="auto"/>
              </w:rPr>
            </w:pPr>
            <w:r>
              <w:rPr>
                <w:rFonts w:ascii="Arial" w:cs="Arial" w:eastAsia="Arial" w:hAnsi="Arial"/>
                <w:sz w:val="14"/>
                <w:szCs w:val="14"/>
                <w:b w:val="1"/>
                <w:bCs w:val="1"/>
                <w:color w:val="FFFFFF"/>
              </w:rPr>
              <w:t>​ ​  ​ ​</w:t>
            </w:r>
          </w:p>
        </w:tc>
        <w:tc>
          <w:tcPr>
            <w:tcW w:w="10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the Year</w:t>
            </w:r>
          </w:p>
        </w:tc>
        <w:tc>
          <w:tcPr>
            <w:tcW w:w="54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 ​  ​ ​</w:t>
            </w:r>
          </w:p>
        </w:tc>
        <w:tc>
          <w:tcPr>
            <w:tcW w:w="9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540" w:type="dxa"/>
            <w:vAlign w:val="bottom"/>
            <w:tcBorders>
              <w:right w:val="single" w:sz="8" w:color="424E6A"/>
            </w:tcBorders>
            <w:gridSpan w:val="3"/>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 ​  ​ ​</w:t>
            </w:r>
            <w:r>
              <w:rPr>
                <w:rFonts w:ascii="Arial" w:cs="Arial" w:eastAsia="Arial" w:hAnsi="Arial"/>
                <w:sz w:val="12"/>
                <w:szCs w:val="12"/>
                <w:b w:val="1"/>
                <w:bCs w:val="1"/>
                <w:color w:val="FFFFFF"/>
              </w:rPr>
              <w:t xml:space="preserve">  Purposes</w:t>
            </w:r>
          </w:p>
        </w:tc>
      </w:tr>
      <w:tr>
        <w:trPr>
          <w:trHeight w:val="257"/>
        </w:trPr>
        <w:tc>
          <w:tcPr>
            <w:tcW w:w="960" w:type="dxa"/>
            <w:vAlign w:val="bottom"/>
            <w:tcBorders>
              <w:left w:val="single" w:sz="8" w:color="424E6A"/>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​2023</w:t>
            </w:r>
          </w:p>
        </w:tc>
        <w:tc>
          <w:tcPr>
            <w:tcW w:w="1180" w:type="dxa"/>
            <w:vAlign w:val="bottom"/>
            <w:tcBorders>
              <w:bottom w:val="single" w:sz="8" w:color="424E6A"/>
            </w:tcBorders>
          </w:tcPr>
          <w:p>
            <w:pPr>
              <w:jc w:val="center"/>
              <w:ind w:left="5"/>
              <w:spacing w:after="0"/>
              <w:rPr>
                <w:sz w:val="20"/>
                <w:szCs w:val="20"/>
                <w:color w:val="auto"/>
              </w:rPr>
            </w:pPr>
            <w:r>
              <w:rPr>
                <w:rFonts w:ascii="Arial" w:cs="Arial" w:eastAsia="Arial" w:hAnsi="Arial"/>
                <w:sz w:val="18"/>
                <w:szCs w:val="18"/>
                <w:color w:val="auto"/>
                <w:w w:val="98"/>
              </w:rPr>
              <w:t>​$ 1,013,032</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240" w:type="dxa"/>
            <w:vAlign w:val="bottom"/>
            <w:tcBorders>
              <w:bottom w:val="single" w:sz="8" w:color="424E6A"/>
              <w:right w:val="single" w:sz="8" w:color="424E6A"/>
            </w:tcBorders>
            <w:gridSpan w:val="3"/>
          </w:tcPr>
          <w:p>
            <w:pPr>
              <w:ind w:left="40"/>
              <w:spacing w:after="0"/>
              <w:rPr>
                <w:sz w:val="20"/>
                <w:szCs w:val="20"/>
                <w:color w:val="auto"/>
              </w:rPr>
            </w:pPr>
            <w:r>
              <w:rPr>
                <w:rFonts w:ascii="Arial" w:cs="Arial" w:eastAsia="Arial" w:hAnsi="Arial"/>
                <w:sz w:val="18"/>
                <w:szCs w:val="18"/>
                <w:color w:val="auto"/>
              </w:rPr>
              <w:t>​ ​$2,491,868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​$549,783</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right w:val="single" w:sz="8" w:color="424E6A"/>
            </w:tcBorders>
          </w:tcPr>
          <w:p>
            <w:pPr>
              <w:jc w:val="center"/>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00" w:type="dxa"/>
            <w:vAlign w:val="bottom"/>
            <w:tcBorders>
              <w:bottom w:val="single" w:sz="8" w:color="424E6A"/>
              <w:right w:val="single" w:sz="8" w:color="424E6A"/>
            </w:tcBorders>
            <w:gridSpan w:val="3"/>
          </w:tcPr>
          <w:p>
            <w:pPr>
              <w:ind w:left="60"/>
              <w:spacing w:after="0"/>
              <w:rPr>
                <w:sz w:val="20"/>
                <w:szCs w:val="20"/>
                <w:color w:val="auto"/>
              </w:rPr>
            </w:pPr>
            <w:r>
              <w:rPr>
                <w:rFonts w:ascii="Arial" w:cs="Arial" w:eastAsia="Arial" w:hAnsi="Arial"/>
                <w:sz w:val="18"/>
                <w:szCs w:val="18"/>
                <w:color w:val="auto"/>
              </w:rPr>
              <w:t>​ ​$506,246 ​​</w:t>
            </w:r>
          </w:p>
        </w:tc>
        <w:tc>
          <w:tcPr>
            <w:tcW w:w="320" w:type="dxa"/>
            <w:vAlign w:val="bottom"/>
            <w:tcBorders>
              <w:bottom w:val="single" w:sz="8" w:color="424E6A"/>
              <w:right w:val="single" w:sz="8" w:color="424E6A"/>
            </w:tcBorders>
          </w:tcPr>
          <w:p>
            <w:pPr>
              <w:ind w:left="40"/>
              <w:spacing w:after="0" w:line="256"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112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​​$4,560,929</w:t>
            </w:r>
          </w:p>
        </w:tc>
      </w:tr>
    </w:tbl>
    <w:p>
      <w:pPr>
        <w:spacing w:after="0" w:line="157" w:lineRule="exact"/>
        <w:rPr>
          <w:sz w:val="20"/>
          <w:szCs w:val="20"/>
          <w:color w:val="auto"/>
        </w:rPr>
      </w:pPr>
    </w:p>
    <w:p>
      <w:pPr>
        <w:ind w:left="1620" w:right="539" w:hanging="360"/>
        <w:spacing w:after="0" w:line="222" w:lineRule="auto"/>
        <w:tabs>
          <w:tab w:leader="none" w:pos="1620" w:val="left"/>
        </w:tabs>
        <w:numPr>
          <w:ilvl w:val="0"/>
          <w:numId w:val="80"/>
        </w:numPr>
        <w:rPr>
          <w:rFonts w:ascii="Arial" w:cs="Arial" w:eastAsia="Arial" w:hAnsi="Arial"/>
          <w:sz w:val="27"/>
          <w:szCs w:val="27"/>
          <w:color w:val="auto"/>
          <w:vertAlign w:val="superscript"/>
        </w:rPr>
      </w:pPr>
      <w:r>
        <w:rPr>
          <w:rFonts w:ascii="Arial" w:cs="Arial" w:eastAsia="Arial" w:hAnsi="Arial"/>
          <w:sz w:val="18"/>
          <w:szCs w:val="18"/>
          <w:color w:val="auto"/>
        </w:rPr>
        <w:t>We did not issue any equity awards during the covered fiscal year that vested in the year of grant. Additionally, no equity awards granted in any prior fiscal year failed to meet applicable vesting conditions or were forfeited during the covered fiscal year.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right="699"/>
        <w:spacing w:after="0" w:line="285" w:lineRule="auto"/>
        <w:rPr>
          <w:sz w:val="20"/>
          <w:szCs w:val="20"/>
          <w:color w:val="auto"/>
        </w:rPr>
      </w:pPr>
      <w:r>
        <w:rPr>
          <w:rFonts w:ascii="Arial" w:cs="Arial" w:eastAsia="Arial" w:hAnsi="Arial"/>
          <w:sz w:val="18"/>
          <w:szCs w:val="18"/>
          <w:i w:val="1"/>
          <w:iCs w:val="1"/>
          <w:color w:val="auto"/>
        </w:rPr>
        <w:t>Tabular Disclosure of Most Important Measures Linking Compensation Actually Paid During 2023 to Company Performance</w:t>
      </w:r>
    </w:p>
    <w:p>
      <w:pPr>
        <w:spacing w:after="0" w:line="46"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following were the most important financial and non-financial performance measures, as determined by the Company, that link 2023 CAP to the Company’s performance for the most recently completed fiscal year (unranked):</w:t>
      </w:r>
    </w:p>
    <w:p>
      <w:pPr>
        <w:spacing w:after="0" w:line="154" w:lineRule="exact"/>
        <w:rPr>
          <w:sz w:val="20"/>
          <w:szCs w:val="20"/>
          <w:color w:val="auto"/>
        </w:rPr>
      </w:pPr>
    </w:p>
    <w:tbl>
      <w:tblPr>
        <w:tblLayout w:type="fixed"/>
        <w:tblInd w:w="1630" w:type="dxa"/>
        <w:tblCellMar>
          <w:top w:w="0" w:type="dxa"/>
          <w:left w:w="0" w:type="dxa"/>
          <w:bottom w:w="0" w:type="dxa"/>
          <w:right w:w="0" w:type="dxa"/>
        </w:tblCellMar>
      </w:tblPr>
      <w:tr>
        <w:trPr>
          <w:trHeight w:val="257"/>
        </w:trPr>
        <w:tc>
          <w:tcPr>
            <w:tcW w:w="1180" w:type="dxa"/>
            <w:vAlign w:val="bottom"/>
            <w:tcBorders>
              <w:left w:val="single" w:sz="8" w:color="424E6A"/>
            </w:tcBorders>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514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Most Important Performance Measures</w:t>
            </w:r>
          </w:p>
        </w:tc>
        <w:tc>
          <w:tcPr>
            <w:tcW w:w="1160" w:type="dxa"/>
            <w:vAlign w:val="bottom"/>
            <w:shd w:val="clear" w:color="auto" w:fill="424E6A"/>
          </w:tcPr>
          <w:p>
            <w:pPr>
              <w:ind w:left="1120"/>
              <w:spacing w:after="0"/>
              <w:rPr>
                <w:sz w:val="20"/>
                <w:szCs w:val="20"/>
                <w:color w:val="auto"/>
              </w:rPr>
            </w:pPr>
            <w:r>
              <w:rPr>
                <w:rFonts w:ascii="Arial" w:cs="Arial" w:eastAsia="Arial" w:hAnsi="Arial"/>
                <w:sz w:val="14"/>
                <w:szCs w:val="14"/>
                <w:b w:val="1"/>
                <w:bCs w:val="1"/>
                <w:color w:val="FFFFFF"/>
              </w:rPr>
              <w:t>​</w:t>
            </w:r>
          </w:p>
        </w:tc>
      </w:tr>
      <w:tr>
        <w:trPr>
          <w:trHeight w:val="257"/>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8"/>
              </w:rPr>
              <w:t>Adjusted EBITDA Attributable to PAA</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DCF per CUE</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TSR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9"/>
              </w:rPr>
              <w:t>TRIR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r>
        <w:trPr>
          <w:trHeight w:val="250"/>
        </w:trPr>
        <w:tc>
          <w:tcPr>
            <w:tcW w:w="1180" w:type="dxa"/>
            <w:vAlign w:val="bottom"/>
            <w:tcBorders>
              <w:left w:val="single" w:sz="8" w:color="424E6A"/>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14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rPr>
              <w:t>FRR</w:t>
            </w:r>
          </w:p>
        </w:tc>
        <w:tc>
          <w:tcPr>
            <w:tcW w:w="1160" w:type="dxa"/>
            <w:vAlign w:val="bottom"/>
            <w:tcBorders>
              <w:bottom w:val="single" w:sz="8" w:color="424E6A"/>
            </w:tcBorders>
          </w:tcPr>
          <w:p>
            <w:pPr>
              <w:ind w:left="1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-856615</wp:posOffset>
            </wp:positionV>
            <wp:extent cx="4740275" cy="8572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40275" cy="857250"/>
                    </a:xfrm>
                    <a:prstGeom prst="rect">
                      <a:avLst/>
                    </a:prstGeom>
                    <a:noFill/>
                  </pic:spPr>
                </pic:pic>
              </a:graphicData>
            </a:graphic>
          </wp:anchor>
        </w:drawing>
      </w:r>
    </w:p>
    <w:p>
      <w:pPr>
        <w:spacing w:after="0" w:line="42" w:lineRule="exact"/>
        <w:rPr>
          <w:sz w:val="20"/>
          <w:szCs w:val="20"/>
          <w:color w:val="auto"/>
        </w:rPr>
      </w:pPr>
    </w:p>
    <w:p>
      <w:pPr>
        <w:ind w:left="1260" w:right="579" w:firstLine="360"/>
        <w:spacing w:after="0" w:line="318" w:lineRule="auto"/>
        <w:rPr>
          <w:sz w:val="20"/>
          <w:szCs w:val="20"/>
          <w:color w:val="auto"/>
        </w:rPr>
      </w:pPr>
      <w:r>
        <w:rPr>
          <w:rFonts w:ascii="Arial" w:cs="Arial" w:eastAsia="Arial" w:hAnsi="Arial"/>
          <w:sz w:val="17"/>
          <w:szCs w:val="17"/>
          <w:color w:val="auto"/>
        </w:rPr>
        <w:t>For further information regarding these performance measures and their function in our executive compensation program, please see “Compensation Discussion and Analysis” beginning on page 26.</w:t>
      </w:r>
    </w:p>
    <w:p>
      <w:pPr>
        <w:spacing w:after="0" w:line="78" w:lineRule="exact"/>
        <w:rPr>
          <w:sz w:val="20"/>
          <w:szCs w:val="20"/>
          <w:color w:val="auto"/>
        </w:rPr>
      </w:pPr>
    </w:p>
    <w:p>
      <w:pPr>
        <w:ind w:left="1260" w:right="979"/>
        <w:spacing w:after="0" w:line="269" w:lineRule="auto"/>
        <w:rPr>
          <w:sz w:val="20"/>
          <w:szCs w:val="20"/>
          <w:color w:val="auto"/>
        </w:rPr>
      </w:pPr>
      <w:r>
        <w:rPr>
          <w:rFonts w:ascii="Arial" w:cs="Arial" w:eastAsia="Arial" w:hAnsi="Arial"/>
          <w:sz w:val="18"/>
          <w:szCs w:val="18"/>
          <w:i w:val="1"/>
          <w:iCs w:val="1"/>
          <w:color w:val="auto"/>
        </w:rPr>
        <w:t>Disclosure of the Relationship Between Compensation Actually Paid and Financial Performance Measures</w:t>
      </w:r>
    </w:p>
    <w:p>
      <w:pPr>
        <w:spacing w:after="0" w:line="74"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The graphs below describe the relationship between CAP (as calculated above) and our financial and stock performance for the indicated years. In addition, the first table below compares our cumulative TSR to peer group TSR for the indicated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54610</wp:posOffset>
            </wp:positionV>
            <wp:extent cx="4937760" cy="20999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37760" cy="2099945"/>
                    </a:xfrm>
                    <a:prstGeom prst="rect">
                      <a:avLst/>
                    </a:prstGeom>
                    <a:noFill/>
                  </pic:spPr>
                </pic:pic>
              </a:graphicData>
            </a:graphic>
          </wp:anchor>
        </w:drawing>
        <w:drawing>
          <wp:anchor simplePos="0" relativeHeight="251657728" behindDoc="1" locked="0" layoutInCell="0" allowOverlap="1">
            <wp:simplePos x="0" y="0"/>
            <wp:positionH relativeFrom="column">
              <wp:posOffset>808355</wp:posOffset>
            </wp:positionH>
            <wp:positionV relativeFrom="paragraph">
              <wp:posOffset>2574925</wp:posOffset>
            </wp:positionV>
            <wp:extent cx="5203190" cy="19970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03190" cy="19970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1024255</wp:posOffset>
            </wp:positionV>
            <wp:extent cx="5186045" cy="21685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15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8"/>
          <w:szCs w:val="18"/>
          <w:color w:val="auto"/>
        </w:rPr>
        <w:t>The following table sets forth a summary of the compensation paid to each person who served as a director of PAGP GP in 2023 (other than Messrs. Chiang and Pefanis who were not compensated as directors and whose compensation is set forth in the Summary Compensation Table above):</w:t>
      </w:r>
    </w:p>
    <w:p>
      <w:pPr>
        <w:spacing w:after="0" w:line="149" w:lineRule="exact"/>
        <w:rPr>
          <w:sz w:val="20"/>
          <w:szCs w:val="20"/>
          <w:color w:val="auto"/>
        </w:rPr>
      </w:pPr>
    </w:p>
    <w:tbl>
      <w:tblPr>
        <w:tblLayout w:type="fixed"/>
        <w:tblInd w:w="1270" w:type="dxa"/>
        <w:tblCellMar>
          <w:top w:w="0" w:type="dxa"/>
          <w:left w:w="0" w:type="dxa"/>
          <w:bottom w:w="0" w:type="dxa"/>
          <w:right w:w="0" w:type="dxa"/>
        </w:tblCellMar>
      </w:tblPr>
      <w:tr>
        <w:trPr>
          <w:trHeight w:val="207"/>
        </w:trPr>
        <w:tc>
          <w:tcPr>
            <w:tcW w:w="2580" w:type="dxa"/>
            <w:vAlign w:val="bottom"/>
            <w:tcBorders>
              <w:left w:val="single" w:sz="8" w:color="424E6A"/>
            </w:tcBorders>
            <w:shd w:val="clear" w:color="auto" w:fill="424E6A"/>
          </w:tcPr>
          <w:p>
            <w:pPr>
              <w:spacing w:after="0"/>
              <w:rPr>
                <w:sz w:val="17"/>
                <w:szCs w:val="17"/>
                <w:color w:val="auto"/>
              </w:rPr>
            </w:pPr>
          </w:p>
        </w:tc>
        <w:tc>
          <w:tcPr>
            <w:tcW w:w="80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Fees</w:t>
            </w:r>
          </w:p>
        </w:tc>
        <w:tc>
          <w:tcPr>
            <w:tcW w:w="240" w:type="dxa"/>
            <w:vAlign w:val="bottom"/>
            <w:tcBorders>
              <w:right w:val="single" w:sz="8" w:color="424E6A"/>
            </w:tcBorders>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180" w:type="dxa"/>
            <w:vAlign w:val="bottom"/>
            <w:shd w:val="clear" w:color="auto" w:fill="424E6A"/>
          </w:tcPr>
          <w:p>
            <w:pPr>
              <w:spacing w:after="0"/>
              <w:rPr>
                <w:sz w:val="17"/>
                <w:szCs w:val="17"/>
                <w:color w:val="auto"/>
              </w:rPr>
            </w:pPr>
          </w:p>
        </w:tc>
        <w:tc>
          <w:tcPr>
            <w:tcW w:w="720" w:type="dxa"/>
            <w:vAlign w:val="bottom"/>
            <w:shd w:val="clear" w:color="auto" w:fill="424E6A"/>
          </w:tcPr>
          <w:p>
            <w:pPr>
              <w:spacing w:after="0"/>
              <w:rPr>
                <w:sz w:val="17"/>
                <w:szCs w:val="17"/>
                <w:color w:val="auto"/>
              </w:rPr>
            </w:pPr>
          </w:p>
        </w:tc>
        <w:tc>
          <w:tcPr>
            <w:tcW w:w="24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340" w:type="dxa"/>
            <w:vAlign w:val="bottom"/>
            <w:shd w:val="clear" w:color="auto" w:fill="424E6A"/>
          </w:tcPr>
          <w:p>
            <w:pPr>
              <w:spacing w:after="0"/>
              <w:rPr>
                <w:sz w:val="17"/>
                <w:szCs w:val="17"/>
                <w:color w:val="auto"/>
              </w:rPr>
            </w:pPr>
          </w:p>
        </w:tc>
        <w:tc>
          <w:tcPr>
            <w:tcW w:w="660" w:type="dxa"/>
            <w:vAlign w:val="bottom"/>
            <w:shd w:val="clear" w:color="auto" w:fill="424E6A"/>
          </w:tcPr>
          <w:p>
            <w:pPr>
              <w:spacing w:after="0"/>
              <w:rPr>
                <w:sz w:val="17"/>
                <w:szCs w:val="17"/>
                <w:color w:val="auto"/>
              </w:rPr>
            </w:pPr>
          </w:p>
        </w:tc>
        <w:tc>
          <w:tcPr>
            <w:tcW w:w="140" w:type="dxa"/>
            <w:vAlign w:val="bottom"/>
            <w:tcBorders>
              <w:right w:val="single" w:sz="8" w:color="424E6A"/>
            </w:tcBorders>
            <w:shd w:val="clear" w:color="auto" w:fill="424E6A"/>
          </w:tcPr>
          <w:p>
            <w:pPr>
              <w:spacing w:after="0"/>
              <w:rPr>
                <w:sz w:val="17"/>
                <w:szCs w:val="17"/>
                <w:color w:val="auto"/>
              </w:rPr>
            </w:pPr>
          </w:p>
        </w:tc>
        <w:tc>
          <w:tcPr>
            <w:tcW w:w="900" w:type="dxa"/>
            <w:vAlign w:val="bottom"/>
            <w:tcBorders>
              <w:right w:val="single" w:sz="8" w:color="424E6A"/>
            </w:tcBorders>
            <w:shd w:val="clear" w:color="auto" w:fill="424E6A"/>
          </w:tcPr>
          <w:p>
            <w:pPr>
              <w:spacing w:after="0"/>
              <w:rPr>
                <w:sz w:val="17"/>
                <w:szCs w:val="17"/>
                <w:color w:val="auto"/>
              </w:rPr>
            </w:pPr>
          </w:p>
        </w:tc>
      </w:tr>
      <w:tr>
        <w:trPr>
          <w:trHeight w:val="162"/>
        </w:trPr>
        <w:tc>
          <w:tcPr>
            <w:tcW w:w="2580" w:type="dxa"/>
            <w:vAlign w:val="bottom"/>
            <w:tcBorders>
              <w:left w:val="single" w:sz="8" w:color="424E6A"/>
            </w:tcBorders>
            <w:shd w:val="clear" w:color="auto" w:fill="424E6A"/>
          </w:tcPr>
          <w:p>
            <w:pPr>
              <w:spacing w:after="0"/>
              <w:rPr>
                <w:sz w:val="14"/>
                <w:szCs w:val="14"/>
                <w:color w:val="auto"/>
              </w:rPr>
            </w:pPr>
          </w:p>
        </w:tc>
        <w:tc>
          <w:tcPr>
            <w:tcW w:w="80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Earned or</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340" w:type="dxa"/>
            <w:vAlign w:val="bottom"/>
            <w:shd w:val="clear" w:color="auto" w:fill="424E6A"/>
          </w:tcPr>
          <w:p>
            <w:pPr>
              <w:spacing w:after="0"/>
              <w:rPr>
                <w:sz w:val="14"/>
                <w:szCs w:val="14"/>
                <w:color w:val="auto"/>
              </w:rPr>
            </w:pPr>
          </w:p>
        </w:tc>
        <w:tc>
          <w:tcPr>
            <w:tcW w:w="660" w:type="dxa"/>
            <w:vAlign w:val="bottom"/>
            <w:shd w:val="clear" w:color="auto" w:fill="424E6A"/>
          </w:tcPr>
          <w:p>
            <w:pPr>
              <w:spacing w:after="0"/>
              <w:rPr>
                <w:sz w:val="14"/>
                <w:szCs w:val="14"/>
                <w:color w:val="auto"/>
              </w:rPr>
            </w:pPr>
          </w:p>
        </w:tc>
        <w:tc>
          <w:tcPr>
            <w:tcW w:w="140" w:type="dxa"/>
            <w:vAlign w:val="bottom"/>
            <w:tcBorders>
              <w:right w:val="single" w:sz="8" w:color="424E6A"/>
            </w:tcBorders>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r>
      <w:tr>
        <w:trPr>
          <w:trHeight w:val="162"/>
        </w:trPr>
        <w:tc>
          <w:tcPr>
            <w:tcW w:w="2580" w:type="dxa"/>
            <w:vAlign w:val="bottom"/>
            <w:tcBorders>
              <w:left w:val="single" w:sz="8" w:color="424E6A"/>
            </w:tcBorders>
            <w:shd w:val="clear" w:color="auto" w:fill="424E6A"/>
          </w:tcPr>
          <w:p>
            <w:pPr>
              <w:spacing w:after="0"/>
              <w:rPr>
                <w:sz w:val="14"/>
                <w:szCs w:val="14"/>
                <w:color w:val="auto"/>
              </w:rPr>
            </w:pPr>
          </w:p>
        </w:tc>
        <w:tc>
          <w:tcPr>
            <w:tcW w:w="80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Paid in</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152"/>
              <w:spacing w:after="0"/>
              <w:rPr>
                <w:sz w:val="20"/>
                <w:szCs w:val="20"/>
                <w:color w:val="auto"/>
              </w:rPr>
            </w:pPr>
            <w:r>
              <w:rPr>
                <w:rFonts w:ascii="Arial" w:cs="Arial" w:eastAsia="Arial" w:hAnsi="Arial"/>
                <w:sz w:val="14"/>
                <w:szCs w:val="14"/>
                <w:b w:val="1"/>
                <w:bCs w:val="1"/>
                <w:color w:val="FFFFFF"/>
                <w:w w:val="99"/>
              </w:rPr>
              <w:t>Stock</w:t>
            </w: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All Other</w:t>
            </w:r>
          </w:p>
        </w:tc>
        <w:tc>
          <w:tcPr>
            <w:tcW w:w="140" w:type="dxa"/>
            <w:vAlign w:val="bottom"/>
            <w:tcBorders>
              <w:right w:val="single" w:sz="8" w:color="424E6A"/>
            </w:tcBorders>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spacing w:after="0"/>
              <w:rPr>
                <w:sz w:val="14"/>
                <w:szCs w:val="14"/>
                <w:color w:val="auto"/>
              </w:rPr>
            </w:pPr>
          </w:p>
        </w:tc>
      </w:tr>
      <w:tr>
        <w:trPr>
          <w:trHeight w:val="162"/>
        </w:trPr>
        <w:tc>
          <w:tcPr>
            <w:tcW w:w="2580" w:type="dxa"/>
            <w:vAlign w:val="bottom"/>
            <w:tcBorders>
              <w:left w:val="single" w:sz="8" w:color="424E6A"/>
            </w:tcBorders>
            <w:shd w:val="clear" w:color="auto" w:fill="424E6A"/>
          </w:tcPr>
          <w:p>
            <w:pPr>
              <w:spacing w:after="0"/>
              <w:rPr>
                <w:sz w:val="14"/>
                <w:szCs w:val="14"/>
                <w:color w:val="auto"/>
              </w:rPr>
            </w:pPr>
          </w:p>
        </w:tc>
        <w:tc>
          <w:tcPr>
            <w:tcW w:w="80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Cash</w:t>
            </w:r>
          </w:p>
        </w:tc>
        <w:tc>
          <w:tcPr>
            <w:tcW w:w="240" w:type="dxa"/>
            <w:vAlign w:val="bottom"/>
            <w:tcBorders>
              <w:right w:val="single" w:sz="8" w:color="424E6A"/>
            </w:tcBorders>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180" w:type="dxa"/>
            <w:vAlign w:val="bottom"/>
            <w:shd w:val="clear" w:color="auto" w:fill="424E6A"/>
          </w:tcPr>
          <w:p>
            <w:pPr>
              <w:spacing w:after="0"/>
              <w:rPr>
                <w:sz w:val="14"/>
                <w:szCs w:val="14"/>
                <w:color w:val="auto"/>
              </w:rPr>
            </w:pPr>
          </w:p>
        </w:tc>
        <w:tc>
          <w:tcPr>
            <w:tcW w:w="720" w:type="dxa"/>
            <w:vAlign w:val="bottom"/>
            <w:shd w:val="clear" w:color="auto" w:fill="424E6A"/>
          </w:tcPr>
          <w:p>
            <w:pPr>
              <w:jc w:val="center"/>
              <w:ind w:right="132"/>
              <w:spacing w:after="0"/>
              <w:rPr>
                <w:sz w:val="20"/>
                <w:szCs w:val="20"/>
                <w:color w:val="auto"/>
              </w:rPr>
            </w:pPr>
            <w:r>
              <w:rPr>
                <w:rFonts w:ascii="Arial" w:cs="Arial" w:eastAsia="Arial" w:hAnsi="Arial"/>
                <w:sz w:val="14"/>
                <w:szCs w:val="14"/>
                <w:b w:val="1"/>
                <w:bCs w:val="1"/>
                <w:color w:val="FFFFFF"/>
              </w:rPr>
              <w:t>Awards</w:t>
            </w:r>
          </w:p>
        </w:tc>
        <w:tc>
          <w:tcPr>
            <w:tcW w:w="24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40" w:type="dxa"/>
            <w:vAlign w:val="bottom"/>
            <w:tcBorders>
              <w:right w:val="single" w:sz="8" w:color="424E6A"/>
            </w:tcBorders>
            <w:shd w:val="clear" w:color="auto" w:fill="424E6A"/>
          </w:tcPr>
          <w:p>
            <w:pPr>
              <w:spacing w:after="0"/>
              <w:rPr>
                <w:sz w:val="14"/>
                <w:szCs w:val="14"/>
                <w:color w:val="auto"/>
              </w:rPr>
            </w:pPr>
          </w:p>
        </w:tc>
        <w:tc>
          <w:tcPr>
            <w:tcW w:w="900" w:type="dxa"/>
            <w:vAlign w:val="bottom"/>
            <w:tcBorders>
              <w:right w:val="single" w:sz="8" w:color="424E6A"/>
            </w:tcBorders>
            <w:shd w:val="clear" w:color="auto" w:fill="424E6A"/>
          </w:tcPr>
          <w:p>
            <w:pPr>
              <w:jc w:val="center"/>
              <w:ind w:right="3"/>
              <w:spacing w:after="0"/>
              <w:rPr>
                <w:sz w:val="20"/>
                <w:szCs w:val="20"/>
                <w:color w:val="auto"/>
              </w:rPr>
            </w:pPr>
            <w:r>
              <w:rPr>
                <w:rFonts w:ascii="Arial" w:cs="Arial" w:eastAsia="Arial" w:hAnsi="Arial"/>
                <w:sz w:val="14"/>
                <w:szCs w:val="14"/>
                <w:b w:val="1"/>
                <w:bCs w:val="1"/>
                <w:color w:val="FFFFFF"/>
              </w:rPr>
              <w:t>Total</w:t>
            </w:r>
          </w:p>
        </w:tc>
      </w:tr>
      <w:tr>
        <w:trPr>
          <w:trHeight w:val="212"/>
        </w:trPr>
        <w:tc>
          <w:tcPr>
            <w:tcW w:w="2580" w:type="dxa"/>
            <w:vAlign w:val="bottom"/>
            <w:tcBorders>
              <w:left w:val="single" w:sz="8" w:color="424E6A"/>
            </w:tcBorders>
            <w:shd w:val="clear" w:color="auto" w:fill="424E6A"/>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000" w:type="dxa"/>
            <w:vAlign w:val="bottom"/>
            <w:gridSpan w:val="2"/>
            <w:shd w:val="clear" w:color="auto" w:fill="424E6A"/>
          </w:tcPr>
          <w:p>
            <w:pPr>
              <w:ind w:left="740"/>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c>
          <w:tcPr>
            <w:tcW w:w="440" w:type="dxa"/>
            <w:vAlign w:val="bottom"/>
            <w:gridSpan w:val="2"/>
            <w:shd w:val="clear" w:color="auto" w:fill="424E6A"/>
          </w:tcPr>
          <w:p>
            <w:pPr>
              <w:jc w:val="right"/>
              <w:ind w:right="30"/>
              <w:spacing w:after="0"/>
              <w:rPr>
                <w:sz w:val="20"/>
                <w:szCs w:val="20"/>
                <w:color w:val="auto"/>
              </w:rPr>
            </w:pPr>
            <w:r>
              <w:rPr>
                <w:rFonts w:ascii="Arial" w:cs="Arial" w:eastAsia="Arial" w:hAnsi="Arial"/>
                <w:sz w:val="14"/>
                <w:szCs w:val="14"/>
                <w:b w:val="1"/>
                <w:bCs w:val="1"/>
                <w:color w:val="FFFFFF"/>
              </w:rPr>
              <w:t>​ ​</w:t>
            </w:r>
          </w:p>
        </w:tc>
        <w:tc>
          <w:tcPr>
            <w:tcW w:w="180" w:type="dxa"/>
            <w:vAlign w:val="bottom"/>
            <w:shd w:val="clear" w:color="auto" w:fill="424E6A"/>
          </w:tcPr>
          <w:p>
            <w:pPr>
              <w:spacing w:after="0"/>
              <w:rPr>
                <w:sz w:val="18"/>
                <w:szCs w:val="18"/>
                <w:color w:val="auto"/>
              </w:rPr>
            </w:pPr>
          </w:p>
        </w:tc>
        <w:tc>
          <w:tcPr>
            <w:tcW w:w="720" w:type="dxa"/>
            <w:vAlign w:val="bottom"/>
            <w:shd w:val="clear" w:color="auto" w:fill="424E6A"/>
          </w:tcPr>
          <w:p>
            <w:pPr>
              <w:jc w:val="center"/>
              <w:ind w:right="92"/>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(1)</w:t>
            </w:r>
          </w:p>
        </w:tc>
        <w:tc>
          <w:tcPr>
            <w:tcW w:w="3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40" w:type="dxa"/>
            <w:vAlign w:val="bottom"/>
            <w:shd w:val="clear" w:color="auto" w:fill="424E6A"/>
          </w:tcPr>
          <w:p>
            <w:pPr>
              <w:spacing w:after="0"/>
              <w:rPr>
                <w:sz w:val="18"/>
                <w:szCs w:val="18"/>
                <w:color w:val="auto"/>
              </w:rPr>
            </w:pPr>
          </w:p>
        </w:tc>
        <w:tc>
          <w:tcPr>
            <w:tcW w:w="660" w:type="dxa"/>
            <w:vAlign w:val="bottom"/>
            <w:shd w:val="clear" w:color="auto" w:fill="424E6A"/>
          </w:tcPr>
          <w:p>
            <w:pPr>
              <w:jc w:val="center"/>
              <w:ind w:right="232"/>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right w:val="single" w:sz="8" w:color="424E6A"/>
            </w:tcBorders>
            <w:gridSpan w:val="2"/>
            <w:shd w:val="clear" w:color="auto" w:fill="424E6A"/>
          </w:tcPr>
          <w:p>
            <w:pPr>
              <w:ind w:left="8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w:t>
            </w:r>
          </w:p>
        </w:tc>
      </w:tr>
      <w:tr>
        <w:trPr>
          <w:trHeight w:val="284"/>
        </w:trPr>
        <w:tc>
          <w:tcPr>
            <w:tcW w:w="2580" w:type="dxa"/>
            <w:vAlign w:val="bottom"/>
            <w:tcBorders>
              <w:left w:val="single" w:sz="8" w:color="424E6A"/>
              <w:bottom w:val="single" w:sz="8" w:color="424E6A"/>
            </w:tcBorders>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Greg L. Armstrong</w:t>
            </w:r>
            <w:r>
              <w:rPr>
                <w:rFonts w:ascii="Arial" w:cs="Arial" w:eastAsia="Arial" w:hAnsi="Arial"/>
                <w:sz w:val="21"/>
                <w:szCs w:val="21"/>
                <w:color w:val="auto"/>
                <w:vertAlign w:val="superscript"/>
              </w:rPr>
              <w:t>(2)</w:t>
            </w:r>
          </w:p>
        </w:tc>
        <w:tc>
          <w:tcPr>
            <w:tcW w:w="800" w:type="dxa"/>
            <w:vAlign w:val="bottom"/>
            <w:tcBorders>
              <w:bottom w:val="single" w:sz="8" w:color="424E6A"/>
              <w:right w:val="single" w:sz="8" w:color="424E6A"/>
            </w:tcBorders>
            <w:shd w:val="clear" w:color="auto" w:fill="D9DCE1"/>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250,000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424E6A"/>
            </w:tcBorders>
            <w:shd w:val="clear" w:color="auto" w:fill="D9DCE1"/>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424E6A"/>
            </w:tcBorders>
            <w:gridSpan w:val="2"/>
            <w:shd w:val="clear" w:color="auto" w:fill="D9DCE1"/>
          </w:tcPr>
          <w:p>
            <w:pPr>
              <w:jc w:val="right"/>
              <w:ind w:right="132"/>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15,840</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265,840</w:t>
            </w:r>
          </w:p>
        </w:tc>
      </w:tr>
      <w:tr>
        <w:trPr>
          <w:trHeight w:val="250"/>
        </w:trPr>
        <w:tc>
          <w:tcPr>
            <w:tcW w:w="25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Victor Burk</w:t>
            </w:r>
          </w:p>
        </w:tc>
        <w:tc>
          <w:tcPr>
            <w:tcW w:w="80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270,500</w:t>
            </w:r>
          </w:p>
        </w:tc>
      </w:tr>
      <w:tr>
        <w:trPr>
          <w:trHeight w:val="250"/>
        </w:trPr>
        <w:tc>
          <w:tcPr>
            <w:tcW w:w="25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Ellen R. DeSanctis</w:t>
            </w:r>
          </w:p>
        </w:tc>
        <w:tc>
          <w:tcPr>
            <w:tcW w:w="800" w:type="dxa"/>
            <w:vAlign w:val="bottom"/>
            <w:tcBorders>
              <w:bottom w:val="single" w:sz="8" w:color="424E6A"/>
              <w:right w:val="single" w:sz="8" w:color="424E6A"/>
            </w:tcBorders>
            <w:shd w:val="clear" w:color="auto" w:fill="D9DCE1"/>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130,000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255,500</w:t>
            </w:r>
          </w:p>
        </w:tc>
      </w:tr>
      <w:tr>
        <w:trPr>
          <w:trHeight w:val="250"/>
        </w:trPr>
        <w:tc>
          <w:tcPr>
            <w:tcW w:w="25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Kevin S. McCarthy</w:t>
            </w:r>
          </w:p>
        </w:tc>
        <w:tc>
          <w:tcPr>
            <w:tcW w:w="80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240,500</w:t>
            </w:r>
          </w:p>
        </w:tc>
      </w:tr>
      <w:tr>
        <w:trPr>
          <w:trHeight w:val="250"/>
        </w:trPr>
        <w:tc>
          <w:tcPr>
            <w:tcW w:w="25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Gary R. Petersen</w:t>
            </w:r>
          </w:p>
        </w:tc>
        <w:tc>
          <w:tcPr>
            <w:tcW w:w="800" w:type="dxa"/>
            <w:vAlign w:val="bottom"/>
            <w:tcBorders>
              <w:bottom w:val="single" w:sz="8" w:color="424E6A"/>
              <w:right w:val="single" w:sz="8" w:color="424E6A"/>
            </w:tcBorders>
            <w:shd w:val="clear" w:color="auto" w:fill="D9DCE1"/>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115,000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240,500</w:t>
            </w:r>
          </w:p>
        </w:tc>
      </w:tr>
      <w:tr>
        <w:trPr>
          <w:trHeight w:val="250"/>
        </w:trPr>
        <w:tc>
          <w:tcPr>
            <w:tcW w:w="25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Alexandra D. Pruner</w:t>
            </w:r>
          </w:p>
        </w:tc>
        <w:tc>
          <w:tcPr>
            <w:tcW w:w="80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130,000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255,500</w:t>
            </w:r>
          </w:p>
        </w:tc>
      </w:tr>
      <w:tr>
        <w:trPr>
          <w:trHeight w:val="250"/>
        </w:trPr>
        <w:tc>
          <w:tcPr>
            <w:tcW w:w="25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John T. Raymond</w:t>
            </w:r>
          </w:p>
        </w:tc>
        <w:tc>
          <w:tcPr>
            <w:tcW w:w="800" w:type="dxa"/>
            <w:vAlign w:val="bottom"/>
            <w:tcBorders>
              <w:bottom w:val="single" w:sz="8" w:color="424E6A"/>
              <w:right w:val="single" w:sz="8" w:color="424E6A"/>
            </w:tcBorders>
            <w:shd w:val="clear" w:color="auto" w:fill="D9DCE1"/>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130,000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255,500</w:t>
            </w:r>
          </w:p>
        </w:tc>
      </w:tr>
      <w:tr>
        <w:trPr>
          <w:trHeight w:val="250"/>
        </w:trPr>
        <w:tc>
          <w:tcPr>
            <w:tcW w:w="25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Bobby S. Shackouls</w:t>
            </w:r>
          </w:p>
        </w:tc>
        <w:tc>
          <w:tcPr>
            <w:tcW w:w="80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165,000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290,500</w:t>
            </w:r>
          </w:p>
        </w:tc>
      </w:tr>
      <w:tr>
        <w:trPr>
          <w:trHeight w:val="250"/>
        </w:trPr>
        <w:tc>
          <w:tcPr>
            <w:tcW w:w="2580" w:type="dxa"/>
            <w:vAlign w:val="bottom"/>
            <w:tcBorders>
              <w:left w:val="single" w:sz="8" w:color="424E6A"/>
              <w:bottom w:val="single" w:sz="8" w:color="424E6A"/>
            </w:tcBorders>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Christopher M. Temple</w:t>
            </w:r>
          </w:p>
        </w:tc>
        <w:tc>
          <w:tcPr>
            <w:tcW w:w="800" w:type="dxa"/>
            <w:vAlign w:val="bottom"/>
            <w:tcBorders>
              <w:bottom w:val="single" w:sz="8" w:color="424E6A"/>
              <w:right w:val="single" w:sz="8" w:color="424E6A"/>
            </w:tcBorders>
            <w:shd w:val="clear" w:color="auto" w:fill="D9DCE1"/>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shd w:val="clear" w:color="auto" w:fill="D9DCE1"/>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115,000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shd w:val="clear" w:color="auto" w:fill="D9DCE1"/>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shd w:val="clear" w:color="auto" w:fill="D9DCE1"/>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shd w:val="clear" w:color="auto" w:fill="D9DCE1"/>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shd w:val="clear" w:color="auto" w:fill="D9DCE1"/>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shd w:val="clear" w:color="auto" w:fill="D9DCE1"/>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shd w:val="clear" w:color="auto" w:fill="D9DCE1"/>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240,500</w:t>
            </w:r>
          </w:p>
        </w:tc>
      </w:tr>
      <w:tr>
        <w:trPr>
          <w:trHeight w:val="250"/>
        </w:trPr>
        <w:tc>
          <w:tcPr>
            <w:tcW w:w="2580" w:type="dxa"/>
            <w:vAlign w:val="bottom"/>
            <w:tcBorders>
              <w:left w:val="single" w:sz="8" w:color="424E6A"/>
              <w:bottom w:val="single" w:sz="8" w:color="424E6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Lawrence M. Ziemba</w:t>
            </w:r>
          </w:p>
        </w:tc>
        <w:tc>
          <w:tcPr>
            <w:tcW w:w="800" w:type="dxa"/>
            <w:vAlign w:val="bottom"/>
            <w:tcBorders>
              <w:bottom w:val="single" w:sz="8" w:color="424E6A"/>
              <w:right w:val="single" w:sz="8" w:color="424E6A"/>
            </w:tcBorders>
          </w:tcPr>
          <w:p>
            <w:pPr>
              <w:ind w:left="7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424E6A"/>
            </w:tcBorders>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145,000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24E6A"/>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tcBorders>
            <w:gridSpan w:val="2"/>
          </w:tcPr>
          <w:p>
            <w:pPr>
              <w:jc w:val="right"/>
              <w:ind w:right="5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125,500</w:t>
            </w:r>
          </w:p>
        </w:tc>
        <w:tc>
          <w:tcPr>
            <w:tcW w:w="240" w:type="dxa"/>
            <w:vAlign w:val="bottom"/>
            <w:tcBorders>
              <w:bottom w:val="single" w:sz="8" w:color="424E6A"/>
              <w:right w:val="single" w:sz="8" w:color="424E6A"/>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424E6A"/>
            </w:tcBorders>
          </w:tcPr>
          <w:p>
            <w:pPr>
              <w:jc w:val="right"/>
              <w:ind w:right="1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24E6A"/>
              <w:right w:val="single" w:sz="8" w:color="424E6A"/>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424E6A"/>
              <w:right w:val="single" w:sz="8" w:color="424E6A"/>
            </w:tcBorders>
          </w:tcPr>
          <w:p>
            <w:pPr>
              <w:jc w:val="center"/>
              <w:ind w:right="23"/>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270,500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right="539" w:hanging="360"/>
        <w:spacing w:after="0"/>
        <w:tabs>
          <w:tab w:leader="none" w:pos="1620" w:val="left"/>
        </w:tabs>
        <w:numPr>
          <w:ilvl w:val="0"/>
          <w:numId w:val="81"/>
        </w:numPr>
        <w:rPr>
          <w:rFonts w:ascii="Arial" w:cs="Arial" w:eastAsia="Arial" w:hAnsi="Arial"/>
          <w:sz w:val="27"/>
          <w:szCs w:val="27"/>
          <w:color w:val="auto"/>
          <w:vertAlign w:val="superscript"/>
        </w:rPr>
      </w:pPr>
      <w:r>
        <w:rPr>
          <w:rFonts w:ascii="Arial" w:cs="Arial" w:eastAsia="Arial" w:hAnsi="Arial"/>
          <w:sz w:val="18"/>
          <w:szCs w:val="18"/>
          <w:color w:val="auto"/>
        </w:rPr>
        <w:t>The dollar value of long-term incentive awards granted during 2023 is based on the grant date fair value computed in accordance with FASB ASC Topic 718. See Note 17 to our Consolidated Financial Statements included in our 2023 Annual Report for additional discussion regarding the calculation of grant date fair values. In August 2023, each of Messrs. Burk, McCarthy, Petersen, Raymond, Shackouls, Temple and Ziemba, Ms. DeSanctis and Ms. Pruner received an annual long-term incentive award for 8,050 PAGP phantom Class A shares. See “— Long-Term Equity Awards” below for further information regarding long-term incentive awards granted to our non-employee directors. The aggregate number of outstanding long-term incentive awards held by our non-employee directors as of December 31, 2023 were as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544195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20" w:type="dxa"/>
            <w:vAlign w:val="bottom"/>
          </w:tcPr>
          <w:p>
            <w:pPr>
              <w:spacing w:after="0"/>
              <w:rPr>
                <w:sz w:val="24"/>
                <w:szCs w:val="24"/>
                <w:color w:val="auto"/>
              </w:rPr>
            </w:pPr>
          </w:p>
        </w:tc>
        <w:tc>
          <w:tcPr>
            <w:tcW w:w="1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shd w:val="clear" w:color="auto" w:fill="424E6A"/>
              </w:rPr>
              <w:t>​​</w:t>
            </w:r>
          </w:p>
        </w:tc>
        <w:tc>
          <w:tcPr>
            <w:tcW w:w="2120" w:type="dxa"/>
            <w:vAlign w:val="bottom"/>
            <w:shd w:val="clear" w:color="auto" w:fill="424E6A"/>
          </w:tcPr>
          <w:p>
            <w:pPr>
              <w:spacing w:after="0"/>
              <w:rPr>
                <w:sz w:val="24"/>
                <w:szCs w:val="24"/>
                <w:color w:val="auto"/>
              </w:rPr>
            </w:pPr>
          </w:p>
        </w:tc>
        <w:tc>
          <w:tcPr>
            <w:tcW w:w="5200" w:type="dxa"/>
            <w:vAlign w:val="bottom"/>
            <w:gridSpan w:val="9"/>
            <w:shd w:val="clear" w:color="auto" w:fill="424E6A"/>
          </w:tcPr>
          <w:p>
            <w:pPr>
              <w:ind w:left="122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Number of LTIP Awards Held as of December 31, 2023 </w:t>
            </w:r>
            <w:r>
              <w:rPr>
                <w:rFonts w:ascii="Arial" w:cs="Arial" w:eastAsia="Arial" w:hAnsi="Arial"/>
                <w:sz w:val="28"/>
                <w:szCs w:val="28"/>
                <w:b w:val="1"/>
                <w:bCs w:val="1"/>
                <w:color w:val="FFFFFF"/>
                <w:vertAlign w:val="subscript"/>
              </w:rPr>
              <w:t>​</w:t>
            </w:r>
          </w:p>
        </w:tc>
        <w:tc>
          <w:tcPr>
            <w:tcW w:w="20" w:type="dxa"/>
            <w:vAlign w:val="bottom"/>
          </w:tcPr>
          <w:p>
            <w:pPr>
              <w:spacing w:after="0"/>
              <w:rPr>
                <w:sz w:val="24"/>
                <w:szCs w:val="24"/>
                <w:color w:val="auto"/>
              </w:rPr>
            </w:pPr>
          </w:p>
        </w:tc>
      </w:tr>
      <w:tr>
        <w:trPr>
          <w:trHeight w:val="173"/>
        </w:trPr>
        <w:tc>
          <w:tcPr>
            <w:tcW w:w="20" w:type="dxa"/>
            <w:vAlign w:val="bottom"/>
            <w:tcBorders>
              <w:top w:val="single" w:sz="8" w:color="424E6A"/>
            </w:tcBorders>
            <w:shd w:val="clear" w:color="auto" w:fill="424E6A"/>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top w:val="single" w:sz="8" w:color="424E6A"/>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FFFFFF"/>
              </w:rPr>
              <w:t>PAGP</w:t>
            </w:r>
          </w:p>
        </w:tc>
        <w:tc>
          <w:tcPr>
            <w:tcW w:w="3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shd w:val="clear" w:color="auto" w:fill="424E6A"/>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Phantom</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 w:type="dxa"/>
            <w:vAlign w:val="bottom"/>
            <w:shd w:val="clear" w:color="auto" w:fill="424E6A"/>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FFFFF"/>
              </w:rPr>
              <w:t>Class A</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gridSpan w:val="2"/>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Director Name:</w:t>
            </w:r>
          </w:p>
        </w:tc>
        <w:tc>
          <w:tcPr>
            <w:tcW w:w="1220" w:type="dxa"/>
            <w:vAlign w:val="bottom"/>
          </w:tcPr>
          <w:p>
            <w:pPr>
              <w:spacing w:after="0"/>
              <w:rPr>
                <w:sz w:val="17"/>
                <w:szCs w:val="17"/>
                <w:color w:val="auto"/>
              </w:rPr>
            </w:pPr>
          </w:p>
        </w:tc>
        <w:tc>
          <w:tcPr>
            <w:tcW w:w="420" w:type="dxa"/>
            <w:vAlign w:val="bottom"/>
            <w:tcBorders>
              <w:bottom w:val="single" w:sz="8" w:color="424E6A"/>
            </w:tcBorders>
            <w:gridSpan w:val="2"/>
          </w:tcPr>
          <w:p>
            <w:pPr>
              <w:ind w:left="40"/>
              <w:spacing w:after="0"/>
              <w:rPr>
                <w:sz w:val="20"/>
                <w:szCs w:val="20"/>
                <w:color w:val="auto"/>
              </w:rPr>
            </w:pPr>
            <w:r>
              <w:rPr>
                <w:rFonts w:ascii="Arial" w:cs="Arial" w:eastAsia="Arial" w:hAnsi="Arial"/>
                <w:sz w:val="14"/>
                <w:szCs w:val="14"/>
                <w:b w:val="1"/>
                <w:bCs w:val="1"/>
                <w:color w:val="FFFFFF"/>
              </w:rPr>
              <w:t>​ ​</w:t>
            </w:r>
          </w:p>
        </w:tc>
        <w:tc>
          <w:tcPr>
            <w:tcW w:w="116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rPr>
              <w:t>Shares (#)</w:t>
            </w:r>
          </w:p>
        </w:tc>
        <w:tc>
          <w:tcPr>
            <w:tcW w:w="660" w:type="dxa"/>
            <w:vAlign w:val="bottom"/>
            <w:tcBorders>
              <w:bottom w:val="single" w:sz="8" w:color="424E6A"/>
            </w:tcBorders>
            <w:gridSpan w:val="2"/>
          </w:tcPr>
          <w:p>
            <w:pPr>
              <w:jc w:val="right"/>
              <w:ind w:right="150"/>
              <w:spacing w:after="0"/>
              <w:rPr>
                <w:sz w:val="20"/>
                <w:szCs w:val="20"/>
                <w:color w:val="auto"/>
              </w:rPr>
            </w:pPr>
            <w:r>
              <w:rPr>
                <w:rFonts w:ascii="Arial" w:cs="Arial" w:eastAsia="Arial" w:hAnsi="Arial"/>
                <w:sz w:val="14"/>
                <w:szCs w:val="14"/>
                <w:b w:val="1"/>
                <w:bCs w:val="1"/>
                <w:color w:val="FFFFFF"/>
              </w:rPr>
              <w:t>​ ​</w:t>
            </w:r>
          </w:p>
        </w:tc>
        <w:tc>
          <w:tcPr>
            <w:tcW w:w="1460" w:type="dxa"/>
            <w:vAlign w:val="bottom"/>
            <w:tcBorders>
              <w:bottom w:val="single" w:sz="8" w:color="424E6A"/>
            </w:tcBorders>
          </w:tcPr>
          <w:p>
            <w:pPr>
              <w:jc w:val="center"/>
              <w:spacing w:after="0"/>
              <w:rPr>
                <w:sz w:val="20"/>
                <w:szCs w:val="20"/>
                <w:color w:val="auto"/>
              </w:rPr>
            </w:pPr>
            <w:r>
              <w:rPr>
                <w:rFonts w:ascii="Arial" w:cs="Arial" w:eastAsia="Arial" w:hAnsi="Arial"/>
                <w:sz w:val="14"/>
                <w:szCs w:val="14"/>
                <w:b w:val="1"/>
                <w:bCs w:val="1"/>
                <w:color w:val="FFFFFF"/>
                <w:w w:val="99"/>
              </w:rPr>
              <w:t>Vesting Date</w:t>
            </w:r>
          </w:p>
        </w:tc>
        <w:tc>
          <w:tcPr>
            <w:tcW w:w="280" w:type="dxa"/>
            <w:vAlign w:val="bottom"/>
            <w:tcBorders>
              <w:bottom w:val="single" w:sz="8" w:color="424E6A"/>
            </w:tcBorders>
            <w:gridSpan w:val="2"/>
          </w:tcPr>
          <w:p>
            <w:pPr>
              <w:ind w:left="24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7"/>
                <w:szCs w:val="17"/>
                <w:color w:val="auto"/>
              </w:rPr>
            </w:pPr>
          </w:p>
        </w:tc>
      </w:tr>
      <w:tr>
        <w:trPr>
          <w:trHeight w:val="223"/>
        </w:trPr>
        <w:tc>
          <w:tcPr>
            <w:tcW w:w="20" w:type="dxa"/>
            <w:vAlign w:val="bottom"/>
            <w:tcBorders>
              <w:bottom w:val="single" w:sz="8" w:color="424E6A"/>
            </w:tcBorders>
            <w:shd w:val="clear" w:color="auto" w:fill="424E6A"/>
          </w:tcPr>
          <w:p>
            <w:pPr>
              <w:spacing w:after="0"/>
              <w:rPr>
                <w:sz w:val="19"/>
                <w:szCs w:val="19"/>
                <w:color w:val="auto"/>
              </w:rPr>
            </w:pPr>
          </w:p>
        </w:tc>
        <w:tc>
          <w:tcPr>
            <w:tcW w:w="2260" w:type="dxa"/>
            <w:vAlign w:val="bottom"/>
            <w:tcBorders>
              <w:bottom w:val="single" w:sz="8" w:color="424E6A"/>
            </w:tcBorders>
            <w:gridSpan w:val="2"/>
          </w:tcPr>
          <w:p>
            <w:pPr>
              <w:ind w:left="20"/>
              <w:spacing w:after="0"/>
              <w:rPr>
                <w:sz w:val="20"/>
                <w:szCs w:val="20"/>
                <w:color w:val="auto"/>
              </w:rPr>
            </w:pPr>
            <w:r>
              <w:rPr>
                <w:rFonts w:ascii="Arial" w:cs="Arial" w:eastAsia="Arial" w:hAnsi="Arial"/>
                <w:sz w:val="18"/>
                <w:szCs w:val="18"/>
                <w:color w:val="auto"/>
              </w:rPr>
              <w:t>​Burk</w:t>
            </w:r>
          </w:p>
        </w:tc>
        <w:tc>
          <w:tcPr>
            <w:tcW w:w="1220" w:type="dxa"/>
            <w:vAlign w:val="bottom"/>
            <w:tcBorders>
              <w:bottom w:val="single" w:sz="8" w:color="424E6A"/>
            </w:tcBorders>
          </w:tcPr>
          <w:p>
            <w:pPr>
              <w:spacing w:after="0"/>
              <w:rPr>
                <w:sz w:val="19"/>
                <w:szCs w:val="19"/>
                <w:color w:val="auto"/>
              </w:rPr>
            </w:pPr>
          </w:p>
        </w:tc>
        <w:tc>
          <w:tcPr>
            <w:tcW w:w="120" w:type="dxa"/>
            <w:vAlign w:val="bottom"/>
            <w:tcBorders>
              <w:bottom w:val="single" w:sz="8" w:color="424E6A"/>
              <w:right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9"/>
                <w:szCs w:val="19"/>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​35,240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​DeSanctis</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 8,050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​McCarthy</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10,622</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​30,572</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​Petersen</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​35,240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​Pruner</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​35,240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​Raymond</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​35,240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​Shackouls</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​35,240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​Temple</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​35,240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2260" w:type="dxa"/>
            <w:vAlign w:val="bottom"/>
            <w:tcBorders>
              <w:bottom w:val="single" w:sz="8" w:color="424E6A"/>
            </w:tcBorders>
            <w:gridSpan w:val="2"/>
          </w:tcPr>
          <w:p>
            <w:pPr>
              <w:ind w:left="20"/>
              <w:spacing w:after="0" w:line="196" w:lineRule="exact"/>
              <w:rPr>
                <w:sz w:val="20"/>
                <w:szCs w:val="20"/>
                <w:color w:val="auto"/>
              </w:rPr>
            </w:pPr>
            <w:r>
              <w:rPr>
                <w:rFonts w:ascii="Arial" w:cs="Arial" w:eastAsia="Arial" w:hAnsi="Arial"/>
                <w:sz w:val="18"/>
                <w:szCs w:val="18"/>
                <w:color w:val="auto"/>
              </w:rPr>
              <w:t>​Ziemba</w:t>
            </w: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8,050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15,290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2024</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424E6A"/>
            </w:tcBorders>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tcPr>
          <w:p>
            <w:pPr>
              <w:ind w:left="20"/>
              <w:spacing w:after="0" w:line="196" w:lineRule="exact"/>
              <w:rPr>
                <w:sz w:val="20"/>
                <w:szCs w:val="20"/>
                <w:color w:val="auto"/>
              </w:rPr>
            </w:pPr>
            <w:r>
              <w:rPr>
                <w:rFonts w:ascii="Arial" w:cs="Arial" w:eastAsia="Arial" w:hAnsi="Arial"/>
                <w:sz w:val="18"/>
                <w:szCs w:val="18"/>
                <w:color w:val="auto"/>
              </w:rPr>
              <w:t>​​</w:t>
            </w:r>
          </w:p>
        </w:tc>
        <w:tc>
          <w:tcPr>
            <w:tcW w:w="2120" w:type="dxa"/>
            <w:vAlign w:val="bottom"/>
            <w:tcBorders>
              <w:bottom w:val="single" w:sz="8" w:color="424E6A"/>
            </w:tcBorders>
          </w:tcPr>
          <w:p>
            <w:pPr>
              <w:spacing w:after="0"/>
              <w:rPr>
                <w:sz w:val="17"/>
                <w:szCs w:val="17"/>
                <w:color w:val="auto"/>
              </w:rPr>
            </w:pPr>
          </w:p>
        </w:tc>
        <w:tc>
          <w:tcPr>
            <w:tcW w:w="1220" w:type="dxa"/>
            <w:vAlign w:val="bottom"/>
            <w:tcBorders>
              <w:bottom w:val="single" w:sz="8" w:color="424E6A"/>
            </w:tcBorders>
          </w:tcPr>
          <w:p>
            <w:pPr>
              <w:spacing w:after="0"/>
              <w:rPr>
                <w:sz w:val="17"/>
                <w:szCs w:val="17"/>
                <w:color w:val="auto"/>
              </w:rPr>
            </w:pPr>
          </w:p>
        </w:tc>
        <w:tc>
          <w:tcPr>
            <w:tcW w:w="120" w:type="dxa"/>
            <w:vAlign w:val="bottom"/>
            <w:tcBorders>
              <w:bottom w:val="single" w:sz="8" w:color="424E6A"/>
              <w:right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tcPr>
          <w:p>
            <w:pPr>
              <w:ind w:left="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11,900</w:t>
            </w:r>
          </w:p>
        </w:tc>
        <w:tc>
          <w:tcPr>
            <w:tcW w:w="340" w:type="dxa"/>
            <w:vAlign w:val="bottom"/>
            <w:tcBorders>
              <w:bottom w:val="single" w:sz="8" w:color="424E6A"/>
              <w:right w:val="single" w:sz="8" w:color="424E6A"/>
            </w:tcBorders>
          </w:tcPr>
          <w:p>
            <w:pPr>
              <w:ind w:left="220"/>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color w:val="auto"/>
                <w:w w:val="98"/>
              </w:rPr>
              <w:t>August 2025</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96"/>
        </w:trPr>
        <w:tc>
          <w:tcPr>
            <w:tcW w:w="20" w:type="dxa"/>
            <w:vAlign w:val="bottom"/>
            <w:tcBorders>
              <w:bottom w:val="single" w:sz="8" w:color="424E6A"/>
            </w:tcBorders>
            <w:shd w:val="clear" w:color="auto" w:fill="424E6A"/>
          </w:tcPr>
          <w:p>
            <w:pPr>
              <w:spacing w:after="0"/>
              <w:rPr>
                <w:sz w:val="17"/>
                <w:szCs w:val="17"/>
                <w:color w:val="auto"/>
              </w:rPr>
            </w:pPr>
          </w:p>
        </w:tc>
        <w:tc>
          <w:tcPr>
            <w:tcW w:w="140" w:type="dxa"/>
            <w:vAlign w:val="bottom"/>
            <w:tcBorders>
              <w:bottom w:val="single" w:sz="8" w:color="424E6A"/>
            </w:tcBorders>
            <w:shd w:val="clear" w:color="auto" w:fill="D9DCE1"/>
          </w:tcPr>
          <w:p>
            <w:pPr>
              <w:ind w:left="20"/>
              <w:spacing w:after="0" w:line="196" w:lineRule="exact"/>
              <w:rPr>
                <w:sz w:val="20"/>
                <w:szCs w:val="20"/>
                <w:color w:val="auto"/>
              </w:rPr>
            </w:pPr>
            <w:r>
              <w:rPr>
                <w:rFonts w:ascii="Arial" w:cs="Arial" w:eastAsia="Arial" w:hAnsi="Arial"/>
                <w:sz w:val="18"/>
                <w:szCs w:val="18"/>
                <w:b w:val="1"/>
                <w:bCs w:val="1"/>
                <w:color w:val="auto"/>
              </w:rPr>
              <w:t>​</w:t>
            </w:r>
          </w:p>
        </w:tc>
        <w:tc>
          <w:tcPr>
            <w:tcW w:w="2120" w:type="dxa"/>
            <w:vAlign w:val="bottom"/>
            <w:tcBorders>
              <w:bottom w:val="single" w:sz="8" w:color="424E6A"/>
            </w:tcBorders>
            <w:shd w:val="clear" w:color="auto" w:fill="D9DCE1"/>
          </w:tcPr>
          <w:p>
            <w:pPr>
              <w:ind w:left="80"/>
              <w:spacing w:after="0" w:line="196"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424E6A"/>
            </w:tcBorders>
            <w:shd w:val="clear" w:color="auto" w:fill="D9DCE1"/>
          </w:tcPr>
          <w:p>
            <w:pPr>
              <w:spacing w:after="0"/>
              <w:rPr>
                <w:sz w:val="17"/>
                <w:szCs w:val="17"/>
                <w:color w:val="auto"/>
              </w:rPr>
            </w:pPr>
          </w:p>
        </w:tc>
        <w:tc>
          <w:tcPr>
            <w:tcW w:w="120" w:type="dxa"/>
            <w:vAlign w:val="bottom"/>
            <w:tcBorders>
              <w:bottom w:val="single" w:sz="8" w:color="424E6A"/>
              <w:right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424E6A"/>
            </w:tcBorders>
            <w:shd w:val="clear" w:color="auto" w:fill="D9DCE1"/>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424E6A"/>
            </w:tcBorders>
            <w:shd w:val="clear" w:color="auto" w:fill="D9DCE1"/>
          </w:tcPr>
          <w:p>
            <w:pPr>
              <w:jc w:val="center"/>
              <w:spacing w:after="0" w:line="196" w:lineRule="exact"/>
              <w:rPr>
                <w:sz w:val="20"/>
                <w:szCs w:val="20"/>
                <w:color w:val="auto"/>
              </w:rPr>
            </w:pPr>
            <w:r>
              <w:rPr>
                <w:rFonts w:ascii="Arial" w:cs="Arial" w:eastAsia="Arial" w:hAnsi="Arial"/>
                <w:sz w:val="18"/>
                <w:szCs w:val="18"/>
                <w:b w:val="1"/>
                <w:bCs w:val="1"/>
                <w:color w:val="auto"/>
              </w:rPr>
              <w:t>​35,240</w:t>
            </w:r>
          </w:p>
        </w:tc>
        <w:tc>
          <w:tcPr>
            <w:tcW w:w="340" w:type="dxa"/>
            <w:vAlign w:val="bottom"/>
            <w:tcBorders>
              <w:bottom w:val="single" w:sz="8" w:color="424E6A"/>
              <w:right w:val="single" w:sz="8" w:color="424E6A"/>
            </w:tcBorders>
            <w:shd w:val="clear" w:color="auto" w:fill="D9DCE1"/>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424E6A"/>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424E6A"/>
            </w:tcBorders>
          </w:tcPr>
          <w:p>
            <w:pPr>
              <w:jc w:val="center"/>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424E6A"/>
            </w:tcBorders>
            <w:gridSpan w:val="2"/>
          </w:tcPr>
          <w:p>
            <w:pPr>
              <w:ind w:left="24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1040130</wp:posOffset>
            </wp:positionH>
            <wp:positionV relativeFrom="paragraph">
              <wp:posOffset>-5142865</wp:posOffset>
            </wp:positionV>
            <wp:extent cx="4740275" cy="51435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40275" cy="5143500"/>
                    </a:xfrm>
                    <a:prstGeom prst="rect">
                      <a:avLst/>
                    </a:prstGeom>
                    <a:noFill/>
                  </pic:spPr>
                </pic:pic>
              </a:graphicData>
            </a:graphic>
          </wp:anchor>
        </w:drawing>
      </w:r>
    </w:p>
    <w:p>
      <w:pPr>
        <w:spacing w:after="0" w:line="56" w:lineRule="exact"/>
        <w:rPr>
          <w:sz w:val="20"/>
          <w:szCs w:val="20"/>
          <w:color w:val="auto"/>
        </w:rPr>
      </w:pPr>
    </w:p>
    <w:p>
      <w:pPr>
        <w:ind w:left="1620" w:right="439" w:hanging="360"/>
        <w:spacing w:after="0" w:line="237" w:lineRule="auto"/>
        <w:tabs>
          <w:tab w:leader="none" w:pos="1620" w:val="left"/>
        </w:tabs>
        <w:numPr>
          <w:ilvl w:val="0"/>
          <w:numId w:val="82"/>
        </w:numPr>
        <w:rPr>
          <w:rFonts w:ascii="Arial" w:cs="Arial" w:eastAsia="Arial" w:hAnsi="Arial"/>
          <w:sz w:val="27"/>
          <w:szCs w:val="27"/>
          <w:color w:val="auto"/>
          <w:vertAlign w:val="superscript"/>
        </w:rPr>
      </w:pPr>
      <w:r>
        <w:rPr>
          <w:rFonts w:ascii="Arial" w:cs="Arial" w:eastAsia="Arial" w:hAnsi="Arial"/>
          <w:sz w:val="18"/>
          <w:szCs w:val="18"/>
          <w:color w:val="auto"/>
        </w:rPr>
        <w:t>Mr. Armstrong served as Senior Advisor to the CEO during 2023 and received a salary of $250,000 and other compensation of $15,840 (comprising 401(k) plan matching contributions and premium payments for group term life insurance) for his services as an employee and as a director. Pursuant to his employment agreement, Mr. Armstrong will continue to serve as a director and will also serve as Senior Advisor to the CEO until the date of the 2024 annual meeting and he will receive an annual salary of $250,000 for these services. Mr. Armstrong does not hold any LTIP awards.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Retainers and Expense Reimbursement</w:t>
      </w:r>
    </w:p>
    <w:p>
      <w:pPr>
        <w:spacing w:after="0" w:line="14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During 2023, our non-employee directors received an annual retainer fee of $115,000. In addition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their annual retainer, each committee chairman (other than the Audit Committee chairman) received</w:t>
      </w:r>
    </w:p>
    <w:p>
      <w:pPr>
        <w:ind w:left="1260"/>
        <w:spacing w:after="0"/>
        <w:rPr>
          <w:sz w:val="20"/>
          <w:szCs w:val="20"/>
          <w:color w:val="auto"/>
        </w:rPr>
      </w:pPr>
      <w:r>
        <w:rPr>
          <w:rFonts w:ascii="Arial" w:cs="Arial" w:eastAsia="Arial" w:hAnsi="Arial"/>
          <w:sz w:val="18"/>
          <w:szCs w:val="18"/>
          <w:color w:val="auto"/>
        </w:rPr>
        <w:t>an additional retainer of $15,000, the Audit Committee chairman received an additional retainer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$30,000, each other member of the Audit Committee received an additional retainer of $15,000, and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Lead Director received an additional retainer of $35,000.</w:t>
      </w:r>
    </w:p>
    <w:p>
      <w:pPr>
        <w:spacing w:after="0" w:line="126"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Non-employee directors are reimbursed for reasonable travel, lodging and other out-of-pocket expenses related to meeting attendance or otherwise related to service on the Board (including, without limitation, reimbursement for continuing education expenses).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Long-Term Equity Awards</w:t>
      </w:r>
    </w:p>
    <w:p>
      <w:pPr>
        <w:spacing w:after="0" w:line="156"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Our non-employee directors receive annual LTIP awards as part of their compensation. In 2023, such LTIP awards consisted of PAGP phantom Class A shares having a market value on the date of grant equal to approximately $125,000 (based on a volume weighted average price for the 10-trading day period beginning five days before and ending five days after the ex-dividend date immediately preceding the date of grant). The annual LTIP awards granted in 2023 will vest (become payable in PAGP Class A shares on a one-for-one basis) on the August 2024 distribution date and include associated DERs. Outstanding director LTIP awards granted prior to 2022 will vest four years after the date of grant.</w:t>
      </w:r>
    </w:p>
    <w:p>
      <w:pPr>
        <w:spacing w:after="0" w:line="117"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is for “Cause,” as defined in the PAGP GP LLC Agreement.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Reimbursement of Expenses of PAA’s General Partner and its Affiliates</w:t>
      </w:r>
    </w:p>
    <w:p>
      <w:pPr>
        <w:spacing w:after="0" w:line="144"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8"/>
          <w:szCs w:val="18"/>
          <w:color w:val="auto"/>
        </w:rPr>
        <w:t>PAA does not pay its general partner a management fee, but it does reimburse its general partner for all direct and indirect costs of services provided to PAA or incurred on PAA’s behalf, including the costs of employee, officer and director compensation and benefits allocable to PAA, as well as all other expenses necessary or appropriate to the conduct of PAA’s business.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w:t>
      </w:r>
    </w:p>
    <w:p>
      <w:pPr>
        <w:spacing w:after="0" w:line="158" w:lineRule="exact"/>
        <w:rPr>
          <w:sz w:val="20"/>
          <w:szCs w:val="20"/>
          <w:color w:val="auto"/>
        </w:rPr>
      </w:pPr>
    </w:p>
    <w:p>
      <w:pPr>
        <w:ind w:left="1260" w:right="780" w:firstLine="360"/>
        <w:spacing w:after="0" w:line="254" w:lineRule="auto"/>
        <w:rPr>
          <w:sz w:val="20"/>
          <w:szCs w:val="20"/>
          <w:color w:val="auto"/>
        </w:rPr>
      </w:pPr>
      <w:r>
        <w:rPr>
          <w:rFonts w:ascii="Arial" w:cs="Arial" w:eastAsia="Arial" w:hAnsi="Arial"/>
          <w:sz w:val="18"/>
          <w:szCs w:val="18"/>
          <w:color w:val="auto"/>
        </w:rPr>
        <w:t>Our Class A, Class B and Class C shares outstanding represent 100% of our voting securities. The following table sets forth certain information regarding the beneficial ownership of our Class A, Class B and Class C shares as of March 25, 2024 (unless otherwise noted) by each person who is known to us to beneficially own more than 5% of our Class A shares, Class B shares and Class C shares, the Named Executive Officers, our directors, and all directors and executive officers as a group. As reflected below, PAA is the record owner of 100% of our Class C shares, but votes such shares for the election of directors at our Annual Meeting based on instructions received from the holders of PAA’s common units (other than Plains AAP) and Series A Preferred Units. See pages 9-11 for additional information regarding our ownership and voting structure, including the ownership of PAA's common units and Series A preferred units.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0" w:type="dxa"/>
            <w:vAlign w:val="bottom"/>
            <w:shd w:val="clear" w:color="auto" w:fill="424E6A"/>
          </w:tcPr>
          <w:p>
            <w:pPr>
              <w:spacing w:after="0"/>
              <w:rPr>
                <w:sz w:val="17"/>
                <w:szCs w:val="17"/>
                <w:color w:val="auto"/>
              </w:rPr>
            </w:pPr>
          </w:p>
        </w:tc>
        <w:tc>
          <w:tcPr>
            <w:tcW w:w="2540" w:type="dxa"/>
            <w:vAlign w:val="bottom"/>
            <w:shd w:val="clear" w:color="auto" w:fill="424E6A"/>
          </w:tcPr>
          <w:p>
            <w:pPr>
              <w:spacing w:after="0"/>
              <w:rPr>
                <w:sz w:val="17"/>
                <w:szCs w:val="17"/>
                <w:color w:val="auto"/>
              </w:rPr>
            </w:pPr>
          </w:p>
        </w:tc>
        <w:tc>
          <w:tcPr>
            <w:tcW w:w="260" w:type="dxa"/>
            <w:vAlign w:val="bottom"/>
            <w:shd w:val="clear" w:color="auto" w:fill="424E6A"/>
          </w:tcPr>
          <w:p>
            <w:pPr>
              <w:spacing w:after="0"/>
              <w:rPr>
                <w:sz w:val="17"/>
                <w:szCs w:val="17"/>
                <w:color w:val="auto"/>
              </w:rPr>
            </w:pPr>
          </w:p>
        </w:tc>
        <w:tc>
          <w:tcPr>
            <w:tcW w:w="860" w:type="dxa"/>
            <w:vAlign w:val="bottom"/>
            <w:shd w:val="clear" w:color="auto" w:fill="424E6A"/>
          </w:tcPr>
          <w:p>
            <w:pPr>
              <w:spacing w:after="0"/>
              <w:rPr>
                <w:sz w:val="17"/>
                <w:szCs w:val="17"/>
                <w:color w:val="auto"/>
              </w:rPr>
            </w:pPr>
          </w:p>
        </w:tc>
        <w:tc>
          <w:tcPr>
            <w:tcW w:w="40" w:type="dxa"/>
            <w:vAlign w:val="bottom"/>
            <w:shd w:val="clear" w:color="auto" w:fill="424E6A"/>
          </w:tcPr>
          <w:p>
            <w:pPr>
              <w:spacing w:after="0"/>
              <w:rPr>
                <w:sz w:val="17"/>
                <w:szCs w:val="17"/>
                <w:color w:val="auto"/>
              </w:rPr>
            </w:pPr>
          </w:p>
        </w:tc>
        <w:tc>
          <w:tcPr>
            <w:tcW w:w="360" w:type="dxa"/>
            <w:vAlign w:val="bottom"/>
            <w:shd w:val="clear" w:color="auto" w:fill="424E6A"/>
          </w:tcPr>
          <w:p>
            <w:pPr>
              <w:spacing w:after="0"/>
              <w:rPr>
                <w:sz w:val="17"/>
                <w:szCs w:val="17"/>
                <w:color w:val="auto"/>
              </w:rPr>
            </w:pPr>
          </w:p>
        </w:tc>
        <w:tc>
          <w:tcPr>
            <w:tcW w:w="400" w:type="dxa"/>
            <w:vAlign w:val="bottom"/>
            <w:shd w:val="clear" w:color="auto" w:fill="424E6A"/>
          </w:tcPr>
          <w:p>
            <w:pPr>
              <w:spacing w:after="0"/>
              <w:rPr>
                <w:sz w:val="17"/>
                <w:szCs w:val="17"/>
                <w:color w:val="auto"/>
              </w:rPr>
            </w:pPr>
          </w:p>
        </w:tc>
        <w:tc>
          <w:tcPr>
            <w:tcW w:w="300" w:type="dxa"/>
            <w:vAlign w:val="bottom"/>
            <w:shd w:val="clear" w:color="auto" w:fill="424E6A"/>
          </w:tcPr>
          <w:p>
            <w:pPr>
              <w:spacing w:after="0"/>
              <w:rPr>
                <w:sz w:val="17"/>
                <w:szCs w:val="17"/>
                <w:color w:val="auto"/>
              </w:rPr>
            </w:pPr>
          </w:p>
        </w:tc>
        <w:tc>
          <w:tcPr>
            <w:tcW w:w="940" w:type="dxa"/>
            <w:vAlign w:val="bottom"/>
            <w:shd w:val="clear" w:color="auto" w:fill="424E6A"/>
          </w:tcPr>
          <w:p>
            <w:pPr>
              <w:spacing w:after="0"/>
              <w:rPr>
                <w:sz w:val="17"/>
                <w:szCs w:val="17"/>
                <w:color w:val="auto"/>
              </w:rPr>
            </w:pPr>
          </w:p>
        </w:tc>
        <w:tc>
          <w:tcPr>
            <w:tcW w:w="320" w:type="dxa"/>
            <w:vAlign w:val="bottom"/>
            <w:shd w:val="clear" w:color="auto" w:fill="424E6A"/>
          </w:tcPr>
          <w:p>
            <w:pPr>
              <w:spacing w:after="0"/>
              <w:rPr>
                <w:sz w:val="17"/>
                <w:szCs w:val="17"/>
                <w:color w:val="auto"/>
              </w:rPr>
            </w:pPr>
          </w:p>
        </w:tc>
        <w:tc>
          <w:tcPr>
            <w:tcW w:w="460" w:type="dxa"/>
            <w:vAlign w:val="bottom"/>
            <w:shd w:val="clear" w:color="auto" w:fill="424E6A"/>
          </w:tcPr>
          <w:p>
            <w:pPr>
              <w:spacing w:after="0"/>
              <w:rPr>
                <w:sz w:val="17"/>
                <w:szCs w:val="17"/>
                <w:color w:val="auto"/>
              </w:rPr>
            </w:pPr>
          </w:p>
        </w:tc>
        <w:tc>
          <w:tcPr>
            <w:tcW w:w="320" w:type="dxa"/>
            <w:vAlign w:val="bottom"/>
            <w:shd w:val="clear" w:color="auto" w:fill="424E6A"/>
          </w:tcPr>
          <w:p>
            <w:pPr>
              <w:spacing w:after="0"/>
              <w:rPr>
                <w:sz w:val="17"/>
                <w:szCs w:val="17"/>
                <w:color w:val="auto"/>
              </w:rPr>
            </w:pPr>
          </w:p>
        </w:tc>
        <w:tc>
          <w:tcPr>
            <w:tcW w:w="920" w:type="dxa"/>
            <w:vAlign w:val="bottom"/>
            <w:shd w:val="clear" w:color="auto" w:fill="424E6A"/>
          </w:tcPr>
          <w:p>
            <w:pPr>
              <w:spacing w:after="0"/>
              <w:rPr>
                <w:sz w:val="17"/>
                <w:szCs w:val="17"/>
                <w:color w:val="auto"/>
              </w:rPr>
            </w:pPr>
          </w:p>
        </w:tc>
        <w:tc>
          <w:tcPr>
            <w:tcW w:w="360" w:type="dxa"/>
            <w:vAlign w:val="bottom"/>
            <w:shd w:val="clear" w:color="auto" w:fill="424E6A"/>
          </w:tcPr>
          <w:p>
            <w:pPr>
              <w:spacing w:after="0"/>
              <w:rPr>
                <w:sz w:val="17"/>
                <w:szCs w:val="17"/>
                <w:color w:val="auto"/>
              </w:rPr>
            </w:pPr>
          </w:p>
        </w:tc>
        <w:tc>
          <w:tcPr>
            <w:tcW w:w="440" w:type="dxa"/>
            <w:vAlign w:val="bottom"/>
            <w:shd w:val="clear" w:color="auto" w:fill="424E6A"/>
          </w:tcPr>
          <w:p>
            <w:pPr>
              <w:spacing w:after="0"/>
              <w:rPr>
                <w:sz w:val="17"/>
                <w:szCs w:val="17"/>
                <w:color w:val="auto"/>
              </w:rPr>
            </w:pPr>
          </w:p>
        </w:tc>
        <w:tc>
          <w:tcPr>
            <w:tcW w:w="200" w:type="dxa"/>
            <w:vAlign w:val="bottom"/>
            <w:shd w:val="clear" w:color="auto" w:fill="424E6A"/>
          </w:tcPr>
          <w:p>
            <w:pPr>
              <w:spacing w:after="0"/>
              <w:rPr>
                <w:sz w:val="17"/>
                <w:szCs w:val="17"/>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20" w:type="dxa"/>
            <w:vAlign w:val="bottom"/>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424E6A"/>
          </w:tcPr>
          <w:p>
            <w:pPr>
              <w:spacing w:after="0"/>
              <w:rPr>
                <w:sz w:val="14"/>
                <w:szCs w:val="14"/>
                <w:color w:val="auto"/>
              </w:rPr>
            </w:pPr>
          </w:p>
        </w:tc>
        <w:tc>
          <w:tcPr>
            <w:tcW w:w="2540" w:type="dxa"/>
            <w:vAlign w:val="bottom"/>
            <w:shd w:val="clear" w:color="auto" w:fill="424E6A"/>
          </w:tcPr>
          <w:p>
            <w:pPr>
              <w:spacing w:after="0"/>
              <w:rPr>
                <w:sz w:val="14"/>
                <w:szCs w:val="14"/>
                <w:color w:val="auto"/>
              </w:rPr>
            </w:pPr>
          </w:p>
        </w:tc>
        <w:tc>
          <w:tcPr>
            <w:tcW w:w="260" w:type="dxa"/>
            <w:vAlign w:val="bottom"/>
            <w:shd w:val="clear" w:color="auto" w:fill="424E6A"/>
          </w:tcPr>
          <w:p>
            <w:pPr>
              <w:spacing w:after="0"/>
              <w:rPr>
                <w:sz w:val="14"/>
                <w:szCs w:val="14"/>
                <w:color w:val="auto"/>
              </w:rPr>
            </w:pPr>
          </w:p>
        </w:tc>
        <w:tc>
          <w:tcPr>
            <w:tcW w:w="860" w:type="dxa"/>
            <w:vAlign w:val="bottom"/>
            <w:shd w:val="clear" w:color="auto" w:fill="424E6A"/>
          </w:tcPr>
          <w:p>
            <w:pPr>
              <w:spacing w:after="0"/>
              <w:rPr>
                <w:sz w:val="14"/>
                <w:szCs w:val="14"/>
                <w:color w:val="auto"/>
              </w:rPr>
            </w:pPr>
          </w:p>
        </w:tc>
        <w:tc>
          <w:tcPr>
            <w:tcW w:w="40" w:type="dxa"/>
            <w:vAlign w:val="bottom"/>
            <w:shd w:val="clear" w:color="auto" w:fill="424E6A"/>
          </w:tcPr>
          <w:p>
            <w:pPr>
              <w:spacing w:after="0"/>
              <w:rPr>
                <w:sz w:val="14"/>
                <w:szCs w:val="14"/>
                <w:color w:val="auto"/>
              </w:rPr>
            </w:pPr>
          </w:p>
        </w:tc>
        <w:tc>
          <w:tcPr>
            <w:tcW w:w="360" w:type="dxa"/>
            <w:vAlign w:val="bottom"/>
            <w:shd w:val="clear" w:color="auto" w:fill="424E6A"/>
          </w:tcPr>
          <w:p>
            <w:pPr>
              <w:spacing w:after="0"/>
              <w:rPr>
                <w:sz w:val="14"/>
                <w:szCs w:val="14"/>
                <w:color w:val="auto"/>
              </w:rPr>
            </w:pPr>
          </w:p>
        </w:tc>
        <w:tc>
          <w:tcPr>
            <w:tcW w:w="400" w:type="dxa"/>
            <w:vAlign w:val="bottom"/>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940" w:type="dxa"/>
            <w:vAlign w:val="bottom"/>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460" w:type="dxa"/>
            <w:vAlign w:val="bottom"/>
            <w:shd w:val="clear" w:color="auto" w:fill="424E6A"/>
          </w:tcPr>
          <w:p>
            <w:pPr>
              <w:spacing w:after="0"/>
              <w:rPr>
                <w:sz w:val="14"/>
                <w:szCs w:val="14"/>
                <w:color w:val="auto"/>
              </w:rPr>
            </w:pPr>
          </w:p>
        </w:tc>
        <w:tc>
          <w:tcPr>
            <w:tcW w:w="32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360" w:type="dxa"/>
            <w:vAlign w:val="bottom"/>
            <w:shd w:val="clear" w:color="auto" w:fill="424E6A"/>
          </w:tcPr>
          <w:p>
            <w:pPr>
              <w:spacing w:after="0"/>
              <w:rPr>
                <w:sz w:val="14"/>
                <w:szCs w:val="14"/>
                <w:color w:val="auto"/>
              </w:rPr>
            </w:pPr>
          </w:p>
        </w:tc>
        <w:tc>
          <w:tcPr>
            <w:tcW w:w="440" w:type="dxa"/>
            <w:vAlign w:val="bottom"/>
            <w:shd w:val="clear" w:color="auto" w:fill="424E6A"/>
          </w:tcPr>
          <w:p>
            <w:pPr>
              <w:spacing w:after="0"/>
              <w:rPr>
                <w:sz w:val="14"/>
                <w:szCs w:val="14"/>
                <w:color w:val="auto"/>
              </w:rPr>
            </w:pP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A,</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424E6A"/>
          </w:tcPr>
          <w:p>
            <w:pPr>
              <w:spacing w:after="0"/>
              <w:rPr>
                <w:sz w:val="14"/>
                <w:szCs w:val="14"/>
                <w:color w:val="auto"/>
              </w:rPr>
            </w:pPr>
          </w:p>
        </w:tc>
        <w:tc>
          <w:tcPr>
            <w:tcW w:w="25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Name of Beneficial Owner and</w:t>
            </w:r>
          </w:p>
        </w:tc>
        <w:tc>
          <w:tcPr>
            <w:tcW w:w="260" w:type="dxa"/>
            <w:vAlign w:val="bottom"/>
            <w:shd w:val="clear" w:color="auto" w:fill="424E6A"/>
          </w:tcPr>
          <w:p>
            <w:pPr>
              <w:spacing w:after="0"/>
              <w:rPr>
                <w:sz w:val="14"/>
                <w:szCs w:val="14"/>
                <w:color w:val="auto"/>
              </w:rPr>
            </w:pPr>
          </w:p>
        </w:tc>
        <w:tc>
          <w:tcPr>
            <w:tcW w:w="860" w:type="dxa"/>
            <w:vAlign w:val="bottom"/>
            <w:shd w:val="clear" w:color="auto" w:fill="424E6A"/>
          </w:tcPr>
          <w:p>
            <w:pPr>
              <w:spacing w:after="0"/>
              <w:rPr>
                <w:sz w:val="14"/>
                <w:szCs w:val="14"/>
                <w:color w:val="auto"/>
              </w:rPr>
            </w:pPr>
          </w:p>
        </w:tc>
        <w:tc>
          <w:tcPr>
            <w:tcW w:w="800" w:type="dxa"/>
            <w:vAlign w:val="bottom"/>
            <w:gridSpan w:val="3"/>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300" w:type="dxa"/>
            <w:vAlign w:val="bottom"/>
            <w:shd w:val="clear" w:color="auto" w:fill="424E6A"/>
          </w:tcPr>
          <w:p>
            <w:pPr>
              <w:spacing w:after="0"/>
              <w:rPr>
                <w:sz w:val="14"/>
                <w:szCs w:val="14"/>
                <w:color w:val="auto"/>
              </w:rPr>
            </w:pPr>
          </w:p>
        </w:tc>
        <w:tc>
          <w:tcPr>
            <w:tcW w:w="940" w:type="dxa"/>
            <w:vAlign w:val="bottom"/>
            <w:shd w:val="clear" w:color="auto" w:fill="424E6A"/>
          </w:tcPr>
          <w:p>
            <w:pPr>
              <w:spacing w:after="0"/>
              <w:rPr>
                <w:sz w:val="14"/>
                <w:szCs w:val="14"/>
                <w:color w:val="auto"/>
              </w:rPr>
            </w:pP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320" w:type="dxa"/>
            <w:vAlign w:val="bottom"/>
            <w:shd w:val="clear" w:color="auto" w:fill="424E6A"/>
          </w:tcPr>
          <w:p>
            <w:pPr>
              <w:spacing w:after="0"/>
              <w:rPr>
                <w:sz w:val="14"/>
                <w:szCs w:val="14"/>
                <w:color w:val="auto"/>
              </w:rPr>
            </w:pPr>
          </w:p>
        </w:tc>
        <w:tc>
          <w:tcPr>
            <w:tcW w:w="92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B and C</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424E6A"/>
          </w:tcPr>
          <w:p>
            <w:pPr>
              <w:spacing w:after="0"/>
              <w:rPr>
                <w:sz w:val="14"/>
                <w:szCs w:val="14"/>
                <w:color w:val="auto"/>
              </w:rPr>
            </w:pPr>
          </w:p>
        </w:tc>
        <w:tc>
          <w:tcPr>
            <w:tcW w:w="2540" w:type="dxa"/>
            <w:vAlign w:val="bottom"/>
            <w:shd w:val="clear" w:color="auto" w:fill="424E6A"/>
          </w:tcPr>
          <w:p>
            <w:pPr>
              <w:spacing w:after="0"/>
              <w:rPr>
                <w:sz w:val="20"/>
                <w:szCs w:val="20"/>
                <w:color w:val="auto"/>
              </w:rPr>
            </w:pPr>
            <w:r>
              <w:rPr>
                <w:rFonts w:ascii="Arial" w:cs="Arial" w:eastAsia="Arial" w:hAnsi="Arial"/>
                <w:sz w:val="14"/>
                <w:szCs w:val="14"/>
                <w:b w:val="1"/>
                <w:bCs w:val="1"/>
                <w:color w:val="FFFFFF"/>
              </w:rPr>
              <w:t>Address (in the case</w:t>
            </w:r>
          </w:p>
        </w:tc>
        <w:tc>
          <w:tcPr>
            <w:tcW w:w="260" w:type="dxa"/>
            <w:vAlign w:val="bottom"/>
            <w:shd w:val="clear" w:color="auto" w:fill="424E6A"/>
          </w:tcPr>
          <w:p>
            <w:pPr>
              <w:spacing w:after="0"/>
              <w:rPr>
                <w:sz w:val="14"/>
                <w:szCs w:val="14"/>
                <w:color w:val="auto"/>
              </w:rPr>
            </w:pPr>
          </w:p>
        </w:tc>
        <w:tc>
          <w:tcPr>
            <w:tcW w:w="860" w:type="dxa"/>
            <w:vAlign w:val="bottom"/>
            <w:shd w:val="clear" w:color="auto" w:fill="424E6A"/>
          </w:tcPr>
          <w:p>
            <w:pPr>
              <w:jc w:val="right"/>
              <w:ind w:right="262"/>
              <w:spacing w:after="0"/>
              <w:rPr>
                <w:sz w:val="20"/>
                <w:szCs w:val="20"/>
                <w:color w:val="auto"/>
              </w:rPr>
            </w:pPr>
            <w:r>
              <w:rPr>
                <w:rFonts w:ascii="Arial" w:cs="Arial" w:eastAsia="Arial" w:hAnsi="Arial"/>
                <w:sz w:val="14"/>
                <w:szCs w:val="14"/>
                <w:b w:val="1"/>
                <w:bCs w:val="1"/>
                <w:color w:val="FFFFFF"/>
              </w:rPr>
              <w:t>Class A</w:t>
            </w:r>
          </w:p>
        </w:tc>
        <w:tc>
          <w:tcPr>
            <w:tcW w:w="40" w:type="dxa"/>
            <w:vAlign w:val="bottom"/>
            <w:shd w:val="clear" w:color="auto" w:fill="424E6A"/>
          </w:tcPr>
          <w:p>
            <w:pPr>
              <w:spacing w:after="0"/>
              <w:rPr>
                <w:sz w:val="14"/>
                <w:szCs w:val="14"/>
                <w:color w:val="auto"/>
              </w:rPr>
            </w:pPr>
          </w:p>
        </w:tc>
        <w:tc>
          <w:tcPr>
            <w:tcW w:w="7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of Class A</w:t>
            </w:r>
          </w:p>
        </w:tc>
        <w:tc>
          <w:tcPr>
            <w:tcW w:w="300" w:type="dxa"/>
            <w:vAlign w:val="bottom"/>
            <w:shd w:val="clear" w:color="auto" w:fill="424E6A"/>
          </w:tcPr>
          <w:p>
            <w:pPr>
              <w:spacing w:after="0"/>
              <w:rPr>
                <w:sz w:val="14"/>
                <w:szCs w:val="14"/>
                <w:color w:val="auto"/>
              </w:rPr>
            </w:pPr>
          </w:p>
        </w:tc>
        <w:tc>
          <w:tcPr>
            <w:tcW w:w="940" w:type="dxa"/>
            <w:vAlign w:val="bottom"/>
            <w:shd w:val="clear" w:color="auto" w:fill="424E6A"/>
          </w:tcPr>
          <w:p>
            <w:pPr>
              <w:jc w:val="right"/>
              <w:ind w:right="291"/>
              <w:spacing w:after="0"/>
              <w:rPr>
                <w:sz w:val="20"/>
                <w:szCs w:val="20"/>
                <w:color w:val="auto"/>
              </w:rPr>
            </w:pPr>
            <w:r>
              <w:rPr>
                <w:rFonts w:ascii="Arial" w:cs="Arial" w:eastAsia="Arial" w:hAnsi="Arial"/>
                <w:sz w:val="14"/>
                <w:szCs w:val="14"/>
                <w:b w:val="1"/>
                <w:bCs w:val="1"/>
                <w:color w:val="FFFFFF"/>
              </w:rPr>
              <w:t>Class B</w:t>
            </w: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B</w:t>
            </w:r>
          </w:p>
        </w:tc>
        <w:tc>
          <w:tcPr>
            <w:tcW w:w="320" w:type="dxa"/>
            <w:vAlign w:val="bottom"/>
            <w:shd w:val="clear" w:color="auto" w:fill="424E6A"/>
          </w:tcPr>
          <w:p>
            <w:pPr>
              <w:spacing w:after="0"/>
              <w:rPr>
                <w:sz w:val="14"/>
                <w:szCs w:val="14"/>
                <w:color w:val="auto"/>
              </w:rPr>
            </w:pPr>
          </w:p>
        </w:tc>
        <w:tc>
          <w:tcPr>
            <w:tcW w:w="920" w:type="dxa"/>
            <w:vAlign w:val="bottom"/>
            <w:shd w:val="clear" w:color="auto" w:fill="424E6A"/>
          </w:tcPr>
          <w:p>
            <w:pPr>
              <w:jc w:val="right"/>
              <w:ind w:right="288"/>
              <w:spacing w:after="0"/>
              <w:rPr>
                <w:sz w:val="20"/>
                <w:szCs w:val="20"/>
                <w:color w:val="auto"/>
              </w:rPr>
            </w:pPr>
            <w:r>
              <w:rPr>
                <w:rFonts w:ascii="Arial" w:cs="Arial" w:eastAsia="Arial" w:hAnsi="Arial"/>
                <w:sz w:val="14"/>
                <w:szCs w:val="14"/>
                <w:b w:val="1"/>
                <w:bCs w:val="1"/>
                <w:color w:val="FFFFFF"/>
              </w:rPr>
              <w:t>Class C</w:t>
            </w: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Class C</w:t>
            </w:r>
          </w:p>
        </w:tc>
        <w:tc>
          <w:tcPr>
            <w:tcW w:w="200" w:type="dxa"/>
            <w:vAlign w:val="bottom"/>
            <w:shd w:val="clear" w:color="auto" w:fill="424E6A"/>
          </w:tcPr>
          <w:p>
            <w:pPr>
              <w:spacing w:after="0"/>
              <w:rPr>
                <w:sz w:val="14"/>
                <w:szCs w:val="14"/>
                <w:color w:val="auto"/>
              </w:rPr>
            </w:pP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120" w:type="dxa"/>
            <w:vAlign w:val="bottom"/>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20" w:type="dxa"/>
            <w:vAlign w:val="bottom"/>
            <w:gridSpan w:val="2"/>
            <w:shd w:val="clear" w:color="auto" w:fill="424E6A"/>
          </w:tcPr>
          <w:p>
            <w:pPr>
              <w:ind w:left="40"/>
              <w:spacing w:after="0"/>
              <w:rPr>
                <w:sz w:val="20"/>
                <w:szCs w:val="20"/>
                <w:color w:val="auto"/>
              </w:rPr>
            </w:pPr>
            <w:r>
              <w:rPr>
                <w:rFonts w:ascii="Arial" w:cs="Arial" w:eastAsia="Arial" w:hAnsi="Arial"/>
                <w:sz w:val="14"/>
                <w:szCs w:val="14"/>
                <w:b w:val="1"/>
                <w:bCs w:val="1"/>
                <w:color w:val="FFFFFF"/>
              </w:rPr>
              <w:t>​of Owners of more than 5%)</w:t>
            </w:r>
          </w:p>
        </w:tc>
        <w:tc>
          <w:tcPr>
            <w:tcW w:w="260" w:type="dxa"/>
            <w:vAlign w:val="bottom"/>
            <w:shd w:val="clear" w:color="auto" w:fill="424E6A"/>
          </w:tcPr>
          <w:p>
            <w:pPr>
              <w:ind w:left="60"/>
              <w:spacing w:after="0"/>
              <w:rPr>
                <w:sz w:val="20"/>
                <w:szCs w:val="20"/>
                <w:color w:val="auto"/>
              </w:rPr>
            </w:pPr>
            <w:r>
              <w:rPr>
                <w:rFonts w:ascii="Arial" w:cs="Arial" w:eastAsia="Arial" w:hAnsi="Arial"/>
                <w:sz w:val="14"/>
                <w:szCs w:val="14"/>
                <w:b w:val="1"/>
                <w:bCs w:val="1"/>
                <w:color w:val="FFFFFF"/>
              </w:rPr>
              <w:t>​ ​</w:t>
            </w:r>
          </w:p>
        </w:tc>
        <w:tc>
          <w:tcPr>
            <w:tcW w:w="86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Shares  ​ ​</w:t>
            </w:r>
          </w:p>
        </w:tc>
        <w:tc>
          <w:tcPr>
            <w:tcW w:w="40" w:type="dxa"/>
            <w:vAlign w:val="bottom"/>
            <w:shd w:val="clear" w:color="auto" w:fill="424E6A"/>
          </w:tcPr>
          <w:p>
            <w:pPr>
              <w:spacing w:after="0"/>
              <w:rPr>
                <w:sz w:val="14"/>
                <w:szCs w:val="14"/>
                <w:color w:val="auto"/>
              </w:rPr>
            </w:pPr>
          </w:p>
        </w:tc>
        <w:tc>
          <w:tcPr>
            <w:tcW w:w="76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30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Shares   ​ ​</w:t>
            </w:r>
          </w:p>
        </w:tc>
        <w:tc>
          <w:tcPr>
            <w:tcW w:w="7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Shares</w:t>
            </w:r>
          </w:p>
        </w:tc>
        <w:tc>
          <w:tcPr>
            <w:tcW w:w="3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Shares   ​ ​</w:t>
            </w:r>
          </w:p>
        </w:tc>
        <w:tc>
          <w:tcPr>
            <w:tcW w:w="80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000" w:type="dxa"/>
            <w:vAlign w:val="bottom"/>
            <w:gridSpan w:val="3"/>
            <w:shd w:val="clear" w:color="auto" w:fill="424E6A"/>
          </w:tcPr>
          <w:p>
            <w:pPr>
              <w:ind w:left="60"/>
              <w:spacing w:after="0"/>
              <w:rPr>
                <w:sz w:val="20"/>
                <w:szCs w:val="20"/>
                <w:color w:val="auto"/>
              </w:rPr>
            </w:pPr>
            <w:r>
              <w:rPr>
                <w:rFonts w:ascii="Arial" w:cs="Arial" w:eastAsia="Arial" w:hAnsi="Arial"/>
                <w:sz w:val="14"/>
                <w:szCs w:val="14"/>
                <w:b w:val="1"/>
                <w:bCs w:val="1"/>
                <w:color w:val="FFFFFF"/>
              </w:rPr>
              <w:t>​ ​ Combined</w:t>
            </w:r>
          </w:p>
        </w:tc>
        <w:tc>
          <w:tcPr>
            <w:tcW w:w="120" w:type="dxa"/>
            <w:vAlign w:val="bottom"/>
            <w:shd w:val="clear" w:color="auto" w:fill="424E6A"/>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Tortoise Capital Advisors, L.L.C.</w:t>
            </w:r>
            <w:r>
              <w:rPr>
                <w:rFonts w:ascii="Arial" w:cs="Arial" w:eastAsia="Arial" w:hAnsi="Arial"/>
                <w:sz w:val="17"/>
                <w:szCs w:val="17"/>
                <w:color w:val="auto"/>
                <w:vertAlign w:val="superscript"/>
              </w:rPr>
              <w:t>(3)</w:t>
            </w:r>
          </w:p>
        </w:tc>
        <w:tc>
          <w:tcPr>
            <w:tcW w:w="1120" w:type="dxa"/>
            <w:vAlign w:val="bottom"/>
            <w:gridSpan w:val="2"/>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11,538,084​​ ​</w:t>
            </w:r>
          </w:p>
        </w:tc>
        <w:tc>
          <w:tcPr>
            <w:tcW w:w="40" w:type="dxa"/>
            <w:vAlign w:val="bottom"/>
            <w:shd w:val="clear" w:color="auto" w:fill="D9DCE1"/>
          </w:tcPr>
          <w:p>
            <w:pPr>
              <w:spacing w:after="0"/>
              <w:rPr>
                <w:sz w:val="21"/>
                <w:szCs w:val="21"/>
                <w:color w:val="auto"/>
              </w:rPr>
            </w:pPr>
          </w:p>
        </w:tc>
        <w:tc>
          <w:tcPr>
            <w:tcW w:w="76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5.8%</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6363 College Blvd., Suite 100A</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  Overland Park, KS 66211</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D9DCE1"/>
          </w:tcPr>
          <w:p>
            <w:pPr>
              <w:spacing w:after="0"/>
              <w:rPr>
                <w:sz w:val="16"/>
                <w:szCs w:val="16"/>
                <w:color w:val="auto"/>
              </w:rPr>
            </w:pPr>
          </w:p>
        </w:tc>
        <w:tc>
          <w:tcPr>
            <w:tcW w:w="2540" w:type="dxa"/>
            <w:vAlign w:val="bottom"/>
            <w:shd w:val="clear" w:color="auto" w:fill="D9DCE1"/>
          </w:tcPr>
          <w:p>
            <w:pPr>
              <w:spacing w:after="0"/>
              <w:rPr>
                <w:sz w:val="20"/>
                <w:szCs w:val="20"/>
                <w:color w:val="auto"/>
              </w:rPr>
            </w:pPr>
            <w:r>
              <w:rPr>
                <w:rFonts w:ascii="Arial" w:cs="Arial" w:eastAsia="Arial" w:hAnsi="Arial"/>
                <w:sz w:val="14"/>
                <w:szCs w:val="14"/>
                <w:color w:val="auto"/>
              </w:rPr>
              <w:t>Massachusetts Financial Services</w:t>
            </w:r>
          </w:p>
        </w:tc>
        <w:tc>
          <w:tcPr>
            <w:tcW w:w="260" w:type="dxa"/>
            <w:vAlign w:val="bottom"/>
            <w:shd w:val="clear" w:color="auto" w:fill="D9DCE1"/>
          </w:tcPr>
          <w:p>
            <w:pPr>
              <w:spacing w:after="0"/>
              <w:rPr>
                <w:sz w:val="16"/>
                <w:szCs w:val="16"/>
                <w:color w:val="auto"/>
              </w:rPr>
            </w:pPr>
          </w:p>
        </w:tc>
        <w:tc>
          <w:tcPr>
            <w:tcW w:w="860" w:type="dxa"/>
            <w:vAlign w:val="bottom"/>
            <w:shd w:val="clear" w:color="auto" w:fill="D9DCE1"/>
          </w:tcPr>
          <w:p>
            <w:pPr>
              <w:spacing w:after="0"/>
              <w:rPr>
                <w:sz w:val="16"/>
                <w:szCs w:val="16"/>
                <w:color w:val="auto"/>
              </w:rPr>
            </w:pPr>
          </w:p>
        </w:tc>
        <w:tc>
          <w:tcPr>
            <w:tcW w:w="40" w:type="dxa"/>
            <w:vAlign w:val="bottom"/>
            <w:shd w:val="clear" w:color="auto" w:fill="D9DCE1"/>
          </w:tcPr>
          <w:p>
            <w:pPr>
              <w:spacing w:after="0"/>
              <w:rPr>
                <w:sz w:val="16"/>
                <w:szCs w:val="16"/>
                <w:color w:val="auto"/>
              </w:rPr>
            </w:pPr>
          </w:p>
        </w:tc>
        <w:tc>
          <w:tcPr>
            <w:tcW w:w="360" w:type="dxa"/>
            <w:vAlign w:val="bottom"/>
            <w:shd w:val="clear" w:color="auto" w:fill="D9DCE1"/>
          </w:tcPr>
          <w:p>
            <w:pPr>
              <w:spacing w:after="0"/>
              <w:rPr>
                <w:sz w:val="16"/>
                <w:szCs w:val="16"/>
                <w:color w:val="auto"/>
              </w:rPr>
            </w:pPr>
          </w:p>
        </w:tc>
        <w:tc>
          <w:tcPr>
            <w:tcW w:w="400" w:type="dxa"/>
            <w:vAlign w:val="bottom"/>
            <w:shd w:val="clear" w:color="auto" w:fill="D9DCE1"/>
          </w:tcPr>
          <w:p>
            <w:pPr>
              <w:spacing w:after="0"/>
              <w:rPr>
                <w:sz w:val="16"/>
                <w:szCs w:val="16"/>
                <w:color w:val="auto"/>
              </w:rPr>
            </w:pPr>
          </w:p>
        </w:tc>
        <w:tc>
          <w:tcPr>
            <w:tcW w:w="300" w:type="dxa"/>
            <w:vAlign w:val="bottom"/>
            <w:shd w:val="clear" w:color="auto" w:fill="D9DCE1"/>
          </w:tcPr>
          <w:p>
            <w:pPr>
              <w:spacing w:after="0"/>
              <w:rPr>
                <w:sz w:val="16"/>
                <w:szCs w:val="16"/>
                <w:color w:val="auto"/>
              </w:rPr>
            </w:pPr>
          </w:p>
        </w:tc>
        <w:tc>
          <w:tcPr>
            <w:tcW w:w="940" w:type="dxa"/>
            <w:vAlign w:val="bottom"/>
            <w:shd w:val="clear" w:color="auto" w:fill="D9DCE1"/>
          </w:tcPr>
          <w:p>
            <w:pPr>
              <w:spacing w:after="0"/>
              <w:rPr>
                <w:sz w:val="16"/>
                <w:szCs w:val="16"/>
                <w:color w:val="auto"/>
              </w:rPr>
            </w:pPr>
          </w:p>
        </w:tc>
        <w:tc>
          <w:tcPr>
            <w:tcW w:w="320" w:type="dxa"/>
            <w:vAlign w:val="bottom"/>
            <w:shd w:val="clear" w:color="auto" w:fill="D9DCE1"/>
          </w:tcPr>
          <w:p>
            <w:pPr>
              <w:spacing w:after="0"/>
              <w:rPr>
                <w:sz w:val="16"/>
                <w:szCs w:val="16"/>
                <w:color w:val="auto"/>
              </w:rPr>
            </w:pPr>
          </w:p>
        </w:tc>
        <w:tc>
          <w:tcPr>
            <w:tcW w:w="460" w:type="dxa"/>
            <w:vAlign w:val="bottom"/>
            <w:shd w:val="clear" w:color="auto" w:fill="D9DCE1"/>
          </w:tcPr>
          <w:p>
            <w:pPr>
              <w:spacing w:after="0"/>
              <w:rPr>
                <w:sz w:val="16"/>
                <w:szCs w:val="16"/>
                <w:color w:val="auto"/>
              </w:rPr>
            </w:pPr>
          </w:p>
        </w:tc>
        <w:tc>
          <w:tcPr>
            <w:tcW w:w="320" w:type="dxa"/>
            <w:vAlign w:val="bottom"/>
            <w:shd w:val="clear" w:color="auto" w:fill="D9DCE1"/>
          </w:tcPr>
          <w:p>
            <w:pPr>
              <w:spacing w:after="0"/>
              <w:rPr>
                <w:sz w:val="16"/>
                <w:szCs w:val="16"/>
                <w:color w:val="auto"/>
              </w:rPr>
            </w:pPr>
          </w:p>
        </w:tc>
        <w:tc>
          <w:tcPr>
            <w:tcW w:w="920" w:type="dxa"/>
            <w:vAlign w:val="bottom"/>
            <w:shd w:val="clear" w:color="auto" w:fill="D9DCE1"/>
          </w:tcPr>
          <w:p>
            <w:pPr>
              <w:spacing w:after="0"/>
              <w:rPr>
                <w:sz w:val="16"/>
                <w:szCs w:val="16"/>
                <w:color w:val="auto"/>
              </w:rPr>
            </w:pPr>
          </w:p>
        </w:tc>
        <w:tc>
          <w:tcPr>
            <w:tcW w:w="360" w:type="dxa"/>
            <w:vAlign w:val="bottom"/>
            <w:shd w:val="clear" w:color="auto" w:fill="D9DCE1"/>
          </w:tcPr>
          <w:p>
            <w:pPr>
              <w:spacing w:after="0"/>
              <w:rPr>
                <w:sz w:val="16"/>
                <w:szCs w:val="16"/>
                <w:color w:val="auto"/>
              </w:rPr>
            </w:pPr>
          </w:p>
        </w:tc>
        <w:tc>
          <w:tcPr>
            <w:tcW w:w="440" w:type="dxa"/>
            <w:vAlign w:val="bottom"/>
            <w:shd w:val="clear" w:color="auto" w:fill="D9DCE1"/>
          </w:tcPr>
          <w:p>
            <w:pPr>
              <w:spacing w:after="0"/>
              <w:rPr>
                <w:sz w:val="16"/>
                <w:szCs w:val="16"/>
                <w:color w:val="auto"/>
              </w:rPr>
            </w:pPr>
          </w:p>
        </w:tc>
        <w:tc>
          <w:tcPr>
            <w:tcW w:w="200" w:type="dxa"/>
            <w:vAlign w:val="bottom"/>
            <w:shd w:val="clear" w:color="auto" w:fill="D9DCE1"/>
          </w:tcPr>
          <w:p>
            <w:pPr>
              <w:spacing w:after="0"/>
              <w:rPr>
                <w:sz w:val="16"/>
                <w:szCs w:val="16"/>
                <w:color w:val="auto"/>
              </w:rPr>
            </w:pPr>
          </w:p>
        </w:tc>
        <w:tc>
          <w:tcPr>
            <w:tcW w:w="340" w:type="dxa"/>
            <w:vAlign w:val="bottom"/>
            <w:shd w:val="clear" w:color="auto" w:fill="D9DCE1"/>
          </w:tcPr>
          <w:p>
            <w:pPr>
              <w:spacing w:after="0"/>
              <w:rPr>
                <w:sz w:val="16"/>
                <w:szCs w:val="16"/>
                <w:color w:val="auto"/>
              </w:rPr>
            </w:pPr>
          </w:p>
        </w:tc>
        <w:tc>
          <w:tcPr>
            <w:tcW w:w="460" w:type="dxa"/>
            <w:vAlign w:val="bottom"/>
            <w:shd w:val="clear" w:color="auto" w:fill="D9DCE1"/>
          </w:tcPr>
          <w:p>
            <w:pPr>
              <w:spacing w:after="0"/>
              <w:rPr>
                <w:sz w:val="16"/>
                <w:szCs w:val="16"/>
                <w:color w:val="auto"/>
              </w:rPr>
            </w:pPr>
          </w:p>
        </w:tc>
        <w:tc>
          <w:tcPr>
            <w:tcW w:w="120" w:type="dxa"/>
            <w:vAlign w:val="bottom"/>
            <w:shd w:val="clear" w:color="auto" w:fill="D9DCE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540" w:type="dxa"/>
            <w:vAlign w:val="bottom"/>
            <w:shd w:val="clear" w:color="auto" w:fill="D9DCE1"/>
          </w:tcPr>
          <w:p>
            <w:pPr>
              <w:ind w:left="140"/>
              <w:spacing w:after="0" w:line="189" w:lineRule="exact"/>
              <w:rPr>
                <w:sz w:val="20"/>
                <w:szCs w:val="20"/>
                <w:color w:val="auto"/>
              </w:rPr>
            </w:pPr>
            <w:r>
              <w:rPr>
                <w:rFonts w:ascii="Arial" w:cs="Arial" w:eastAsia="Arial" w:hAnsi="Arial"/>
                <w:sz w:val="14"/>
                <w:szCs w:val="14"/>
                <w:color w:val="auto"/>
              </w:rPr>
              <w:t>Company</w:t>
            </w:r>
            <w:r>
              <w:rPr>
                <w:rFonts w:ascii="Arial" w:cs="Arial" w:eastAsia="Arial" w:hAnsi="Arial"/>
                <w:sz w:val="17"/>
                <w:szCs w:val="17"/>
                <w:color w:val="auto"/>
                <w:vertAlign w:val="superscript"/>
              </w:rPr>
              <w:t>(4)</w:t>
            </w:r>
          </w:p>
        </w:tc>
        <w:tc>
          <w:tcPr>
            <w:tcW w:w="1120" w:type="dxa"/>
            <w:vAlign w:val="bottom"/>
            <w:gridSpan w:val="2"/>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11,449,465​​ ​</w:t>
            </w:r>
          </w:p>
        </w:tc>
        <w:tc>
          <w:tcPr>
            <w:tcW w:w="40" w:type="dxa"/>
            <w:vAlign w:val="bottom"/>
            <w:shd w:val="clear" w:color="auto" w:fill="D9DCE1"/>
          </w:tcPr>
          <w:p>
            <w:pPr>
              <w:spacing w:after="0"/>
              <w:rPr>
                <w:sz w:val="16"/>
                <w:szCs w:val="16"/>
                <w:color w:val="auto"/>
              </w:rPr>
            </w:pPr>
          </w:p>
        </w:tc>
        <w:tc>
          <w:tcPr>
            <w:tcW w:w="76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5.8%</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111 Huntington Avenue</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vMerge w:val="continue"/>
          </w:tcPr>
          <w:p>
            <w:pPr>
              <w:spacing w:after="0"/>
              <w:rPr>
                <w:sz w:val="13"/>
                <w:szCs w:val="13"/>
                <w:color w:val="auto"/>
              </w:rPr>
            </w:pPr>
          </w:p>
        </w:tc>
        <w:tc>
          <w:tcPr>
            <w:tcW w:w="2540" w:type="dxa"/>
            <w:vAlign w:val="bottom"/>
          </w:tcPr>
          <w:p>
            <w:pPr>
              <w:ind w:left="140"/>
              <w:spacing w:after="0" w:line="158" w:lineRule="exact"/>
              <w:rPr>
                <w:sz w:val="20"/>
                <w:szCs w:val="20"/>
                <w:color w:val="auto"/>
              </w:rPr>
            </w:pPr>
            <w:r>
              <w:rPr>
                <w:rFonts w:ascii="Arial" w:cs="Arial" w:eastAsia="Arial" w:hAnsi="Arial"/>
                <w:sz w:val="14"/>
                <w:szCs w:val="14"/>
                <w:color w:val="auto"/>
              </w:rPr>
              <w:t>Boston, MA 02199</w:t>
            </w:r>
          </w:p>
        </w:tc>
        <w:tc>
          <w:tcPr>
            <w:tcW w:w="2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Energy Income Partners, LLC</w:t>
            </w:r>
            <w:r>
              <w:rPr>
                <w:rFonts w:ascii="Arial" w:cs="Arial" w:eastAsia="Arial" w:hAnsi="Arial"/>
                <w:sz w:val="17"/>
                <w:szCs w:val="17"/>
                <w:color w:val="auto"/>
                <w:vertAlign w:val="superscript"/>
              </w:rPr>
              <w:t>(5)</w:t>
            </w:r>
          </w:p>
        </w:tc>
        <w:tc>
          <w:tcPr>
            <w:tcW w:w="1120" w:type="dxa"/>
            <w:vAlign w:val="bottom"/>
            <w:gridSpan w:val="2"/>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11,311,752​​ ​</w:t>
            </w:r>
          </w:p>
        </w:tc>
        <w:tc>
          <w:tcPr>
            <w:tcW w:w="40" w:type="dxa"/>
            <w:vAlign w:val="bottom"/>
            <w:shd w:val="clear" w:color="auto" w:fill="D9DCE1"/>
          </w:tcPr>
          <w:p>
            <w:pPr>
              <w:spacing w:after="0"/>
              <w:rPr>
                <w:sz w:val="21"/>
                <w:szCs w:val="21"/>
                <w:color w:val="auto"/>
              </w:rPr>
            </w:pPr>
          </w:p>
        </w:tc>
        <w:tc>
          <w:tcPr>
            <w:tcW w:w="76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5.7%</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10 Wright Street</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vMerge w:val="continue"/>
          </w:tcPr>
          <w:p>
            <w:pPr>
              <w:spacing w:after="0"/>
              <w:rPr>
                <w:sz w:val="13"/>
                <w:szCs w:val="13"/>
                <w:color w:val="auto"/>
              </w:rPr>
            </w:pPr>
          </w:p>
        </w:tc>
        <w:tc>
          <w:tcPr>
            <w:tcW w:w="2540" w:type="dxa"/>
            <w:vAlign w:val="bottom"/>
          </w:tcPr>
          <w:p>
            <w:pPr>
              <w:ind w:left="140"/>
              <w:spacing w:after="0" w:line="158" w:lineRule="exact"/>
              <w:rPr>
                <w:sz w:val="20"/>
                <w:szCs w:val="20"/>
                <w:color w:val="auto"/>
              </w:rPr>
            </w:pPr>
            <w:r>
              <w:rPr>
                <w:rFonts w:ascii="Arial" w:cs="Arial" w:eastAsia="Arial" w:hAnsi="Arial"/>
                <w:sz w:val="14"/>
                <w:szCs w:val="14"/>
                <w:color w:val="auto"/>
              </w:rPr>
              <w:t>Westport, CT 06880</w:t>
            </w:r>
          </w:p>
        </w:tc>
        <w:tc>
          <w:tcPr>
            <w:tcW w:w="2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First Trust</w:t>
            </w:r>
            <w:r>
              <w:rPr>
                <w:rFonts w:ascii="Arial" w:cs="Arial" w:eastAsia="Arial" w:hAnsi="Arial"/>
                <w:sz w:val="17"/>
                <w:szCs w:val="17"/>
                <w:color w:val="auto"/>
                <w:vertAlign w:val="superscript"/>
              </w:rPr>
              <w:t>(6)</w:t>
            </w:r>
          </w:p>
        </w:tc>
        <w:tc>
          <w:tcPr>
            <w:tcW w:w="1120" w:type="dxa"/>
            <w:vAlign w:val="bottom"/>
            <w:gridSpan w:val="2"/>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10,356,813​​ ​</w:t>
            </w:r>
          </w:p>
        </w:tc>
        <w:tc>
          <w:tcPr>
            <w:tcW w:w="40" w:type="dxa"/>
            <w:vAlign w:val="bottom"/>
            <w:shd w:val="clear" w:color="auto" w:fill="D9DCE1"/>
          </w:tcPr>
          <w:p>
            <w:pPr>
              <w:spacing w:after="0"/>
              <w:rPr>
                <w:sz w:val="21"/>
                <w:szCs w:val="21"/>
                <w:color w:val="auto"/>
              </w:rPr>
            </w:pPr>
          </w:p>
        </w:tc>
        <w:tc>
          <w:tcPr>
            <w:tcW w:w="76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5.3%</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120 East Liberty Dr.</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vMerge w:val="continue"/>
          </w:tcPr>
          <w:p>
            <w:pPr>
              <w:spacing w:after="0"/>
              <w:rPr>
                <w:sz w:val="13"/>
                <w:szCs w:val="13"/>
                <w:color w:val="auto"/>
              </w:rPr>
            </w:pPr>
          </w:p>
        </w:tc>
        <w:tc>
          <w:tcPr>
            <w:tcW w:w="2540" w:type="dxa"/>
            <w:vAlign w:val="bottom"/>
          </w:tcPr>
          <w:p>
            <w:pPr>
              <w:ind w:left="140"/>
              <w:spacing w:after="0" w:line="158" w:lineRule="exact"/>
              <w:rPr>
                <w:sz w:val="20"/>
                <w:szCs w:val="20"/>
                <w:color w:val="auto"/>
              </w:rPr>
            </w:pPr>
            <w:r>
              <w:rPr>
                <w:rFonts w:ascii="Arial" w:cs="Arial" w:eastAsia="Arial" w:hAnsi="Arial"/>
                <w:sz w:val="14"/>
                <w:szCs w:val="14"/>
                <w:color w:val="auto"/>
              </w:rPr>
              <w:t>Wheaton, IL 60187</w:t>
            </w:r>
          </w:p>
        </w:tc>
        <w:tc>
          <w:tcPr>
            <w:tcW w:w="2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​Arrowtown LP</w:t>
            </w:r>
          </w:p>
        </w:tc>
        <w:tc>
          <w:tcPr>
            <w:tcW w:w="260" w:type="dxa"/>
            <w:vAlign w:val="bottom"/>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D9DCE1"/>
          </w:tcPr>
          <w:p>
            <w:pPr>
              <w:spacing w:after="0"/>
              <w:rPr>
                <w:sz w:val="18"/>
                <w:szCs w:val="18"/>
                <w:color w:val="auto"/>
              </w:rPr>
            </w:pPr>
          </w:p>
        </w:tc>
        <w:tc>
          <w:tcPr>
            <w:tcW w:w="76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7,059,799​​ ​</w:t>
            </w:r>
          </w:p>
        </w:tc>
        <w:tc>
          <w:tcPr>
            <w:tcW w:w="780" w:type="dxa"/>
            <w:vAlign w:val="bottom"/>
            <w:gridSpan w:val="2"/>
            <w:shd w:val="clear" w:color="auto" w:fill="D9DCE1"/>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19.9%</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1800 Avenue of the Stars, 3rd Floor</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  Los Angeles, CA 90067</w:t>
            </w: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D9DCE1"/>
          </w:tcPr>
          <w:p>
            <w:pPr>
              <w:ind w:left="4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Plains All American Pipeline, L.P.</w:t>
            </w:r>
            <w:r>
              <w:rPr>
                <w:rFonts w:ascii="Arial" w:cs="Arial" w:eastAsia="Arial" w:hAnsi="Arial"/>
                <w:sz w:val="17"/>
                <w:szCs w:val="17"/>
                <w:color w:val="auto"/>
                <w:vertAlign w:val="superscript"/>
              </w:rPr>
              <w:t>(2)</w:t>
            </w:r>
          </w:p>
        </w:tc>
        <w:tc>
          <w:tcPr>
            <w:tcW w:w="260" w:type="dxa"/>
            <w:vAlign w:val="bottom"/>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D9DCE1"/>
          </w:tcPr>
          <w:p>
            <w:pPr>
              <w:spacing w:after="0"/>
              <w:rPr>
                <w:sz w:val="21"/>
                <w:szCs w:val="21"/>
                <w:color w:val="auto"/>
              </w:rPr>
            </w:pPr>
          </w:p>
        </w:tc>
        <w:tc>
          <w:tcPr>
            <w:tcW w:w="76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D9DCE1"/>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539,507,571​​ ​</w:t>
            </w:r>
          </w:p>
        </w:tc>
        <w:tc>
          <w:tcPr>
            <w:tcW w:w="800" w:type="dxa"/>
            <w:vAlign w:val="bottom"/>
            <w:gridSpan w:val="2"/>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100%</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80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69.9%</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333 Clay Street, Suite 1600</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80" w:type="dxa"/>
            <w:vAlign w:val="bottom"/>
            <w:vMerge w:val="continue"/>
          </w:tcPr>
          <w:p>
            <w:pPr>
              <w:spacing w:after="0"/>
              <w:rPr>
                <w:sz w:val="13"/>
                <w:szCs w:val="13"/>
                <w:color w:val="auto"/>
              </w:rPr>
            </w:pPr>
          </w:p>
        </w:tc>
        <w:tc>
          <w:tcPr>
            <w:tcW w:w="2540" w:type="dxa"/>
            <w:vAlign w:val="bottom"/>
          </w:tcPr>
          <w:p>
            <w:pPr>
              <w:ind w:left="140"/>
              <w:spacing w:after="0" w:line="158" w:lineRule="exact"/>
              <w:rPr>
                <w:sz w:val="20"/>
                <w:szCs w:val="20"/>
                <w:color w:val="auto"/>
              </w:rPr>
            </w:pPr>
            <w:r>
              <w:rPr>
                <w:rFonts w:ascii="Arial" w:cs="Arial" w:eastAsia="Arial" w:hAnsi="Arial"/>
                <w:sz w:val="14"/>
                <w:szCs w:val="14"/>
                <w:color w:val="auto"/>
              </w:rPr>
              <w:t>Houston, TX 77002</w:t>
            </w:r>
          </w:p>
        </w:tc>
        <w:tc>
          <w:tcPr>
            <w:tcW w:w="2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​Willie Chiang</w:t>
            </w:r>
          </w:p>
        </w:tc>
        <w:tc>
          <w:tcPr>
            <w:tcW w:w="260" w:type="dxa"/>
            <w:vAlign w:val="bottom"/>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378,704​​ ​</w:t>
            </w:r>
          </w:p>
        </w:tc>
        <w:tc>
          <w:tcPr>
            <w:tcW w:w="40" w:type="dxa"/>
            <w:vAlign w:val="bottom"/>
            <w:shd w:val="clear" w:color="auto" w:fill="D9DCE1"/>
          </w:tcPr>
          <w:p>
            <w:pPr>
              <w:spacing w:after="0"/>
              <w:rPr>
                <w:sz w:val="18"/>
                <w:szCs w:val="18"/>
                <w:color w:val="auto"/>
              </w:rPr>
            </w:pPr>
          </w:p>
        </w:tc>
        <w:tc>
          <w:tcPr>
            <w:tcW w:w="36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353,489​​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592,641​​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​Harry N. Pefanis</w:t>
            </w: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1,108,653​​ ​</w:t>
            </w:r>
          </w:p>
        </w:tc>
        <w:tc>
          <w:tcPr>
            <w:tcW w:w="40" w:type="dxa"/>
            <w:vAlign w:val="bottom"/>
          </w:tcPr>
          <w:p>
            <w:pPr>
              <w:spacing w:after="0"/>
              <w:rPr>
                <w:sz w:val="19"/>
                <w:szCs w:val="19"/>
                <w:color w:val="auto"/>
              </w:rPr>
            </w:pPr>
          </w:p>
        </w:tc>
        <w:tc>
          <w:tcPr>
            <w:tcW w:w="3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2,268,988​​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420,194​​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​Al Swanson</w:t>
            </w:r>
          </w:p>
        </w:tc>
        <w:tc>
          <w:tcPr>
            <w:tcW w:w="1120" w:type="dxa"/>
            <w:vAlign w:val="bottom"/>
            <w:gridSpan w:val="2"/>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1,351,839​​ ​</w:t>
            </w:r>
          </w:p>
        </w:tc>
        <w:tc>
          <w:tcPr>
            <w:tcW w:w="40" w:type="dxa"/>
            <w:vAlign w:val="bottom"/>
            <w:shd w:val="clear" w:color="auto" w:fill="D9DCE1"/>
          </w:tcPr>
          <w:p>
            <w:pPr>
              <w:spacing w:after="0"/>
              <w:rPr>
                <w:sz w:val="19"/>
                <w:szCs w:val="19"/>
                <w:color w:val="auto"/>
              </w:rPr>
            </w:pPr>
          </w:p>
        </w:tc>
        <w:tc>
          <w:tcPr>
            <w:tcW w:w="36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393,200​​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​Richard McGee</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30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429,346​​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397,652​​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6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​Chris Chandler</w:t>
            </w:r>
          </w:p>
        </w:tc>
        <w:tc>
          <w:tcPr>
            <w:tcW w:w="260" w:type="dxa"/>
            <w:vAlign w:val="bottom"/>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40" w:type="dxa"/>
            <w:vAlign w:val="bottom"/>
            <w:shd w:val="clear" w:color="auto" w:fill="D9DCE1"/>
          </w:tcPr>
          <w:p>
            <w:pPr>
              <w:spacing w:after="0"/>
              <w:rPr>
                <w:sz w:val="19"/>
                <w:szCs w:val="19"/>
                <w:color w:val="auto"/>
              </w:rPr>
            </w:pPr>
          </w:p>
        </w:tc>
        <w:tc>
          <w:tcPr>
            <w:tcW w:w="760" w:type="dxa"/>
            <w:vAlign w:val="bottom"/>
            <w:gridSpan w:val="2"/>
            <w:shd w:val="clear" w:color="auto" w:fill="D9DCE1"/>
          </w:tcPr>
          <w:p>
            <w:pPr>
              <w:ind w:left="2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254,191​​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​Jeremy Goebel</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1,314​​ ​</w:t>
            </w:r>
          </w:p>
        </w:tc>
        <w:tc>
          <w:tcPr>
            <w:tcW w:w="40" w:type="dxa"/>
            <w:vAlign w:val="bottom"/>
          </w:tcPr>
          <w:p>
            <w:pPr>
              <w:spacing w:after="0"/>
              <w:rPr>
                <w:sz w:val="19"/>
                <w:szCs w:val="19"/>
                <w:color w:val="auto"/>
              </w:rPr>
            </w:pPr>
          </w:p>
        </w:tc>
        <w:tc>
          <w:tcPr>
            <w:tcW w:w="36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35,350​​ ​</w:t>
            </w:r>
          </w:p>
        </w:tc>
        <w:tc>
          <w:tcPr>
            <w:tcW w:w="32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279,223​​ ​</w:t>
            </w:r>
          </w:p>
        </w:tc>
        <w:tc>
          <w:tcPr>
            <w:tcW w:w="36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r>
              <w:rPr>
                <w:rFonts w:ascii="Arial" w:cs="Arial" w:eastAsia="Arial" w:hAnsi="Arial"/>
                <w:sz w:val="14"/>
                <w:szCs w:val="14"/>
                <w:color w:val="auto"/>
              </w:rPr>
              <w:t>​ ​ ​</w:t>
            </w:r>
          </w:p>
        </w:tc>
        <w:tc>
          <w:tcPr>
            <w:tcW w:w="34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D9DCE1"/>
          </w:tcPr>
          <w:p>
            <w:pPr>
              <w:ind w:left="40"/>
              <w:spacing w:after="0"/>
              <w:rPr>
                <w:sz w:val="20"/>
                <w:szCs w:val="20"/>
                <w:color w:val="auto"/>
              </w:rPr>
            </w:pPr>
            <w:r>
              <w:rPr>
                <w:rFonts w:ascii="Arial" w:cs="Arial" w:eastAsia="Arial" w:hAnsi="Arial"/>
                <w:sz w:val="14"/>
                <w:szCs w:val="14"/>
                <w:color w:val="auto"/>
              </w:rPr>
              <w:t>​Greg L. Armstrong</w:t>
            </w:r>
          </w:p>
        </w:tc>
        <w:tc>
          <w:tcPr>
            <w:tcW w:w="1120" w:type="dxa"/>
            <w:vAlign w:val="bottom"/>
            <w:gridSpan w:val="2"/>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1,865,812​​ ​</w:t>
            </w:r>
          </w:p>
        </w:tc>
        <w:tc>
          <w:tcPr>
            <w:tcW w:w="40" w:type="dxa"/>
            <w:vAlign w:val="bottom"/>
            <w:shd w:val="clear" w:color="auto" w:fill="D9DCE1"/>
          </w:tcPr>
          <w:p>
            <w:pPr>
              <w:spacing w:after="0"/>
              <w:rPr>
                <w:sz w:val="19"/>
                <w:szCs w:val="19"/>
                <w:color w:val="auto"/>
              </w:rPr>
            </w:pPr>
          </w:p>
        </w:tc>
        <w:tc>
          <w:tcPr>
            <w:tcW w:w="36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spacing w:after="0"/>
              <w:rPr>
                <w:sz w:val="20"/>
                <w:szCs w:val="20"/>
                <w:color w:val="auto"/>
              </w:rPr>
            </w:pPr>
            <w:r>
              <w:rPr>
                <w:rFonts w:ascii="Arial" w:cs="Arial" w:eastAsia="Arial" w:hAnsi="Arial"/>
                <w:sz w:val="14"/>
                <w:szCs w:val="14"/>
                <w:color w:val="auto"/>
              </w:rPr>
              <w:t>4,492,268​​ ​</w:t>
            </w:r>
          </w:p>
        </w:tc>
        <w:tc>
          <w:tcPr>
            <w:tcW w:w="780" w:type="dxa"/>
            <w:vAlign w:val="bottom"/>
            <w:gridSpan w:val="2"/>
            <w:shd w:val="clear" w:color="auto" w:fill="D9DCE1"/>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12.7%</w:t>
            </w:r>
          </w:p>
        </w:tc>
        <w:tc>
          <w:tcPr>
            <w:tcW w:w="320" w:type="dxa"/>
            <w:vAlign w:val="bottom"/>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1,508,418​​ ​</w:t>
            </w:r>
          </w:p>
        </w:tc>
        <w:tc>
          <w:tcPr>
            <w:tcW w:w="360" w:type="dxa"/>
            <w:vAlign w:val="bottom"/>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D9DCE1"/>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D9DCE1"/>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ind w:left="40"/>
              <w:spacing w:after="0"/>
              <w:rPr>
                <w:sz w:val="20"/>
                <w:szCs w:val="20"/>
                <w:color w:val="auto"/>
              </w:rPr>
            </w:pPr>
            <w:r>
              <w:rPr>
                <w:rFonts w:ascii="Arial" w:cs="Arial" w:eastAsia="Arial" w:hAnsi="Arial"/>
                <w:sz w:val="14"/>
                <w:szCs w:val="14"/>
                <w:color w:val="auto"/>
              </w:rPr>
              <w:t>​Victor Burk</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tcPr>
          <w:p>
            <w:pPr>
              <w:ind w:left="680"/>
              <w:spacing w:after="0"/>
              <w:rPr>
                <w:sz w:val="20"/>
                <w:szCs w:val="20"/>
                <w:color w:val="auto"/>
              </w:rPr>
            </w:pPr>
            <w:r>
              <w:rPr>
                <w:rFonts w:ascii="Arial" w:cs="Arial" w:eastAsia="Arial" w:hAnsi="Arial"/>
                <w:sz w:val="9"/>
                <w:szCs w:val="9"/>
                <w:color w:val="auto"/>
              </w:rPr>
              <w:t>(7)</w:t>
            </w:r>
          </w:p>
        </w:tc>
        <w:tc>
          <w:tcPr>
            <w:tcW w:w="40" w:type="dxa"/>
            <w:vAlign w:val="bottom"/>
          </w:tcPr>
          <w:p>
            <w:pPr>
              <w:spacing w:after="0"/>
              <w:rPr>
                <w:sz w:val="11"/>
                <w:szCs w:val="11"/>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37,043​​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6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Arial" w:cs="Arial" w:eastAsia="Arial" w:hAnsi="Arial"/>
                <w:sz w:val="10"/>
                <w:szCs w:val="10"/>
                <w:color w:val="auto"/>
              </w:rPr>
              <w:t>28,633​​ ​</w:t>
            </w: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​Ellen DeSanctis</w:t>
            </w:r>
          </w:p>
        </w:tc>
        <w:tc>
          <w:tcPr>
            <w:tcW w:w="26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ind w:left="680"/>
              <w:spacing w:after="0"/>
              <w:rPr>
                <w:sz w:val="20"/>
                <w:szCs w:val="20"/>
                <w:color w:val="auto"/>
              </w:rPr>
            </w:pPr>
            <w:r>
              <w:rPr>
                <w:rFonts w:ascii="Arial" w:cs="Arial" w:eastAsia="Arial" w:hAnsi="Arial"/>
                <w:sz w:val="9"/>
                <w:szCs w:val="9"/>
                <w:color w:val="auto"/>
              </w:rPr>
              <w:t>(7)</w:t>
            </w:r>
          </w:p>
        </w:tc>
        <w:tc>
          <w:tcPr>
            <w:tcW w:w="40" w:type="dxa"/>
            <w:vAlign w:val="bottom"/>
            <w:shd w:val="clear" w:color="auto" w:fill="D9DCE1"/>
          </w:tcPr>
          <w:p>
            <w:pPr>
              <w:spacing w:after="0"/>
              <w:rPr>
                <w:sz w:val="11"/>
                <w:szCs w:val="11"/>
                <w:color w:val="auto"/>
              </w:rPr>
            </w:pPr>
          </w:p>
        </w:tc>
        <w:tc>
          <w:tcPr>
            <w:tcW w:w="36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620" w:type="dxa"/>
            <w:vAlign w:val="bottom"/>
            <w:gridSpan w:val="2"/>
            <w:vMerge w:val="continue"/>
            <w:shd w:val="clear" w:color="auto" w:fill="D9DCE1"/>
          </w:tcPr>
          <w:p>
            <w:pPr>
              <w:spacing w:after="0"/>
              <w:rPr>
                <w:sz w:val="8"/>
                <w:szCs w:val="8"/>
                <w:color w:val="auto"/>
              </w:rPr>
            </w:pPr>
          </w:p>
        </w:tc>
        <w:tc>
          <w:tcPr>
            <w:tcW w:w="260" w:type="dxa"/>
            <w:vAlign w:val="bottom"/>
            <w:vMerge w:val="continue"/>
            <w:shd w:val="clear" w:color="auto" w:fill="D9DCE1"/>
          </w:tcPr>
          <w:p>
            <w:pPr>
              <w:spacing w:after="0"/>
              <w:rPr>
                <w:sz w:val="8"/>
                <w:szCs w:val="8"/>
                <w:color w:val="auto"/>
              </w:rPr>
            </w:pPr>
          </w:p>
        </w:tc>
        <w:tc>
          <w:tcPr>
            <w:tcW w:w="86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21,400​​ ​</w:t>
            </w:r>
          </w:p>
        </w:tc>
        <w:tc>
          <w:tcPr>
            <w:tcW w:w="40" w:type="dxa"/>
            <w:vAlign w:val="bottom"/>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920" w:type="dxa"/>
            <w:vAlign w:val="bottom"/>
            <w:vMerge w:val="continue"/>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40" w:type="dxa"/>
            <w:vAlign w:val="bottom"/>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ind w:left="40"/>
              <w:spacing w:after="0"/>
              <w:rPr>
                <w:sz w:val="20"/>
                <w:szCs w:val="20"/>
                <w:color w:val="auto"/>
              </w:rPr>
            </w:pPr>
            <w:r>
              <w:rPr>
                <w:rFonts w:ascii="Arial" w:cs="Arial" w:eastAsia="Arial" w:hAnsi="Arial"/>
                <w:sz w:val="14"/>
                <w:szCs w:val="14"/>
                <w:color w:val="auto"/>
              </w:rPr>
              <w:t>​Kevin S. McCarthy</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tcPr>
          <w:p>
            <w:pPr>
              <w:ind w:left="680"/>
              <w:spacing w:after="0"/>
              <w:rPr>
                <w:sz w:val="20"/>
                <w:szCs w:val="20"/>
                <w:color w:val="auto"/>
              </w:rPr>
            </w:pPr>
            <w:r>
              <w:rPr>
                <w:rFonts w:ascii="Arial" w:cs="Arial" w:eastAsia="Arial" w:hAnsi="Arial"/>
                <w:sz w:val="9"/>
                <w:szCs w:val="9"/>
                <w:color w:val="auto"/>
              </w:rPr>
              <w:t>(7)</w:t>
            </w:r>
          </w:p>
        </w:tc>
        <w:tc>
          <w:tcPr>
            <w:tcW w:w="40" w:type="dxa"/>
            <w:vAlign w:val="bottom"/>
          </w:tcPr>
          <w:p>
            <w:pPr>
              <w:spacing w:after="0"/>
              <w:rPr>
                <w:sz w:val="11"/>
                <w:szCs w:val="11"/>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200,000​​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6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Arial" w:cs="Arial" w:eastAsia="Arial" w:hAnsi="Arial"/>
                <w:sz w:val="10"/>
                <w:szCs w:val="10"/>
                <w:color w:val="auto"/>
              </w:rPr>
              <w:t>110,469​​ ​</w:t>
            </w: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​Gary R. Petersen</w:t>
            </w:r>
          </w:p>
        </w:tc>
        <w:tc>
          <w:tcPr>
            <w:tcW w:w="26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ind w:left="680"/>
              <w:spacing w:after="0"/>
              <w:rPr>
                <w:sz w:val="20"/>
                <w:szCs w:val="20"/>
                <w:color w:val="auto"/>
              </w:rPr>
            </w:pPr>
            <w:r>
              <w:rPr>
                <w:rFonts w:ascii="Arial" w:cs="Arial" w:eastAsia="Arial" w:hAnsi="Arial"/>
                <w:sz w:val="9"/>
                <w:szCs w:val="9"/>
                <w:color w:val="auto"/>
              </w:rPr>
              <w:t>(7)</w:t>
            </w:r>
          </w:p>
        </w:tc>
        <w:tc>
          <w:tcPr>
            <w:tcW w:w="40" w:type="dxa"/>
            <w:vAlign w:val="bottom"/>
            <w:shd w:val="clear" w:color="auto" w:fill="D9DCE1"/>
          </w:tcPr>
          <w:p>
            <w:pPr>
              <w:spacing w:after="0"/>
              <w:rPr>
                <w:sz w:val="11"/>
                <w:szCs w:val="11"/>
                <w:color w:val="auto"/>
              </w:rPr>
            </w:pPr>
          </w:p>
        </w:tc>
        <w:tc>
          <w:tcPr>
            <w:tcW w:w="36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D9DCE1"/>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25,425,320​​ ​</w:t>
            </w:r>
          </w:p>
        </w:tc>
        <w:tc>
          <w:tcPr>
            <w:tcW w:w="80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4.7%</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620" w:type="dxa"/>
            <w:vAlign w:val="bottom"/>
            <w:gridSpan w:val="2"/>
            <w:vMerge w:val="continue"/>
            <w:shd w:val="clear" w:color="auto" w:fill="D9DCE1"/>
          </w:tcPr>
          <w:p>
            <w:pPr>
              <w:spacing w:after="0"/>
              <w:rPr>
                <w:sz w:val="8"/>
                <w:szCs w:val="8"/>
                <w:color w:val="auto"/>
              </w:rPr>
            </w:pPr>
          </w:p>
        </w:tc>
        <w:tc>
          <w:tcPr>
            <w:tcW w:w="260" w:type="dxa"/>
            <w:vAlign w:val="bottom"/>
            <w:vMerge w:val="continue"/>
            <w:shd w:val="clear" w:color="auto" w:fill="D9DCE1"/>
          </w:tcPr>
          <w:p>
            <w:pPr>
              <w:spacing w:after="0"/>
              <w:rPr>
                <w:sz w:val="8"/>
                <w:szCs w:val="8"/>
                <w:color w:val="auto"/>
              </w:rPr>
            </w:pPr>
          </w:p>
        </w:tc>
        <w:tc>
          <w:tcPr>
            <w:tcW w:w="86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25,254​​ ​</w:t>
            </w:r>
          </w:p>
        </w:tc>
        <w:tc>
          <w:tcPr>
            <w:tcW w:w="40" w:type="dxa"/>
            <w:vAlign w:val="bottom"/>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40" w:type="dxa"/>
            <w:vAlign w:val="bottom"/>
            <w:gridSpan w:val="2"/>
            <w:vMerge w:val="continue"/>
            <w:shd w:val="clear" w:color="auto" w:fill="D9DCE1"/>
          </w:tcPr>
          <w:p>
            <w:pPr>
              <w:spacing w:after="0"/>
              <w:rPr>
                <w:sz w:val="8"/>
                <w:szCs w:val="8"/>
                <w:color w:val="auto"/>
              </w:rPr>
            </w:pPr>
          </w:p>
        </w:tc>
        <w:tc>
          <w:tcPr>
            <w:tcW w:w="800" w:type="dxa"/>
            <w:vAlign w:val="bottom"/>
            <w:gridSpan w:val="2"/>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ind w:left="40"/>
              <w:spacing w:after="0"/>
              <w:rPr>
                <w:sz w:val="20"/>
                <w:szCs w:val="20"/>
                <w:color w:val="auto"/>
              </w:rPr>
            </w:pPr>
            <w:r>
              <w:rPr>
                <w:rFonts w:ascii="Arial" w:cs="Arial" w:eastAsia="Arial" w:hAnsi="Arial"/>
                <w:sz w:val="14"/>
                <w:szCs w:val="14"/>
                <w:color w:val="auto"/>
              </w:rPr>
              <w:t>​Alexandra D. Pruner</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tcPr>
          <w:p>
            <w:pPr>
              <w:ind w:left="680"/>
              <w:spacing w:after="0"/>
              <w:rPr>
                <w:sz w:val="20"/>
                <w:szCs w:val="20"/>
                <w:color w:val="auto"/>
              </w:rPr>
            </w:pPr>
            <w:r>
              <w:rPr>
                <w:rFonts w:ascii="Arial" w:cs="Arial" w:eastAsia="Arial" w:hAnsi="Arial"/>
                <w:sz w:val="9"/>
                <w:szCs w:val="9"/>
                <w:color w:val="auto"/>
              </w:rPr>
              <w:t>(7)</w:t>
            </w:r>
          </w:p>
        </w:tc>
        <w:tc>
          <w:tcPr>
            <w:tcW w:w="40" w:type="dxa"/>
            <w:vAlign w:val="bottom"/>
          </w:tcPr>
          <w:p>
            <w:pPr>
              <w:spacing w:after="0"/>
              <w:rPr>
                <w:sz w:val="11"/>
                <w:szCs w:val="11"/>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6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Arial" w:cs="Arial" w:eastAsia="Arial" w:hAnsi="Arial"/>
                <w:sz w:val="10"/>
                <w:szCs w:val="10"/>
                <w:color w:val="auto"/>
              </w:rPr>
              <w:t>38,004​​ ​</w:t>
            </w: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​John T. Raymond</w:t>
            </w:r>
          </w:p>
        </w:tc>
        <w:tc>
          <w:tcPr>
            <w:tcW w:w="26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ind w:left="680"/>
              <w:spacing w:after="0"/>
              <w:rPr>
                <w:sz w:val="20"/>
                <w:szCs w:val="20"/>
                <w:color w:val="auto"/>
              </w:rPr>
            </w:pPr>
            <w:r>
              <w:rPr>
                <w:rFonts w:ascii="Arial" w:cs="Arial" w:eastAsia="Arial" w:hAnsi="Arial"/>
                <w:sz w:val="9"/>
                <w:szCs w:val="9"/>
                <w:color w:val="auto"/>
              </w:rPr>
              <w:t>(7)</w:t>
            </w:r>
          </w:p>
        </w:tc>
        <w:tc>
          <w:tcPr>
            <w:tcW w:w="40" w:type="dxa"/>
            <w:vAlign w:val="bottom"/>
            <w:shd w:val="clear" w:color="auto" w:fill="D9DCE1"/>
          </w:tcPr>
          <w:p>
            <w:pPr>
              <w:spacing w:after="0"/>
              <w:rPr>
                <w:sz w:val="11"/>
                <w:szCs w:val="11"/>
                <w:color w:val="auto"/>
              </w:rPr>
            </w:pPr>
          </w:p>
        </w:tc>
        <w:tc>
          <w:tcPr>
            <w:tcW w:w="36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shd w:val="clear" w:color="auto" w:fill="D9DCE1"/>
          </w:tcPr>
          <w:p>
            <w:pPr>
              <w:jc w:val="right"/>
              <w:ind w:right="11"/>
              <w:spacing w:after="0"/>
              <w:rPr>
                <w:sz w:val="20"/>
                <w:szCs w:val="20"/>
                <w:color w:val="auto"/>
              </w:rPr>
            </w:pPr>
            <w:r>
              <w:rPr>
                <w:rFonts w:ascii="Arial" w:cs="Arial" w:eastAsia="Arial" w:hAnsi="Arial"/>
                <w:sz w:val="9"/>
                <w:szCs w:val="9"/>
                <w:color w:val="auto"/>
              </w:rPr>
              <w:t>(8)</w:t>
            </w:r>
          </w:p>
        </w:tc>
        <w:tc>
          <w:tcPr>
            <w:tcW w:w="780" w:type="dxa"/>
            <w:vAlign w:val="bottom"/>
            <w:gridSpan w:val="2"/>
            <w:vMerge w:val="restart"/>
            <w:shd w:val="clear" w:color="auto" w:fill="D9DCE1"/>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32.4%</w:t>
            </w:r>
          </w:p>
        </w:tc>
        <w:tc>
          <w:tcPr>
            <w:tcW w:w="1240" w:type="dxa"/>
            <w:vAlign w:val="bottom"/>
            <w:gridSpan w:val="2"/>
            <w:vMerge w:val="restart"/>
            <w:shd w:val="clear" w:color="auto" w:fill="D9DCE1"/>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21,978,875​​ ​</w:t>
            </w:r>
          </w:p>
        </w:tc>
        <w:tc>
          <w:tcPr>
            <w:tcW w:w="80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4.1%</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8"/>
              <w:spacing w:after="0"/>
              <w:rPr>
                <w:sz w:val="20"/>
                <w:szCs w:val="20"/>
                <w:color w:val="auto"/>
              </w:rPr>
            </w:pPr>
            <w:r>
              <w:rPr>
                <w:rFonts w:ascii="Arial" w:cs="Arial" w:eastAsia="Arial" w:hAnsi="Arial"/>
                <w:sz w:val="14"/>
                <w:szCs w:val="14"/>
                <w:color w:val="auto"/>
              </w:rPr>
              <w:t>4.4%</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620" w:type="dxa"/>
            <w:vAlign w:val="bottom"/>
            <w:gridSpan w:val="2"/>
            <w:vMerge w:val="continue"/>
            <w:shd w:val="clear" w:color="auto" w:fill="D9DCE1"/>
          </w:tcPr>
          <w:p>
            <w:pPr>
              <w:spacing w:after="0"/>
              <w:rPr>
                <w:sz w:val="8"/>
                <w:szCs w:val="8"/>
                <w:color w:val="auto"/>
              </w:rPr>
            </w:pPr>
          </w:p>
        </w:tc>
        <w:tc>
          <w:tcPr>
            <w:tcW w:w="260" w:type="dxa"/>
            <w:vAlign w:val="bottom"/>
            <w:vMerge w:val="continue"/>
            <w:shd w:val="clear" w:color="auto" w:fill="D9DCE1"/>
          </w:tcPr>
          <w:p>
            <w:pPr>
              <w:spacing w:after="0"/>
              <w:rPr>
                <w:sz w:val="8"/>
                <w:szCs w:val="8"/>
                <w:color w:val="auto"/>
              </w:rPr>
            </w:pPr>
          </w:p>
        </w:tc>
        <w:tc>
          <w:tcPr>
            <w:tcW w:w="86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272,504​​ ​</w:t>
            </w:r>
          </w:p>
        </w:tc>
        <w:tc>
          <w:tcPr>
            <w:tcW w:w="40" w:type="dxa"/>
            <w:vAlign w:val="bottom"/>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11,458,736​​ ​</w:t>
            </w:r>
          </w:p>
        </w:tc>
        <w:tc>
          <w:tcPr>
            <w:tcW w:w="780" w:type="dxa"/>
            <w:vAlign w:val="bottom"/>
            <w:gridSpan w:val="2"/>
            <w:vMerge w:val="continue"/>
            <w:shd w:val="clear" w:color="auto" w:fill="D9DCE1"/>
          </w:tcPr>
          <w:p>
            <w:pPr>
              <w:spacing w:after="0"/>
              <w:rPr>
                <w:sz w:val="8"/>
                <w:szCs w:val="8"/>
                <w:color w:val="auto"/>
              </w:rPr>
            </w:pPr>
          </w:p>
        </w:tc>
        <w:tc>
          <w:tcPr>
            <w:tcW w:w="1240" w:type="dxa"/>
            <w:vAlign w:val="bottom"/>
            <w:gridSpan w:val="2"/>
            <w:vMerge w:val="continue"/>
            <w:shd w:val="clear" w:color="auto" w:fill="D9DCE1"/>
          </w:tcPr>
          <w:p>
            <w:pPr>
              <w:spacing w:after="0"/>
              <w:rPr>
                <w:sz w:val="8"/>
                <w:szCs w:val="8"/>
                <w:color w:val="auto"/>
              </w:rPr>
            </w:pPr>
          </w:p>
        </w:tc>
        <w:tc>
          <w:tcPr>
            <w:tcW w:w="800" w:type="dxa"/>
            <w:vAlign w:val="bottom"/>
            <w:gridSpan w:val="2"/>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ind w:left="40"/>
              <w:spacing w:after="0"/>
              <w:rPr>
                <w:sz w:val="20"/>
                <w:szCs w:val="20"/>
                <w:color w:val="auto"/>
              </w:rPr>
            </w:pPr>
            <w:r>
              <w:rPr>
                <w:rFonts w:ascii="Arial" w:cs="Arial" w:eastAsia="Arial" w:hAnsi="Arial"/>
                <w:sz w:val="14"/>
                <w:szCs w:val="14"/>
                <w:color w:val="auto"/>
              </w:rPr>
              <w:t>​Bobby S. Shackouls</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tcPr>
          <w:p>
            <w:pPr>
              <w:ind w:left="680"/>
              <w:spacing w:after="0"/>
              <w:rPr>
                <w:sz w:val="20"/>
                <w:szCs w:val="20"/>
                <w:color w:val="auto"/>
              </w:rPr>
            </w:pPr>
            <w:r>
              <w:rPr>
                <w:rFonts w:ascii="Arial" w:cs="Arial" w:eastAsia="Arial" w:hAnsi="Arial"/>
                <w:sz w:val="9"/>
                <w:szCs w:val="9"/>
                <w:color w:val="auto"/>
              </w:rPr>
              <w:t>(7)</w:t>
            </w:r>
          </w:p>
        </w:tc>
        <w:tc>
          <w:tcPr>
            <w:tcW w:w="40" w:type="dxa"/>
            <w:vAlign w:val="bottom"/>
          </w:tcPr>
          <w:p>
            <w:pPr>
              <w:spacing w:after="0"/>
              <w:rPr>
                <w:sz w:val="11"/>
                <w:szCs w:val="11"/>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35,033​​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6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Arial" w:cs="Arial" w:eastAsia="Arial" w:hAnsi="Arial"/>
                <w:sz w:val="10"/>
                <w:szCs w:val="10"/>
                <w:color w:val="auto"/>
              </w:rPr>
              <w:t>30,511​​ ​</w:t>
            </w: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shd w:val="clear" w:color="auto" w:fill="D9DCE1"/>
          </w:tcPr>
          <w:p>
            <w:pPr>
              <w:ind w:left="40"/>
              <w:spacing w:after="0"/>
              <w:rPr>
                <w:sz w:val="20"/>
                <w:szCs w:val="20"/>
                <w:color w:val="auto"/>
              </w:rPr>
            </w:pPr>
            <w:r>
              <w:rPr>
                <w:rFonts w:ascii="Arial" w:cs="Arial" w:eastAsia="Arial" w:hAnsi="Arial"/>
                <w:sz w:val="14"/>
                <w:szCs w:val="14"/>
                <w:color w:val="auto"/>
              </w:rPr>
              <w:t>​Christopher M. Temple</w:t>
            </w:r>
          </w:p>
        </w:tc>
        <w:tc>
          <w:tcPr>
            <w:tcW w:w="260" w:type="dxa"/>
            <w:vAlign w:val="bottom"/>
            <w:vMerge w:val="restart"/>
            <w:shd w:val="clear" w:color="auto" w:fill="D9DCE1"/>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shd w:val="clear" w:color="auto" w:fill="D9DCE1"/>
          </w:tcPr>
          <w:p>
            <w:pPr>
              <w:ind w:left="680"/>
              <w:spacing w:after="0"/>
              <w:rPr>
                <w:sz w:val="20"/>
                <w:szCs w:val="20"/>
                <w:color w:val="auto"/>
              </w:rPr>
            </w:pPr>
            <w:r>
              <w:rPr>
                <w:rFonts w:ascii="Arial" w:cs="Arial" w:eastAsia="Arial" w:hAnsi="Arial"/>
                <w:sz w:val="9"/>
                <w:szCs w:val="9"/>
                <w:color w:val="auto"/>
              </w:rPr>
              <w:t>(7)</w:t>
            </w:r>
          </w:p>
        </w:tc>
        <w:tc>
          <w:tcPr>
            <w:tcW w:w="40" w:type="dxa"/>
            <w:vAlign w:val="bottom"/>
            <w:shd w:val="clear" w:color="auto" w:fill="D9DCE1"/>
          </w:tcPr>
          <w:p>
            <w:pPr>
              <w:spacing w:after="0"/>
              <w:rPr>
                <w:sz w:val="11"/>
                <w:szCs w:val="11"/>
                <w:color w:val="auto"/>
              </w:rPr>
            </w:pPr>
          </w:p>
        </w:tc>
        <w:tc>
          <w:tcPr>
            <w:tcW w:w="36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shd w:val="clear" w:color="auto" w:fill="D9DCE1"/>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shd w:val="clear" w:color="auto" w:fill="D9DCE1"/>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D9DCE1"/>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 ​</w:t>
            </w:r>
          </w:p>
        </w:tc>
        <w:tc>
          <w:tcPr>
            <w:tcW w:w="360" w:type="dxa"/>
            <w:vAlign w:val="bottom"/>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shd w:val="clear" w:color="auto" w:fill="D9DCE1"/>
          </w:tcPr>
          <w:p>
            <w:pPr>
              <w:jc w:val="right"/>
              <w:ind w:right="208"/>
              <w:spacing w:after="0"/>
              <w:rPr>
                <w:sz w:val="20"/>
                <w:szCs w:val="20"/>
                <w:color w:val="auto"/>
              </w:rPr>
            </w:pPr>
            <w:r>
              <w:rPr>
                <w:rFonts w:ascii="Arial" w:cs="Arial" w:eastAsia="Arial" w:hAnsi="Arial"/>
                <w:sz w:val="14"/>
                <w:szCs w:val="14"/>
                <w:color w:val="auto"/>
                <w:w w:val="99"/>
              </w:rPr>
              <w:t>—</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620" w:type="dxa"/>
            <w:vAlign w:val="bottom"/>
            <w:gridSpan w:val="2"/>
            <w:vMerge w:val="continue"/>
            <w:shd w:val="clear" w:color="auto" w:fill="D9DCE1"/>
          </w:tcPr>
          <w:p>
            <w:pPr>
              <w:spacing w:after="0"/>
              <w:rPr>
                <w:sz w:val="8"/>
                <w:szCs w:val="8"/>
                <w:color w:val="auto"/>
              </w:rPr>
            </w:pPr>
          </w:p>
        </w:tc>
        <w:tc>
          <w:tcPr>
            <w:tcW w:w="260" w:type="dxa"/>
            <w:vAlign w:val="bottom"/>
            <w:vMerge w:val="continue"/>
            <w:shd w:val="clear" w:color="auto" w:fill="D9DCE1"/>
          </w:tcPr>
          <w:p>
            <w:pPr>
              <w:spacing w:after="0"/>
              <w:rPr>
                <w:sz w:val="8"/>
                <w:szCs w:val="8"/>
                <w:color w:val="auto"/>
              </w:rPr>
            </w:pPr>
          </w:p>
        </w:tc>
        <w:tc>
          <w:tcPr>
            <w:tcW w:w="860" w:type="dxa"/>
            <w:vAlign w:val="bottom"/>
            <w:shd w:val="clear" w:color="auto" w:fill="D9DCE1"/>
          </w:tcPr>
          <w:p>
            <w:pPr>
              <w:jc w:val="right"/>
              <w:spacing w:after="0" w:line="95" w:lineRule="exact"/>
              <w:rPr>
                <w:sz w:val="20"/>
                <w:szCs w:val="20"/>
                <w:color w:val="auto"/>
              </w:rPr>
            </w:pPr>
            <w:r>
              <w:rPr>
                <w:rFonts w:ascii="Arial" w:cs="Arial" w:eastAsia="Arial" w:hAnsi="Arial"/>
                <w:sz w:val="10"/>
                <w:szCs w:val="10"/>
                <w:color w:val="auto"/>
              </w:rPr>
              <w:t>40,249​​ ​</w:t>
            </w:r>
          </w:p>
        </w:tc>
        <w:tc>
          <w:tcPr>
            <w:tcW w:w="40" w:type="dxa"/>
            <w:vAlign w:val="bottom"/>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00" w:type="dxa"/>
            <w:vAlign w:val="bottom"/>
            <w:vMerge w:val="continue"/>
            <w:shd w:val="clear" w:color="auto" w:fill="D9DCE1"/>
          </w:tcPr>
          <w:p>
            <w:pPr>
              <w:spacing w:after="0"/>
              <w:rPr>
                <w:sz w:val="8"/>
                <w:szCs w:val="8"/>
                <w:color w:val="auto"/>
              </w:rPr>
            </w:pPr>
          </w:p>
        </w:tc>
        <w:tc>
          <w:tcPr>
            <w:tcW w:w="300" w:type="dxa"/>
            <w:vAlign w:val="bottom"/>
            <w:vMerge w:val="continue"/>
            <w:shd w:val="clear" w:color="auto" w:fill="D9DCE1"/>
          </w:tcPr>
          <w:p>
            <w:pPr>
              <w:spacing w:after="0"/>
              <w:rPr>
                <w:sz w:val="8"/>
                <w:szCs w:val="8"/>
                <w:color w:val="auto"/>
              </w:rPr>
            </w:pPr>
          </w:p>
        </w:tc>
        <w:tc>
          <w:tcPr>
            <w:tcW w:w="94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320" w:type="dxa"/>
            <w:vAlign w:val="bottom"/>
            <w:vMerge w:val="continue"/>
            <w:shd w:val="clear" w:color="auto" w:fill="D9DCE1"/>
          </w:tcPr>
          <w:p>
            <w:pPr>
              <w:spacing w:after="0"/>
              <w:rPr>
                <w:sz w:val="8"/>
                <w:szCs w:val="8"/>
                <w:color w:val="auto"/>
              </w:rPr>
            </w:pPr>
          </w:p>
        </w:tc>
        <w:tc>
          <w:tcPr>
            <w:tcW w:w="920" w:type="dxa"/>
            <w:vAlign w:val="bottom"/>
            <w:vMerge w:val="continue"/>
            <w:shd w:val="clear" w:color="auto" w:fill="D9DCE1"/>
          </w:tcPr>
          <w:p>
            <w:pPr>
              <w:spacing w:after="0"/>
              <w:rPr>
                <w:sz w:val="8"/>
                <w:szCs w:val="8"/>
                <w:color w:val="auto"/>
              </w:rPr>
            </w:pPr>
          </w:p>
        </w:tc>
        <w:tc>
          <w:tcPr>
            <w:tcW w:w="360" w:type="dxa"/>
            <w:vAlign w:val="bottom"/>
            <w:vMerge w:val="continue"/>
            <w:shd w:val="clear" w:color="auto" w:fill="D9DCE1"/>
          </w:tcPr>
          <w:p>
            <w:pPr>
              <w:spacing w:after="0"/>
              <w:rPr>
                <w:sz w:val="8"/>
                <w:szCs w:val="8"/>
                <w:color w:val="auto"/>
              </w:rPr>
            </w:pPr>
          </w:p>
        </w:tc>
        <w:tc>
          <w:tcPr>
            <w:tcW w:w="440" w:type="dxa"/>
            <w:vAlign w:val="bottom"/>
            <w:vMerge w:val="continue"/>
            <w:shd w:val="clear" w:color="auto" w:fill="D9DCE1"/>
          </w:tcPr>
          <w:p>
            <w:pPr>
              <w:spacing w:after="0"/>
              <w:rPr>
                <w:sz w:val="8"/>
                <w:szCs w:val="8"/>
                <w:color w:val="auto"/>
              </w:rPr>
            </w:pPr>
          </w:p>
        </w:tc>
        <w:tc>
          <w:tcPr>
            <w:tcW w:w="200" w:type="dxa"/>
            <w:vAlign w:val="bottom"/>
            <w:vMerge w:val="continue"/>
            <w:shd w:val="clear" w:color="auto" w:fill="D9DCE1"/>
          </w:tcPr>
          <w:p>
            <w:pPr>
              <w:spacing w:after="0"/>
              <w:rPr>
                <w:sz w:val="8"/>
                <w:szCs w:val="8"/>
                <w:color w:val="auto"/>
              </w:rPr>
            </w:pPr>
          </w:p>
        </w:tc>
        <w:tc>
          <w:tcPr>
            <w:tcW w:w="340" w:type="dxa"/>
            <w:vAlign w:val="bottom"/>
            <w:vMerge w:val="continue"/>
            <w:shd w:val="clear" w:color="auto" w:fill="D9DCE1"/>
          </w:tcPr>
          <w:p>
            <w:pPr>
              <w:spacing w:after="0"/>
              <w:rPr>
                <w:sz w:val="8"/>
                <w:szCs w:val="8"/>
                <w:color w:val="auto"/>
              </w:rPr>
            </w:pPr>
          </w:p>
        </w:tc>
        <w:tc>
          <w:tcPr>
            <w:tcW w:w="460" w:type="dxa"/>
            <w:vAlign w:val="bottom"/>
            <w:vMerge w:val="continue"/>
            <w:shd w:val="clear" w:color="auto" w:fill="D9DCE1"/>
          </w:tcPr>
          <w:p>
            <w:pPr>
              <w:spacing w:after="0"/>
              <w:rPr>
                <w:sz w:val="8"/>
                <w:szCs w:val="8"/>
                <w:color w:val="auto"/>
              </w:rPr>
            </w:pPr>
          </w:p>
        </w:tc>
        <w:tc>
          <w:tcPr>
            <w:tcW w:w="120" w:type="dxa"/>
            <w:vAlign w:val="bottom"/>
            <w:vMerge w:val="continue"/>
            <w:shd w:val="clear" w:color="auto" w:fill="D9DCE1"/>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20" w:type="dxa"/>
            <w:vAlign w:val="bottom"/>
            <w:gridSpan w:val="2"/>
            <w:vMerge w:val="restart"/>
          </w:tcPr>
          <w:p>
            <w:pPr>
              <w:ind w:left="40"/>
              <w:spacing w:after="0"/>
              <w:rPr>
                <w:sz w:val="20"/>
                <w:szCs w:val="20"/>
                <w:color w:val="auto"/>
              </w:rPr>
            </w:pPr>
            <w:r>
              <w:rPr>
                <w:rFonts w:ascii="Arial" w:cs="Arial" w:eastAsia="Arial" w:hAnsi="Arial"/>
                <w:sz w:val="14"/>
                <w:szCs w:val="14"/>
                <w:color w:val="auto"/>
              </w:rPr>
              <w:t>​Lawrence M. Ziemba</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860" w:type="dxa"/>
            <w:vAlign w:val="bottom"/>
          </w:tcPr>
          <w:p>
            <w:pPr>
              <w:ind w:left="680"/>
              <w:spacing w:after="0"/>
              <w:rPr>
                <w:sz w:val="20"/>
                <w:szCs w:val="20"/>
                <w:color w:val="auto"/>
              </w:rPr>
            </w:pPr>
            <w:r>
              <w:rPr>
                <w:rFonts w:ascii="Arial" w:cs="Arial" w:eastAsia="Arial" w:hAnsi="Arial"/>
                <w:sz w:val="9"/>
                <w:szCs w:val="9"/>
                <w:color w:val="auto"/>
              </w:rPr>
              <w:t>(7)</w:t>
            </w:r>
          </w:p>
        </w:tc>
        <w:tc>
          <w:tcPr>
            <w:tcW w:w="40" w:type="dxa"/>
            <w:vAlign w:val="bottom"/>
          </w:tcPr>
          <w:p>
            <w:pPr>
              <w:spacing w:after="0"/>
              <w:rPr>
                <w:sz w:val="11"/>
                <w:szCs w:val="11"/>
                <w:color w:val="auto"/>
              </w:rPr>
            </w:pPr>
          </w:p>
        </w:tc>
        <w:tc>
          <w:tcPr>
            <w:tcW w:w="3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center"/>
              <w:spacing w:after="0"/>
              <w:rPr>
                <w:sz w:val="20"/>
                <w:szCs w:val="20"/>
                <w:color w:val="auto"/>
              </w:rPr>
            </w:pPr>
            <w:r>
              <w:rPr>
                <w:rFonts w:ascii="Arial" w:cs="Arial" w:eastAsia="Arial" w:hAnsi="Arial"/>
                <w:sz w:val="14"/>
                <w:szCs w:val="14"/>
                <w:color w:val="auto"/>
              </w:rPr>
              <w:t>​ ​ ​</w:t>
            </w: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cente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2,346​​ ​</w:t>
            </w:r>
          </w:p>
        </w:tc>
        <w:tc>
          <w:tcPr>
            <w:tcW w:w="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6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tcPr>
          <w:p>
            <w:pPr>
              <w:jc w:val="right"/>
              <w:spacing w:after="0" w:line="95" w:lineRule="exact"/>
              <w:rPr>
                <w:sz w:val="20"/>
                <w:szCs w:val="20"/>
                <w:color w:val="auto"/>
              </w:rPr>
            </w:pPr>
            <w:r>
              <w:rPr>
                <w:rFonts w:ascii="Arial" w:cs="Arial" w:eastAsia="Arial" w:hAnsi="Arial"/>
                <w:sz w:val="10"/>
                <w:szCs w:val="10"/>
                <w:color w:val="auto"/>
              </w:rPr>
              <w:t>44,890​​ ​</w:t>
            </w: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80" w:type="dxa"/>
            <w:vAlign w:val="bottom"/>
            <w:vMerge w:val="restart"/>
            <w:shd w:val="clear" w:color="auto" w:fill="D9DCE1"/>
          </w:tcPr>
          <w:p>
            <w:pPr>
              <w:ind w:left="40"/>
              <w:spacing w:after="0"/>
              <w:rPr>
                <w:sz w:val="20"/>
                <w:szCs w:val="20"/>
                <w:color w:val="auto"/>
              </w:rPr>
            </w:pPr>
            <w:r>
              <w:rPr>
                <w:rFonts w:ascii="Arial" w:cs="Arial" w:eastAsia="Arial" w:hAnsi="Arial"/>
                <w:sz w:val="14"/>
                <w:szCs w:val="14"/>
                <w:color w:val="auto"/>
              </w:rPr>
              <w:t>​</w:t>
            </w:r>
          </w:p>
        </w:tc>
        <w:tc>
          <w:tcPr>
            <w:tcW w:w="2540" w:type="dxa"/>
            <w:vAlign w:val="bottom"/>
            <w:shd w:val="clear" w:color="auto" w:fill="D9DCE1"/>
          </w:tcPr>
          <w:p>
            <w:pPr>
              <w:spacing w:after="0"/>
              <w:rPr>
                <w:sz w:val="20"/>
                <w:szCs w:val="20"/>
                <w:color w:val="auto"/>
              </w:rPr>
            </w:pPr>
            <w:r>
              <w:rPr>
                <w:rFonts w:ascii="Arial" w:cs="Arial" w:eastAsia="Arial" w:hAnsi="Arial"/>
                <w:sz w:val="14"/>
                <w:szCs w:val="14"/>
                <w:color w:val="auto"/>
              </w:rPr>
              <w:t>All directors and executive officers as a</w:t>
            </w:r>
          </w:p>
        </w:tc>
        <w:tc>
          <w:tcPr>
            <w:tcW w:w="260" w:type="dxa"/>
            <w:vAlign w:val="bottom"/>
            <w:shd w:val="clear" w:color="auto" w:fill="D9DCE1"/>
          </w:tcPr>
          <w:p>
            <w:pPr>
              <w:spacing w:after="0"/>
              <w:rPr>
                <w:sz w:val="17"/>
                <w:szCs w:val="17"/>
                <w:color w:val="auto"/>
              </w:rPr>
            </w:pPr>
          </w:p>
        </w:tc>
        <w:tc>
          <w:tcPr>
            <w:tcW w:w="900" w:type="dxa"/>
            <w:vAlign w:val="bottom"/>
            <w:gridSpan w:val="2"/>
            <w:vMerge w:val="restart"/>
            <w:shd w:val="clear" w:color="auto" w:fill="D9DCE1"/>
          </w:tcPr>
          <w:p>
            <w:pPr>
              <w:ind w:left="680"/>
              <w:spacing w:after="0"/>
              <w:rPr>
                <w:sz w:val="20"/>
                <w:szCs w:val="20"/>
                <w:color w:val="auto"/>
              </w:rPr>
            </w:pPr>
            <w:r>
              <w:rPr>
                <w:rFonts w:ascii="Arial" w:cs="Arial" w:eastAsia="Arial" w:hAnsi="Arial"/>
                <w:sz w:val="9"/>
                <w:szCs w:val="9"/>
                <w:color w:val="auto"/>
                <w:w w:val="90"/>
              </w:rPr>
              <w:t>(7)(9)</w:t>
            </w:r>
          </w:p>
        </w:tc>
        <w:tc>
          <w:tcPr>
            <w:tcW w:w="760" w:type="dxa"/>
            <w:vAlign w:val="bottom"/>
            <w:gridSpan w:val="2"/>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2.7%</w:t>
            </w:r>
          </w:p>
        </w:tc>
        <w:tc>
          <w:tcPr>
            <w:tcW w:w="1240" w:type="dxa"/>
            <w:vAlign w:val="bottom"/>
            <w:gridSpan w:val="2"/>
            <w:vMerge w:val="restart"/>
            <w:shd w:val="clear" w:color="auto" w:fill="D9DCE1"/>
          </w:tcPr>
          <w:p>
            <w:pPr>
              <w:jc w:val="right"/>
              <w:ind w:right="91"/>
              <w:spacing w:after="0"/>
              <w:rPr>
                <w:sz w:val="20"/>
                <w:szCs w:val="20"/>
                <w:color w:val="auto"/>
              </w:rPr>
            </w:pPr>
            <w:r>
              <w:rPr>
                <w:rFonts w:ascii="Arial" w:cs="Arial" w:eastAsia="Arial" w:hAnsi="Arial"/>
                <w:sz w:val="14"/>
                <w:szCs w:val="14"/>
                <w:color w:val="auto"/>
              </w:rPr>
              <w:t>19,184,581</w:t>
            </w:r>
            <w:r>
              <w:rPr>
                <w:rFonts w:ascii="Arial" w:cs="Arial" w:eastAsia="Arial" w:hAnsi="Arial"/>
                <w:sz w:val="17"/>
                <w:szCs w:val="17"/>
                <w:color w:val="auto"/>
                <w:vertAlign w:val="superscript"/>
              </w:rPr>
              <w:t>(9)</w:t>
            </w:r>
          </w:p>
        </w:tc>
        <w:tc>
          <w:tcPr>
            <w:tcW w:w="780" w:type="dxa"/>
            <w:vAlign w:val="bottom"/>
            <w:gridSpan w:val="2"/>
            <w:vMerge w:val="restart"/>
            <w:shd w:val="clear" w:color="auto" w:fill="D9DCE1"/>
          </w:tcPr>
          <w:p>
            <w:pPr>
              <w:ind w:left="2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54.2%</w:t>
            </w:r>
          </w:p>
        </w:tc>
        <w:tc>
          <w:tcPr>
            <w:tcW w:w="1240" w:type="dxa"/>
            <w:vAlign w:val="bottom"/>
            <w:gridSpan w:val="2"/>
            <w:vMerge w:val="restart"/>
            <w:shd w:val="clear" w:color="auto" w:fill="D9DCE1"/>
          </w:tcPr>
          <w:p>
            <w:pPr>
              <w:jc w:val="right"/>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w:t>
            </w:r>
            <w:r>
              <w:rPr>
                <w:rFonts w:ascii="Arial" w:cs="Arial" w:eastAsia="Arial" w:hAnsi="Arial"/>
                <w:sz w:val="14"/>
                <w:szCs w:val="14"/>
                <w:color w:val="auto"/>
              </w:rPr>
              <w:t xml:space="preserve"> 51,661,792​​ ​</w:t>
            </w:r>
          </w:p>
        </w:tc>
        <w:tc>
          <w:tcPr>
            <w:tcW w:w="800" w:type="dxa"/>
            <w:vAlign w:val="bottom"/>
            <w:gridSpan w:val="2"/>
            <w:vMerge w:val="restart"/>
            <w:shd w:val="clear" w:color="auto" w:fill="D9DCE1"/>
          </w:tcPr>
          <w:p>
            <w:pPr>
              <w:ind w:left="2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9.6%</w:t>
            </w:r>
          </w:p>
        </w:tc>
        <w:tc>
          <w:tcPr>
            <w:tcW w:w="200" w:type="dxa"/>
            <w:vAlign w:val="bottom"/>
            <w:vMerge w:val="restart"/>
            <w:shd w:val="clear" w:color="auto" w:fill="D9DCE1"/>
          </w:tcPr>
          <w:p>
            <w:pPr>
              <w:spacing w:after="0"/>
              <w:rPr>
                <w:sz w:val="20"/>
                <w:szCs w:val="20"/>
                <w:color w:val="auto"/>
              </w:rPr>
            </w:pPr>
            <w:r>
              <w:rPr>
                <w:rFonts w:ascii="Arial" w:cs="Arial" w:eastAsia="Arial" w:hAnsi="Arial"/>
                <w:sz w:val="14"/>
                <w:szCs w:val="14"/>
                <w:color w:val="auto"/>
              </w:rPr>
              <w:t>​ ​ ​</w:t>
            </w:r>
          </w:p>
        </w:tc>
        <w:tc>
          <w:tcPr>
            <w:tcW w:w="340" w:type="dxa"/>
            <w:vAlign w:val="bottom"/>
            <w:vMerge w:val="restart"/>
            <w:shd w:val="clear" w:color="auto" w:fill="D9DCE1"/>
          </w:tcPr>
          <w:p>
            <w:pPr>
              <w:ind w:left="26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shd w:val="clear" w:color="auto" w:fill="D9DCE1"/>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vMerge w:val="restart"/>
            <w:shd w:val="clear" w:color="auto" w:fill="D9DCE1"/>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4"/>
        </w:trPr>
        <w:tc>
          <w:tcPr>
            <w:tcW w:w="80" w:type="dxa"/>
            <w:vAlign w:val="bottom"/>
            <w:vMerge w:val="continue"/>
            <w:shd w:val="clear" w:color="auto" w:fill="D9DCE1"/>
          </w:tcPr>
          <w:p>
            <w:pPr>
              <w:spacing w:after="0"/>
              <w:rPr>
                <w:sz w:val="9"/>
                <w:szCs w:val="9"/>
                <w:color w:val="auto"/>
              </w:rPr>
            </w:pPr>
          </w:p>
        </w:tc>
        <w:tc>
          <w:tcPr>
            <w:tcW w:w="2540" w:type="dxa"/>
            <w:vAlign w:val="bottom"/>
            <w:vMerge w:val="restart"/>
            <w:shd w:val="clear" w:color="auto" w:fill="D9DCE1"/>
          </w:tcPr>
          <w:p>
            <w:pPr>
              <w:ind w:left="140"/>
              <w:spacing w:after="0" w:line="158" w:lineRule="exact"/>
              <w:rPr>
                <w:sz w:val="20"/>
                <w:szCs w:val="20"/>
                <w:color w:val="auto"/>
              </w:rPr>
            </w:pPr>
            <w:r>
              <w:rPr>
                <w:rFonts w:ascii="Arial" w:cs="Arial" w:eastAsia="Arial" w:hAnsi="Arial"/>
                <w:sz w:val="14"/>
                <w:szCs w:val="14"/>
                <w:color w:val="auto"/>
              </w:rPr>
              <w:t>group (17 persons)</w:t>
            </w:r>
          </w:p>
        </w:tc>
        <w:tc>
          <w:tcPr>
            <w:tcW w:w="260" w:type="dxa"/>
            <w:vAlign w:val="bottom"/>
            <w:shd w:val="clear" w:color="auto" w:fill="D9DCE1"/>
          </w:tcPr>
          <w:p>
            <w:pPr>
              <w:spacing w:after="0"/>
              <w:rPr>
                <w:sz w:val="9"/>
                <w:szCs w:val="9"/>
                <w:color w:val="auto"/>
              </w:rPr>
            </w:pPr>
          </w:p>
        </w:tc>
        <w:tc>
          <w:tcPr>
            <w:tcW w:w="900" w:type="dxa"/>
            <w:vAlign w:val="bottom"/>
            <w:gridSpan w:val="2"/>
            <w:vMerge w:val="continue"/>
            <w:shd w:val="clear" w:color="auto" w:fill="D9DCE1"/>
          </w:tcPr>
          <w:p>
            <w:pPr>
              <w:spacing w:after="0"/>
              <w:rPr>
                <w:sz w:val="9"/>
                <w:szCs w:val="9"/>
                <w:color w:val="auto"/>
              </w:rPr>
            </w:pPr>
          </w:p>
        </w:tc>
        <w:tc>
          <w:tcPr>
            <w:tcW w:w="760" w:type="dxa"/>
            <w:vAlign w:val="bottom"/>
            <w:gridSpan w:val="2"/>
            <w:vMerge w:val="continue"/>
            <w:shd w:val="clear" w:color="auto" w:fill="D9DCE1"/>
          </w:tcPr>
          <w:p>
            <w:pPr>
              <w:spacing w:after="0"/>
              <w:rPr>
                <w:sz w:val="9"/>
                <w:szCs w:val="9"/>
                <w:color w:val="auto"/>
              </w:rPr>
            </w:pPr>
          </w:p>
        </w:tc>
        <w:tc>
          <w:tcPr>
            <w:tcW w:w="1240" w:type="dxa"/>
            <w:vAlign w:val="bottom"/>
            <w:gridSpan w:val="2"/>
            <w:vMerge w:val="continue"/>
            <w:shd w:val="clear" w:color="auto" w:fill="D9DCE1"/>
          </w:tcPr>
          <w:p>
            <w:pPr>
              <w:spacing w:after="0"/>
              <w:rPr>
                <w:sz w:val="9"/>
                <w:szCs w:val="9"/>
                <w:color w:val="auto"/>
              </w:rPr>
            </w:pPr>
          </w:p>
        </w:tc>
        <w:tc>
          <w:tcPr>
            <w:tcW w:w="780" w:type="dxa"/>
            <w:vAlign w:val="bottom"/>
            <w:gridSpan w:val="2"/>
            <w:vMerge w:val="continue"/>
            <w:shd w:val="clear" w:color="auto" w:fill="D9DCE1"/>
          </w:tcPr>
          <w:p>
            <w:pPr>
              <w:spacing w:after="0"/>
              <w:rPr>
                <w:sz w:val="9"/>
                <w:szCs w:val="9"/>
                <w:color w:val="auto"/>
              </w:rPr>
            </w:pPr>
          </w:p>
        </w:tc>
        <w:tc>
          <w:tcPr>
            <w:tcW w:w="1240" w:type="dxa"/>
            <w:vAlign w:val="bottom"/>
            <w:gridSpan w:val="2"/>
            <w:vMerge w:val="continue"/>
            <w:shd w:val="clear" w:color="auto" w:fill="D9DCE1"/>
          </w:tcPr>
          <w:p>
            <w:pPr>
              <w:spacing w:after="0"/>
              <w:rPr>
                <w:sz w:val="9"/>
                <w:szCs w:val="9"/>
                <w:color w:val="auto"/>
              </w:rPr>
            </w:pPr>
          </w:p>
        </w:tc>
        <w:tc>
          <w:tcPr>
            <w:tcW w:w="800" w:type="dxa"/>
            <w:vAlign w:val="bottom"/>
            <w:gridSpan w:val="2"/>
            <w:vMerge w:val="continue"/>
            <w:shd w:val="clear" w:color="auto" w:fill="D9DCE1"/>
          </w:tcPr>
          <w:p>
            <w:pPr>
              <w:spacing w:after="0"/>
              <w:rPr>
                <w:sz w:val="9"/>
                <w:szCs w:val="9"/>
                <w:color w:val="auto"/>
              </w:rPr>
            </w:pPr>
          </w:p>
        </w:tc>
        <w:tc>
          <w:tcPr>
            <w:tcW w:w="200" w:type="dxa"/>
            <w:vAlign w:val="bottom"/>
            <w:vMerge w:val="continue"/>
            <w:shd w:val="clear" w:color="auto" w:fill="D9DCE1"/>
          </w:tcPr>
          <w:p>
            <w:pPr>
              <w:spacing w:after="0"/>
              <w:rPr>
                <w:sz w:val="9"/>
                <w:szCs w:val="9"/>
                <w:color w:val="auto"/>
              </w:rPr>
            </w:pPr>
          </w:p>
        </w:tc>
        <w:tc>
          <w:tcPr>
            <w:tcW w:w="340" w:type="dxa"/>
            <w:vAlign w:val="bottom"/>
            <w:vMerge w:val="continue"/>
            <w:shd w:val="clear" w:color="auto" w:fill="D9DCE1"/>
          </w:tcPr>
          <w:p>
            <w:pPr>
              <w:spacing w:after="0"/>
              <w:rPr>
                <w:sz w:val="9"/>
                <w:szCs w:val="9"/>
                <w:color w:val="auto"/>
              </w:rPr>
            </w:pPr>
          </w:p>
        </w:tc>
        <w:tc>
          <w:tcPr>
            <w:tcW w:w="460" w:type="dxa"/>
            <w:vAlign w:val="bottom"/>
            <w:vMerge w:val="continue"/>
            <w:shd w:val="clear" w:color="auto" w:fill="D9DCE1"/>
          </w:tcPr>
          <w:p>
            <w:pPr>
              <w:spacing w:after="0"/>
              <w:rPr>
                <w:sz w:val="9"/>
                <w:szCs w:val="9"/>
                <w:color w:val="auto"/>
              </w:rPr>
            </w:pPr>
          </w:p>
        </w:tc>
        <w:tc>
          <w:tcPr>
            <w:tcW w:w="120" w:type="dxa"/>
            <w:vAlign w:val="bottom"/>
            <w:vMerge w:val="continue"/>
            <w:shd w:val="clear" w:color="auto" w:fill="D9DCE1"/>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vMerge w:val="continue"/>
            <w:shd w:val="clear" w:color="auto" w:fill="D9DCE1"/>
          </w:tcPr>
          <w:p>
            <w:pPr>
              <w:spacing w:after="0"/>
              <w:rPr>
                <w:sz w:val="4"/>
                <w:szCs w:val="4"/>
                <w:color w:val="auto"/>
              </w:rPr>
            </w:pPr>
          </w:p>
        </w:tc>
        <w:tc>
          <w:tcPr>
            <w:tcW w:w="2540" w:type="dxa"/>
            <w:vAlign w:val="bottom"/>
            <w:vMerge w:val="continue"/>
            <w:shd w:val="clear" w:color="auto" w:fill="D9DCE1"/>
          </w:tcPr>
          <w:p>
            <w:pPr>
              <w:spacing w:after="0"/>
              <w:rPr>
                <w:sz w:val="4"/>
                <w:szCs w:val="4"/>
                <w:color w:val="auto"/>
              </w:rPr>
            </w:pPr>
          </w:p>
        </w:tc>
        <w:tc>
          <w:tcPr>
            <w:tcW w:w="1120" w:type="dxa"/>
            <w:vAlign w:val="bottom"/>
            <w:gridSpan w:val="2"/>
            <w:shd w:val="clear" w:color="auto" w:fill="D9DCE1"/>
          </w:tcPr>
          <w:p>
            <w:pPr>
              <w:ind w:left="60"/>
              <w:spacing w:after="0" w:line="54" w:lineRule="exact"/>
              <w:rPr>
                <w:sz w:val="20"/>
                <w:szCs w:val="20"/>
                <w:color w:val="auto"/>
              </w:rPr>
            </w:pPr>
            <w:r>
              <w:rPr>
                <w:rFonts w:ascii="Arial" w:cs="Arial" w:eastAsia="Arial" w:hAnsi="Arial"/>
                <w:sz w:val="6"/>
                <w:szCs w:val="6"/>
                <w:color w:val="auto"/>
              </w:rPr>
              <w:t>​ ​</w:t>
            </w:r>
            <w:r>
              <w:rPr>
                <w:rFonts w:ascii="Arial" w:cs="Arial" w:eastAsia="Arial" w:hAnsi="Arial"/>
                <w:sz w:val="6"/>
                <w:szCs w:val="6"/>
                <w:b w:val="1"/>
                <w:bCs w:val="1"/>
                <w:color w:val="auto"/>
              </w:rPr>
              <w:t>​</w:t>
            </w:r>
            <w:r>
              <w:rPr>
                <w:rFonts w:ascii="Arial" w:cs="Arial" w:eastAsia="Arial" w:hAnsi="Arial"/>
                <w:sz w:val="6"/>
                <w:szCs w:val="6"/>
                <w:color w:val="auto"/>
              </w:rPr>
              <w:t xml:space="preserve"> 5,318,236​​ ​</w:t>
            </w:r>
          </w:p>
        </w:tc>
        <w:tc>
          <w:tcPr>
            <w:tcW w:w="40" w:type="dxa"/>
            <w:vAlign w:val="bottom"/>
            <w:shd w:val="clear" w:color="auto" w:fill="D9DCE1"/>
          </w:tcPr>
          <w:p>
            <w:pPr>
              <w:spacing w:after="0"/>
              <w:rPr>
                <w:sz w:val="4"/>
                <w:szCs w:val="4"/>
                <w:color w:val="auto"/>
              </w:rPr>
            </w:pPr>
          </w:p>
        </w:tc>
        <w:tc>
          <w:tcPr>
            <w:tcW w:w="760" w:type="dxa"/>
            <w:vAlign w:val="bottom"/>
            <w:gridSpan w:val="2"/>
            <w:vMerge w:val="continue"/>
            <w:shd w:val="clear" w:color="auto" w:fill="D9DCE1"/>
          </w:tcPr>
          <w:p>
            <w:pPr>
              <w:spacing w:after="0"/>
              <w:rPr>
                <w:sz w:val="4"/>
                <w:szCs w:val="4"/>
                <w:color w:val="auto"/>
              </w:rPr>
            </w:pPr>
          </w:p>
        </w:tc>
        <w:tc>
          <w:tcPr>
            <w:tcW w:w="300" w:type="dxa"/>
            <w:vAlign w:val="bottom"/>
            <w:shd w:val="clear" w:color="auto" w:fill="D9DCE1"/>
          </w:tcPr>
          <w:p>
            <w:pPr>
              <w:jc w:val="center"/>
              <w:spacing w:after="0" w:line="54" w:lineRule="exact"/>
              <w:rPr>
                <w:sz w:val="20"/>
                <w:szCs w:val="20"/>
                <w:color w:val="auto"/>
              </w:rPr>
            </w:pPr>
            <w:r>
              <w:rPr>
                <w:rFonts w:ascii="Arial" w:cs="Arial" w:eastAsia="Arial" w:hAnsi="Arial"/>
                <w:sz w:val="6"/>
                <w:szCs w:val="6"/>
                <w:color w:val="auto"/>
              </w:rPr>
              <w:t>​ ​ ​</w:t>
            </w:r>
            <w:r>
              <w:rPr>
                <w:rFonts w:ascii="Arial" w:cs="Arial" w:eastAsia="Arial" w:hAnsi="Arial"/>
                <w:sz w:val="6"/>
                <w:szCs w:val="6"/>
                <w:b w:val="1"/>
                <w:bCs w:val="1"/>
                <w:color w:val="auto"/>
              </w:rPr>
              <w:t>​</w:t>
            </w:r>
          </w:p>
        </w:tc>
        <w:tc>
          <w:tcPr>
            <w:tcW w:w="940" w:type="dxa"/>
            <w:vAlign w:val="bottom"/>
            <w:shd w:val="clear" w:color="auto" w:fill="D9DCE1"/>
          </w:tcPr>
          <w:p>
            <w:pPr>
              <w:jc w:val="right"/>
              <w:spacing w:after="0" w:line="54" w:lineRule="exact"/>
              <w:rPr>
                <w:sz w:val="20"/>
                <w:szCs w:val="20"/>
                <w:color w:val="auto"/>
              </w:rPr>
            </w:pPr>
            <w:r>
              <w:rPr>
                <w:rFonts w:ascii="Arial" w:cs="Arial" w:eastAsia="Arial" w:hAnsi="Arial"/>
                <w:sz w:val="6"/>
                <w:szCs w:val="6"/>
                <w:color w:val="auto"/>
              </w:rPr>
              <w:t>​​ ​</w:t>
            </w:r>
          </w:p>
        </w:tc>
        <w:tc>
          <w:tcPr>
            <w:tcW w:w="780" w:type="dxa"/>
            <w:vAlign w:val="bottom"/>
            <w:gridSpan w:val="2"/>
            <w:vMerge w:val="continue"/>
            <w:shd w:val="clear" w:color="auto" w:fill="D9DCE1"/>
          </w:tcPr>
          <w:p>
            <w:pPr>
              <w:spacing w:after="0"/>
              <w:rPr>
                <w:sz w:val="4"/>
                <w:szCs w:val="4"/>
                <w:color w:val="auto"/>
              </w:rPr>
            </w:pPr>
          </w:p>
        </w:tc>
        <w:tc>
          <w:tcPr>
            <w:tcW w:w="1240" w:type="dxa"/>
            <w:vAlign w:val="bottom"/>
            <w:gridSpan w:val="2"/>
            <w:vMerge w:val="continue"/>
            <w:shd w:val="clear" w:color="auto" w:fill="D9DCE1"/>
          </w:tcPr>
          <w:p>
            <w:pPr>
              <w:spacing w:after="0"/>
              <w:rPr>
                <w:sz w:val="4"/>
                <w:szCs w:val="4"/>
                <w:color w:val="auto"/>
              </w:rPr>
            </w:pPr>
          </w:p>
        </w:tc>
        <w:tc>
          <w:tcPr>
            <w:tcW w:w="800" w:type="dxa"/>
            <w:vAlign w:val="bottom"/>
            <w:gridSpan w:val="2"/>
            <w:vMerge w:val="continue"/>
            <w:shd w:val="clear" w:color="auto" w:fill="D9DCE1"/>
          </w:tcPr>
          <w:p>
            <w:pPr>
              <w:spacing w:after="0"/>
              <w:rPr>
                <w:sz w:val="4"/>
                <w:szCs w:val="4"/>
                <w:color w:val="auto"/>
              </w:rPr>
            </w:pPr>
          </w:p>
        </w:tc>
        <w:tc>
          <w:tcPr>
            <w:tcW w:w="200" w:type="dxa"/>
            <w:vAlign w:val="bottom"/>
            <w:vMerge w:val="continue"/>
            <w:shd w:val="clear" w:color="auto" w:fill="D9DCE1"/>
          </w:tcPr>
          <w:p>
            <w:pPr>
              <w:spacing w:after="0"/>
              <w:rPr>
                <w:sz w:val="4"/>
                <w:szCs w:val="4"/>
                <w:color w:val="auto"/>
              </w:rPr>
            </w:pPr>
          </w:p>
        </w:tc>
        <w:tc>
          <w:tcPr>
            <w:tcW w:w="340" w:type="dxa"/>
            <w:vAlign w:val="bottom"/>
            <w:vMerge w:val="continue"/>
            <w:shd w:val="clear" w:color="auto" w:fill="D9DCE1"/>
          </w:tcPr>
          <w:p>
            <w:pPr>
              <w:spacing w:after="0"/>
              <w:rPr>
                <w:sz w:val="4"/>
                <w:szCs w:val="4"/>
                <w:color w:val="auto"/>
              </w:rPr>
            </w:pPr>
          </w:p>
        </w:tc>
        <w:tc>
          <w:tcPr>
            <w:tcW w:w="460" w:type="dxa"/>
            <w:vAlign w:val="bottom"/>
            <w:vMerge w:val="continue"/>
            <w:shd w:val="clear" w:color="auto" w:fill="D9DCE1"/>
          </w:tcPr>
          <w:p>
            <w:pPr>
              <w:spacing w:after="0"/>
              <w:rPr>
                <w:sz w:val="4"/>
                <w:szCs w:val="4"/>
                <w:color w:val="auto"/>
              </w:rPr>
            </w:pPr>
          </w:p>
        </w:tc>
        <w:tc>
          <w:tcPr>
            <w:tcW w:w="120" w:type="dxa"/>
            <w:vAlign w:val="bottom"/>
            <w:vMerge w:val="continue"/>
            <w:shd w:val="clear" w:color="auto" w:fill="D9DCE1"/>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20"/>
          </w:cols>
          <w:pgMar w:left="580" w:top="97" w:right="1099" w:bottom="1440" w:gutter="0" w:footer="0" w:header="0"/>
        </w:sectPr>
      </w:pPr>
    </w:p>
    <w:p>
      <w:pPr>
        <w:spacing w:after="0" w:line="36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553085</wp:posOffset>
            </wp:positionV>
            <wp:extent cx="12344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20" w:hanging="360"/>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419" w:hanging="360"/>
        <w:spacing w:after="0" w:line="237"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Class A shares beneficially owned do not include any Class A shares issuable in connection with the exchange of any Class B shares.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p>
    <w:p>
      <w:pPr>
        <w:spacing w:after="0" w:line="46" w:lineRule="exact"/>
        <w:rPr>
          <w:rFonts w:ascii="Arial" w:cs="Arial" w:eastAsia="Arial" w:hAnsi="Arial"/>
          <w:sz w:val="27"/>
          <w:szCs w:val="27"/>
          <w:color w:val="auto"/>
          <w:vertAlign w:val="superscript"/>
        </w:rPr>
      </w:pPr>
    </w:p>
    <w:p>
      <w:pPr>
        <w:ind w:left="1620" w:right="439" w:hanging="360"/>
        <w:spacing w:after="0" w:line="242"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Each Class C share represents a non-economic limited partner interest in PAGP. The Class C shares function as a “pass-through” voting mechanism through which PAA votes at the direction of and as proxy for holders of PAA common units (other than Plains AAP) and holders of PAA Series A preferred units on the election of directors. The number of Class C shares owned by PAA is equal to the number of outstanding PAA common units and PAA Series A preferred units that are entitled to vote, pro rata with the holders of PAGP Class A and Class B shares, for the election of PAGP GP directors.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p>
    <w:p>
      <w:pPr>
        <w:spacing w:after="0" w:line="50"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2023 as reported in a Schedule 13G filed with the SEC on February 9, 2024.</w:t>
      </w:r>
    </w:p>
    <w:p>
      <w:pPr>
        <w:spacing w:after="0" w:line="60"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2023 as reported in a Schedule 13G filed with the SEC on February 9, 2024.</w:t>
      </w:r>
    </w:p>
    <w:p>
      <w:pPr>
        <w:spacing w:after="0" w:line="46"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2023 as reported in a Schedule 13G filed with the SEC on February 14, 2024.</w:t>
      </w:r>
    </w:p>
    <w:p>
      <w:pPr>
        <w:spacing w:after="0" w:line="46" w:lineRule="exact"/>
        <w:rPr>
          <w:rFonts w:ascii="Arial" w:cs="Arial" w:eastAsia="Arial" w:hAnsi="Arial"/>
          <w:sz w:val="27"/>
          <w:szCs w:val="27"/>
          <w:color w:val="auto"/>
          <w:vertAlign w:val="superscript"/>
        </w:rPr>
      </w:pPr>
    </w:p>
    <w:p>
      <w:pPr>
        <w:ind w:left="1620" w:right="659" w:hanging="360"/>
        <w:spacing w:after="0" w:line="210"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Reflects beneficial ownership as of December 31, 2023 as reported in a Schedule 13G filed with the SEC on January 10, 2024.</w:t>
      </w:r>
    </w:p>
    <w:p>
      <w:pPr>
        <w:spacing w:after="0" w:line="60" w:lineRule="exact"/>
        <w:rPr>
          <w:rFonts w:ascii="Arial" w:cs="Arial" w:eastAsia="Arial" w:hAnsi="Arial"/>
          <w:sz w:val="27"/>
          <w:szCs w:val="27"/>
          <w:color w:val="auto"/>
          <w:vertAlign w:val="superscript"/>
        </w:rPr>
      </w:pPr>
    </w:p>
    <w:p>
      <w:pPr>
        <w:ind w:left="1620" w:right="559" w:hanging="360"/>
        <w:spacing w:after="0" w:line="210"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Does not include unvested phantom Class A shares granted under our Long-Term Incentive Plan. See “Director Compensation.”</w:t>
      </w:r>
    </w:p>
    <w:p>
      <w:pPr>
        <w:spacing w:after="0" w:line="46" w:lineRule="exact"/>
        <w:rPr>
          <w:rFonts w:ascii="Arial" w:cs="Arial" w:eastAsia="Arial" w:hAnsi="Arial"/>
          <w:sz w:val="27"/>
          <w:szCs w:val="27"/>
          <w:color w:val="auto"/>
          <w:vertAlign w:val="superscript"/>
        </w:rPr>
      </w:pPr>
    </w:p>
    <w:p>
      <w:pPr>
        <w:ind w:left="1620" w:right="719" w:hanging="360"/>
        <w:spacing w:after="0" w:line="222"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Mr. Raymond is the sole member of Lynx Holdings I, LLC, which entity owns 3,183,216 Class B shares. As such, Mr. Raymond has sole voting and dispositive power over the Class B shares owned by Lynx Holdings I, LLC.</w:t>
      </w:r>
    </w:p>
    <w:p>
      <w:pPr>
        <w:spacing w:after="0" w:line="45" w:lineRule="exact"/>
        <w:rPr>
          <w:rFonts w:ascii="Arial" w:cs="Arial" w:eastAsia="Arial" w:hAnsi="Arial"/>
          <w:sz w:val="27"/>
          <w:szCs w:val="27"/>
          <w:color w:val="auto"/>
          <w:vertAlign w:val="superscript"/>
        </w:rPr>
      </w:pPr>
    </w:p>
    <w:p>
      <w:pPr>
        <w:ind w:left="1620" w:right="739" w:hanging="360"/>
        <w:spacing w:after="0" w:line="222" w:lineRule="auto"/>
        <w:tabs>
          <w:tab w:leader="none" w:pos="1620" w:val="left"/>
        </w:tabs>
        <w:numPr>
          <w:ilvl w:val="0"/>
          <w:numId w:val="84"/>
        </w:numPr>
        <w:rPr>
          <w:rFonts w:ascii="Arial" w:cs="Arial" w:eastAsia="Arial" w:hAnsi="Arial"/>
          <w:sz w:val="27"/>
          <w:szCs w:val="27"/>
          <w:color w:val="auto"/>
          <w:vertAlign w:val="superscript"/>
        </w:rPr>
      </w:pPr>
      <w:r>
        <w:rPr>
          <w:rFonts w:ascii="Arial" w:cs="Arial" w:eastAsia="Arial" w:hAnsi="Arial"/>
          <w:sz w:val="18"/>
          <w:szCs w:val="18"/>
          <w:color w:val="auto"/>
        </w:rPr>
        <w:t>Consistent with our policies that prohibit pledging of company securities, to our knowledge, no Class A shares or Class B shares were pledged by directors or Named Executive Officers as of March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Beneficial Ownership of Plains AAP, L.P.</w:t>
      </w:r>
    </w:p>
    <w:p>
      <w:pPr>
        <w:spacing w:after="0" w:line="158" w:lineRule="exact"/>
        <w:rPr>
          <w:sz w:val="20"/>
          <w:szCs w:val="20"/>
          <w:color w:val="auto"/>
        </w:rPr>
      </w:pPr>
    </w:p>
    <w:p>
      <w:pPr>
        <w:ind w:left="1260" w:right="719" w:firstLine="360"/>
        <w:spacing w:after="0" w:line="287" w:lineRule="auto"/>
        <w:rPr>
          <w:sz w:val="20"/>
          <w:szCs w:val="20"/>
          <w:color w:val="auto"/>
        </w:rPr>
      </w:pPr>
      <w:r>
        <w:rPr>
          <w:rFonts w:ascii="Arial" w:cs="Arial" w:eastAsia="Arial" w:hAnsi="Arial"/>
          <w:sz w:val="18"/>
          <w:szCs w:val="18"/>
          <w:color w:val="auto"/>
        </w:rPr>
        <w:t>The following table sets forth the percentage ownership of the Class A limited partners of Plains AAP, including certain of our directors and Named Executive Officers, as of March 25, 2024:</w:t>
      </w:r>
    </w:p>
    <w:p>
      <w:pPr>
        <w:spacing w:after="0" w:line="131" w:lineRule="exact"/>
        <w:rPr>
          <w:sz w:val="20"/>
          <w:szCs w:val="20"/>
          <w:color w:val="auto"/>
        </w:rPr>
      </w:pPr>
    </w:p>
    <w:tbl>
      <w:tblPr>
        <w:tblLayout w:type="fixed"/>
        <w:tblInd w:w="1630" w:type="dxa"/>
        <w:tblCellMar>
          <w:top w:w="0" w:type="dxa"/>
          <w:left w:w="0" w:type="dxa"/>
          <w:bottom w:w="0" w:type="dxa"/>
          <w:right w:w="0" w:type="dxa"/>
        </w:tblCellMar>
      </w:tblPr>
      <w:tr>
        <w:trPr>
          <w:trHeight w:val="207"/>
        </w:trPr>
        <w:tc>
          <w:tcPr>
            <w:tcW w:w="60" w:type="dxa"/>
            <w:vAlign w:val="bottom"/>
            <w:tcBorders>
              <w:lef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5280" w:type="dxa"/>
            <w:vAlign w:val="bottom"/>
            <w:shd w:val="clear" w:color="auto" w:fill="424E6A"/>
          </w:tcPr>
          <w:p>
            <w:pPr>
              <w:spacing w:after="0"/>
              <w:rPr>
                <w:sz w:val="17"/>
                <w:szCs w:val="17"/>
                <w:color w:val="auto"/>
              </w:rPr>
            </w:pPr>
          </w:p>
        </w:tc>
        <w:tc>
          <w:tcPr>
            <w:tcW w:w="760" w:type="dxa"/>
            <w:vAlign w:val="bottom"/>
            <w:tcBorders>
              <w:right w:val="single" w:sz="8" w:color="424E6A"/>
            </w:tcBorders>
            <w:shd w:val="clear" w:color="auto" w:fill="424E6A"/>
          </w:tcPr>
          <w:p>
            <w:pPr>
              <w:spacing w:after="0"/>
              <w:rPr>
                <w:sz w:val="17"/>
                <w:szCs w:val="17"/>
                <w:color w:val="auto"/>
              </w:rPr>
            </w:pPr>
          </w:p>
        </w:tc>
        <w:tc>
          <w:tcPr>
            <w:tcW w:w="100" w:type="dxa"/>
            <w:vAlign w:val="bottom"/>
            <w:shd w:val="clear" w:color="auto" w:fill="424E6A"/>
          </w:tcPr>
          <w:p>
            <w:pPr>
              <w:spacing w:after="0"/>
              <w:rPr>
                <w:sz w:val="17"/>
                <w:szCs w:val="17"/>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Percentage</w:t>
            </w:r>
          </w:p>
        </w:tc>
        <w:tc>
          <w:tcPr>
            <w:tcW w:w="100" w:type="dxa"/>
            <w:vAlign w:val="bottom"/>
            <w:tcBorders>
              <w:right w:val="single" w:sz="8" w:color="424E6A"/>
            </w:tcBorders>
            <w:shd w:val="clear" w:color="auto" w:fill="424E6A"/>
          </w:tcPr>
          <w:p>
            <w:pPr>
              <w:spacing w:after="0"/>
              <w:rPr>
                <w:sz w:val="17"/>
                <w:szCs w:val="17"/>
                <w:color w:val="auto"/>
              </w:rPr>
            </w:pPr>
          </w:p>
        </w:tc>
      </w:tr>
      <w:tr>
        <w:trPr>
          <w:trHeight w:val="162"/>
        </w:trPr>
        <w:tc>
          <w:tcPr>
            <w:tcW w:w="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Ownership of</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7"/>
              </w:rPr>
              <w:t>Plains AAP, L.P.</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62"/>
        </w:trPr>
        <w:tc>
          <w:tcPr>
            <w:tcW w:w="60" w:type="dxa"/>
            <w:vAlign w:val="bottom"/>
            <w:tcBorders>
              <w:lef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5280" w:type="dxa"/>
            <w:vAlign w:val="bottom"/>
            <w:shd w:val="clear" w:color="auto" w:fill="424E6A"/>
          </w:tcPr>
          <w:p>
            <w:pPr>
              <w:spacing w:after="0"/>
              <w:rPr>
                <w:sz w:val="14"/>
                <w:szCs w:val="14"/>
                <w:color w:val="auto"/>
              </w:rPr>
            </w:pPr>
          </w:p>
        </w:tc>
        <w:tc>
          <w:tcPr>
            <w:tcW w:w="760" w:type="dxa"/>
            <w:vAlign w:val="bottom"/>
            <w:tcBorders>
              <w:right w:val="single" w:sz="8" w:color="424E6A"/>
            </w:tcBorders>
            <w:shd w:val="clear" w:color="auto" w:fill="424E6A"/>
          </w:tcPr>
          <w:p>
            <w:pPr>
              <w:spacing w:after="0"/>
              <w:rPr>
                <w:sz w:val="14"/>
                <w:szCs w:val="14"/>
                <w:color w:val="auto"/>
              </w:rPr>
            </w:pPr>
          </w:p>
        </w:tc>
        <w:tc>
          <w:tcPr>
            <w:tcW w:w="100" w:type="dxa"/>
            <w:vAlign w:val="bottom"/>
            <w:shd w:val="clear" w:color="auto" w:fill="424E6A"/>
          </w:tcPr>
          <w:p>
            <w:pPr>
              <w:spacing w:after="0"/>
              <w:rPr>
                <w:sz w:val="14"/>
                <w:szCs w:val="14"/>
                <w:color w:val="auto"/>
              </w:rPr>
            </w:pP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Class A LP</w:t>
            </w:r>
          </w:p>
        </w:tc>
        <w:tc>
          <w:tcPr>
            <w:tcW w:w="100" w:type="dxa"/>
            <w:vAlign w:val="bottom"/>
            <w:tcBorders>
              <w:right w:val="single" w:sz="8" w:color="424E6A"/>
            </w:tcBorders>
            <w:shd w:val="clear" w:color="auto" w:fill="424E6A"/>
          </w:tcPr>
          <w:p>
            <w:pPr>
              <w:spacing w:after="0"/>
              <w:rPr>
                <w:sz w:val="14"/>
                <w:szCs w:val="14"/>
                <w:color w:val="auto"/>
              </w:rPr>
            </w:pPr>
          </w:p>
        </w:tc>
      </w:tr>
      <w:tr>
        <w:trPr>
          <w:trHeight w:val="198"/>
        </w:trPr>
        <w:tc>
          <w:tcPr>
            <w:tcW w:w="60" w:type="dxa"/>
            <w:vAlign w:val="bottom"/>
            <w:tcBorders>
              <w:left w:val="single" w:sz="8" w:color="424E6A"/>
            </w:tcBorders>
            <w:shd w:val="clear" w:color="auto" w:fill="424E6A"/>
          </w:tcPr>
          <w:p>
            <w:pPr>
              <w:ind w:left="20"/>
              <w:spacing w:after="0"/>
              <w:rPr>
                <w:sz w:val="20"/>
                <w:szCs w:val="20"/>
                <w:color w:val="auto"/>
              </w:rPr>
            </w:pPr>
            <w:r>
              <w:rPr>
                <w:rFonts w:ascii="Arial" w:cs="Arial" w:eastAsia="Arial" w:hAnsi="Arial"/>
                <w:sz w:val="14"/>
                <w:szCs w:val="14"/>
                <w:b w:val="1"/>
                <w:bCs w:val="1"/>
                <w:color w:val="FFFFFF"/>
              </w:rPr>
              <w:t>​</w:t>
            </w:r>
          </w:p>
        </w:tc>
        <w:tc>
          <w:tcPr>
            <w:tcW w:w="5380" w:type="dxa"/>
            <w:vAlign w:val="bottom"/>
            <w:gridSpan w:val="2"/>
            <w:shd w:val="clear" w:color="auto" w:fill="424E6A"/>
          </w:tcPr>
          <w:p>
            <w:pPr>
              <w:spacing w:after="0"/>
              <w:rPr>
                <w:sz w:val="20"/>
                <w:szCs w:val="20"/>
                <w:color w:val="auto"/>
              </w:rPr>
            </w:pPr>
            <w:r>
              <w:rPr>
                <w:rFonts w:ascii="Arial" w:cs="Arial" w:eastAsia="Arial" w:hAnsi="Arial"/>
                <w:sz w:val="14"/>
                <w:szCs w:val="14"/>
                <w:b w:val="1"/>
                <w:bCs w:val="1"/>
                <w:color w:val="FFFFFF"/>
              </w:rPr>
              <w:t>Name of Owner and Address (in the case of Owners of more than 5%)</w:t>
            </w:r>
          </w:p>
        </w:tc>
        <w:tc>
          <w:tcPr>
            <w:tcW w:w="860" w:type="dxa"/>
            <w:vAlign w:val="bottom"/>
            <w:gridSpan w:val="2"/>
            <w:shd w:val="clear" w:color="auto" w:fill="424E6A"/>
          </w:tcPr>
          <w:p>
            <w:pPr>
              <w:jc w:val="center"/>
              <w:ind w:left="492"/>
              <w:spacing w:after="0"/>
              <w:rPr>
                <w:sz w:val="20"/>
                <w:szCs w:val="20"/>
                <w:color w:val="auto"/>
              </w:rPr>
            </w:pPr>
            <w:r>
              <w:rPr>
                <w:rFonts w:ascii="Arial" w:cs="Arial" w:eastAsia="Arial" w:hAnsi="Arial"/>
                <w:sz w:val="14"/>
                <w:szCs w:val="14"/>
                <w:b w:val="1"/>
                <w:bCs w:val="1"/>
                <w:color w:val="FFFFFF"/>
              </w:rPr>
              <w:t>​ ​</w:t>
            </w:r>
          </w:p>
        </w:tc>
        <w:tc>
          <w:tcPr>
            <w:tcW w:w="108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6"/>
              </w:rPr>
              <w:t>Interest</w:t>
            </w:r>
            <w:r>
              <w:rPr>
                <w:rFonts w:ascii="Arial" w:cs="Arial" w:eastAsia="Arial" w:hAnsi="Arial"/>
                <w:sz w:val="17"/>
                <w:szCs w:val="17"/>
                <w:b w:val="1"/>
                <w:bCs w:val="1"/>
                <w:color w:val="FFFFFF"/>
                <w:w w:val="96"/>
                <w:vertAlign w:val="superscript"/>
              </w:rPr>
              <w:t>(1)</w:t>
            </w:r>
          </w:p>
        </w:tc>
        <w:tc>
          <w:tcPr>
            <w:tcW w:w="100" w:type="dxa"/>
            <w:vAlign w:val="bottom"/>
            <w:tcBorders>
              <w:right w:val="single" w:sz="8" w:color="424E6A"/>
            </w:tcBorders>
            <w:shd w:val="clear" w:color="auto" w:fill="424E6A"/>
          </w:tcPr>
          <w:p>
            <w:pPr>
              <w:jc w:val="center"/>
              <w:spacing w:after="0"/>
              <w:rPr>
                <w:sz w:val="20"/>
                <w:szCs w:val="20"/>
                <w:color w:val="auto"/>
              </w:rPr>
            </w:pPr>
            <w:r>
              <w:rPr>
                <w:rFonts w:ascii="Arial" w:cs="Arial" w:eastAsia="Arial" w:hAnsi="Arial"/>
                <w:sz w:val="14"/>
                <w:szCs w:val="14"/>
                <w:b w:val="1"/>
                <w:bCs w:val="1"/>
                <w:color w:val="FFFFFF"/>
              </w:rPr>
              <w:t>​</w:t>
            </w:r>
          </w:p>
        </w:tc>
      </w:tr>
      <w:tr>
        <w:trPr>
          <w:trHeight w:val="256"/>
        </w:trPr>
        <w:tc>
          <w:tcPr>
            <w:tcW w:w="5440" w:type="dxa"/>
            <w:vAlign w:val="bottom"/>
            <w:tcBorders>
              <w:left w:val="single" w:sz="8" w:color="424E6A"/>
              <w:bottom w:val="single" w:sz="8" w:color="424E6A"/>
            </w:tcBorders>
            <w:gridSpan w:val="3"/>
            <w:shd w:val="clear" w:color="auto" w:fill="D9DCE1"/>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Plains GP Holdings, L.P.</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​84.8%</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333 Clay Street, Suite 1600</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160" w:type="dxa"/>
            <w:vAlign w:val="bottom"/>
            <w:tcBorders>
              <w:left w:val="single" w:sz="8" w:color="424E6A"/>
              <w:bottom w:val="single" w:sz="8" w:color="424E6A"/>
            </w:tcBorders>
            <w:gridSpan w:val="2"/>
          </w:tcPr>
          <w:p>
            <w:pPr>
              <w:ind w:left="40"/>
              <w:spacing w:after="0"/>
              <w:rPr>
                <w:sz w:val="20"/>
                <w:szCs w:val="20"/>
                <w:color w:val="auto"/>
              </w:rPr>
            </w:pPr>
            <w:r>
              <w:rPr>
                <w:rFonts w:ascii="Arial" w:cs="Arial" w:eastAsia="Arial" w:hAnsi="Arial"/>
                <w:sz w:val="18"/>
                <w:szCs w:val="18"/>
                <w:color w:val="auto"/>
              </w:rPr>
              <w:t>​</w:t>
            </w:r>
          </w:p>
        </w:tc>
        <w:tc>
          <w:tcPr>
            <w:tcW w:w="5280" w:type="dxa"/>
            <w:vAlign w:val="bottom"/>
            <w:tcBorders>
              <w:bottom w:val="single" w:sz="8" w:color="424E6A"/>
            </w:tcBorders>
          </w:tcPr>
          <w:p>
            <w:pPr>
              <w:ind w:left="80"/>
              <w:spacing w:after="0"/>
              <w:rPr>
                <w:sz w:val="20"/>
                <w:szCs w:val="20"/>
                <w:color w:val="auto"/>
              </w:rPr>
            </w:pPr>
            <w:r>
              <w:rPr>
                <w:rFonts w:ascii="Arial" w:cs="Arial" w:eastAsia="Arial" w:hAnsi="Arial"/>
                <w:sz w:val="18"/>
                <w:szCs w:val="18"/>
                <w:color w:val="auto"/>
              </w:rPr>
              <w:t>Houston, TX 77002</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Lynx Holdings I, LLC</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1.4%</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John T. Raymond</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3.6%</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Greg L. Armstrong</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shd w:val="clear" w:color="auto" w:fill="D9DCE1"/>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1.9%</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Willie Chiang</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Harry N. Pefanis</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shd w:val="clear" w:color="auto" w:fill="D9DCE1"/>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Richard McGee</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shd w:val="clear" w:color="auto" w:fill="D9DCE1"/>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Jeremy Goebel</w:t>
            </w:r>
          </w:p>
        </w:tc>
        <w:tc>
          <w:tcPr>
            <w:tcW w:w="760" w:type="dxa"/>
            <w:vAlign w:val="bottom"/>
            <w:tcBorders>
              <w:bottom w:val="single" w:sz="8" w:color="424E6A"/>
              <w:right w:val="single" w:sz="8" w:color="424E6A"/>
            </w:tcBorders>
            <w:shd w:val="clear" w:color="auto" w:fill="D9DCE1"/>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shd w:val="clear" w:color="auto" w:fill="D9DCE1"/>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424E6A"/>
            </w:tcBorders>
            <w:shd w:val="clear" w:color="auto" w:fill="D9DCE1"/>
          </w:tcPr>
          <w:p>
            <w:pPr>
              <w:ind w:left="3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540" w:type="dxa"/>
            <w:vAlign w:val="bottom"/>
            <w:tcBorders>
              <w:bottom w:val="single" w:sz="8" w:color="424E6A"/>
            </w:tcBorders>
            <w:shd w:val="clear" w:color="auto" w:fill="D9DCE1"/>
          </w:tcPr>
          <w:p>
            <w:pPr>
              <w:jc w:val="right"/>
              <w:ind w:right="2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right w:val="single" w:sz="8" w:color="424E6A"/>
            </w:tcBorders>
            <w:shd w:val="clear" w:color="auto" w:fill="D9DCE1"/>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5440" w:type="dxa"/>
            <w:vAlign w:val="bottom"/>
            <w:tcBorders>
              <w:left w:val="single" w:sz="8" w:color="424E6A"/>
              <w:bottom w:val="single" w:sz="8" w:color="424E6A"/>
            </w:tcBorders>
            <w:gridSpan w:val="3"/>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Various Individual and Other Investors</w:t>
            </w:r>
          </w:p>
        </w:tc>
        <w:tc>
          <w:tcPr>
            <w:tcW w:w="760" w:type="dxa"/>
            <w:vAlign w:val="bottom"/>
            <w:tcBorders>
              <w:bottom w:val="single" w:sz="8" w:color="424E6A"/>
              <w:right w:val="single" w:sz="8" w:color="424E6A"/>
            </w:tcBorders>
          </w:tcPr>
          <w:p>
            <w:pPr>
              <w:jc w:val="center"/>
              <w:ind w:left="59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24E6A"/>
            </w:tcBorders>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424E6A"/>
            </w:tcBorders>
            <w:gridSpan w:val="2"/>
          </w:tcPr>
          <w:p>
            <w:pPr>
              <w:ind w:left="3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7.0%</w:t>
            </w:r>
          </w:p>
        </w:tc>
        <w:tc>
          <w:tcPr>
            <w:tcW w:w="100" w:type="dxa"/>
            <w:vAlign w:val="bottom"/>
            <w:tcBorders>
              <w:bottom w:val="single" w:sz="8" w:color="424E6A"/>
              <w:right w:val="single" w:sz="8" w:color="424E6A"/>
            </w:tcBorders>
          </w:tcPr>
          <w:p>
            <w:pPr>
              <w:jc w:val="cente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6" w:lineRule="exact"/>
        <w:rPr>
          <w:sz w:val="20"/>
          <w:szCs w:val="20"/>
          <w:color w:val="auto"/>
        </w:rPr>
      </w:pPr>
    </w:p>
    <w:p>
      <w:pPr>
        <w:ind w:left="1620" w:hanging="360"/>
        <w:spacing w:after="0"/>
        <w:tabs>
          <w:tab w:leader="none" w:pos="1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579" w:hanging="360"/>
        <w:spacing w:after="0" w:line="210" w:lineRule="auto"/>
        <w:tabs>
          <w:tab w:leader="none" w:pos="1620" w:val="left"/>
        </w:tabs>
        <w:numPr>
          <w:ilvl w:val="0"/>
          <w:numId w:val="86"/>
        </w:numPr>
        <w:rPr>
          <w:rFonts w:ascii="Arial" w:cs="Arial" w:eastAsia="Arial" w:hAnsi="Arial"/>
          <w:sz w:val="27"/>
          <w:szCs w:val="27"/>
          <w:color w:val="auto"/>
          <w:vertAlign w:val="superscript"/>
        </w:rPr>
      </w:pPr>
      <w:r>
        <w:rPr>
          <w:rFonts w:ascii="Arial" w:cs="Arial" w:eastAsia="Arial" w:hAnsi="Arial"/>
          <w:sz w:val="18"/>
          <w:szCs w:val="18"/>
          <w:color w:val="auto"/>
        </w:rPr>
        <w:t>Plains AAP owns approximately 232.7 million PAA common units and a 100% member interest in PAA GP LLC, which owns PAA’s non-economic general partner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The following table sets forth certain information with respect to our equity compensation plan as of December 31, 2023. For a description of this plan, see “Certain Relationships and Related Transactions — Plains GP Holdings, L.P. Long 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94615</wp:posOffset>
            </wp:positionV>
            <wp:extent cx="34290" cy="8743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874395"/>
                    </a:xfrm>
                    <a:prstGeom prst="rect">
                      <a:avLst/>
                    </a:prstGeom>
                    <a:noFill/>
                  </pic:spPr>
                </pic:pic>
              </a:graphicData>
            </a:graphic>
          </wp:anchor>
        </w:drawing>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 w:type="dxa"/>
            <w:vAlign w:val="bottom"/>
            <w:tcBorders>
              <w:top w:val="single" w:sz="8" w:color="424E6A"/>
            </w:tcBorders>
          </w:tcPr>
          <w:p>
            <w:pPr>
              <w:spacing w:after="0"/>
              <w:rPr>
                <w:sz w:val="17"/>
                <w:szCs w:val="17"/>
                <w:color w:val="auto"/>
              </w:rPr>
            </w:pPr>
          </w:p>
        </w:tc>
        <w:tc>
          <w:tcPr>
            <w:tcW w:w="140" w:type="dxa"/>
            <w:vAlign w:val="bottom"/>
            <w:tcBorders>
              <w:top w:val="single" w:sz="8" w:color="424E6A"/>
            </w:tcBorders>
            <w:shd w:val="clear" w:color="auto" w:fill="424E6A"/>
          </w:tcPr>
          <w:p>
            <w:pPr>
              <w:spacing w:after="0"/>
              <w:rPr>
                <w:sz w:val="17"/>
                <w:szCs w:val="17"/>
                <w:color w:val="auto"/>
              </w:rPr>
            </w:pPr>
          </w:p>
        </w:tc>
        <w:tc>
          <w:tcPr>
            <w:tcW w:w="3540" w:type="dxa"/>
            <w:vAlign w:val="bottom"/>
            <w:tcBorders>
              <w:top w:val="single" w:sz="8" w:color="424E6A"/>
            </w:tcBorders>
            <w:shd w:val="clear" w:color="auto" w:fill="424E6A"/>
          </w:tcPr>
          <w:p>
            <w:pPr>
              <w:spacing w:after="0"/>
              <w:rPr>
                <w:sz w:val="17"/>
                <w:szCs w:val="17"/>
                <w:color w:val="auto"/>
              </w:rPr>
            </w:pPr>
          </w:p>
        </w:tc>
        <w:tc>
          <w:tcPr>
            <w:tcW w:w="240" w:type="dxa"/>
            <w:vAlign w:val="bottom"/>
            <w:tcBorders>
              <w:top w:val="single" w:sz="8" w:color="424E6A"/>
              <w:right w:val="single" w:sz="8" w:color="424E6A"/>
            </w:tcBorders>
            <w:shd w:val="clear" w:color="auto" w:fill="424E6A"/>
          </w:tcPr>
          <w:p>
            <w:pPr>
              <w:spacing w:after="0"/>
              <w:rPr>
                <w:sz w:val="17"/>
                <w:szCs w:val="17"/>
                <w:color w:val="auto"/>
              </w:rPr>
            </w:pPr>
          </w:p>
        </w:tc>
        <w:tc>
          <w:tcPr>
            <w:tcW w:w="80" w:type="dxa"/>
            <w:vAlign w:val="bottom"/>
            <w:tcBorders>
              <w:top w:val="single" w:sz="8" w:color="424E6A"/>
            </w:tcBorders>
            <w:shd w:val="clear" w:color="auto" w:fill="424E6A"/>
          </w:tcPr>
          <w:p>
            <w:pPr>
              <w:spacing w:after="0"/>
              <w:rPr>
                <w:sz w:val="17"/>
                <w:szCs w:val="17"/>
                <w:color w:val="auto"/>
              </w:rPr>
            </w:pPr>
          </w:p>
        </w:tc>
        <w:tc>
          <w:tcPr>
            <w:tcW w:w="1240" w:type="dxa"/>
            <w:vAlign w:val="bottom"/>
            <w:tcBorders>
              <w:top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40" w:type="dxa"/>
            <w:vAlign w:val="bottom"/>
            <w:tcBorders>
              <w:top w:val="single" w:sz="8" w:color="424E6A"/>
              <w:right w:val="single" w:sz="8" w:color="424E6A"/>
            </w:tcBorders>
            <w:shd w:val="clear" w:color="auto" w:fill="424E6A"/>
          </w:tcPr>
          <w:p>
            <w:pPr>
              <w:spacing w:after="0"/>
              <w:rPr>
                <w:sz w:val="17"/>
                <w:szCs w:val="17"/>
                <w:color w:val="auto"/>
              </w:rPr>
            </w:pPr>
          </w:p>
        </w:tc>
        <w:tc>
          <w:tcPr>
            <w:tcW w:w="120" w:type="dxa"/>
            <w:vAlign w:val="bottom"/>
            <w:tcBorders>
              <w:top w:val="single" w:sz="8" w:color="424E6A"/>
            </w:tcBorders>
            <w:shd w:val="clear" w:color="auto" w:fill="424E6A"/>
          </w:tcPr>
          <w:p>
            <w:pPr>
              <w:spacing w:after="0"/>
              <w:rPr>
                <w:sz w:val="17"/>
                <w:szCs w:val="17"/>
                <w:color w:val="auto"/>
              </w:rPr>
            </w:pPr>
          </w:p>
        </w:tc>
        <w:tc>
          <w:tcPr>
            <w:tcW w:w="1220" w:type="dxa"/>
            <w:vAlign w:val="bottom"/>
            <w:tcBorders>
              <w:top w:val="single" w:sz="8" w:color="424E6A"/>
            </w:tcBorders>
            <w:shd w:val="clear" w:color="auto" w:fill="424E6A"/>
          </w:tcPr>
          <w:p>
            <w:pPr>
              <w:spacing w:after="0"/>
              <w:rPr>
                <w:sz w:val="17"/>
                <w:szCs w:val="17"/>
                <w:color w:val="auto"/>
              </w:rPr>
            </w:pPr>
          </w:p>
        </w:tc>
        <w:tc>
          <w:tcPr>
            <w:tcW w:w="160" w:type="dxa"/>
            <w:vAlign w:val="bottom"/>
            <w:tcBorders>
              <w:top w:val="single" w:sz="8" w:color="424E6A"/>
              <w:right w:val="single" w:sz="8" w:color="424E6A"/>
            </w:tcBorders>
            <w:shd w:val="clear" w:color="auto" w:fill="424E6A"/>
          </w:tcPr>
          <w:p>
            <w:pPr>
              <w:spacing w:after="0"/>
              <w:rPr>
                <w:sz w:val="17"/>
                <w:szCs w:val="17"/>
                <w:color w:val="auto"/>
              </w:rPr>
            </w:pPr>
          </w:p>
        </w:tc>
        <w:tc>
          <w:tcPr>
            <w:tcW w:w="80" w:type="dxa"/>
            <w:vAlign w:val="bottom"/>
            <w:tcBorders>
              <w:top w:val="single" w:sz="8" w:color="424E6A"/>
            </w:tcBorders>
            <w:shd w:val="clear" w:color="auto" w:fill="424E6A"/>
          </w:tcPr>
          <w:p>
            <w:pPr>
              <w:spacing w:after="0"/>
              <w:rPr>
                <w:sz w:val="17"/>
                <w:szCs w:val="17"/>
                <w:color w:val="auto"/>
              </w:rPr>
            </w:pPr>
          </w:p>
        </w:tc>
        <w:tc>
          <w:tcPr>
            <w:tcW w:w="1140" w:type="dxa"/>
            <w:vAlign w:val="bottom"/>
            <w:tcBorders>
              <w:top w:val="single" w:sz="8" w:color="424E6A"/>
            </w:tcBorders>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Number of Units</w:t>
            </w:r>
          </w:p>
        </w:tc>
        <w:tc>
          <w:tcPr>
            <w:tcW w:w="100" w:type="dxa"/>
            <w:vAlign w:val="bottom"/>
            <w:tcBorders>
              <w:top w:val="single" w:sz="8" w:color="424E6A"/>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5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140" w:type="dxa"/>
            <w:vAlign w:val="bottom"/>
            <w:tcBorders>
              <w:right w:val="single" w:sz="8" w:color="424E6A"/>
            </w:tcBorders>
            <w:shd w:val="clear" w:color="auto" w:fill="424E6A"/>
          </w:tcPr>
          <w:p>
            <w:pPr>
              <w:spacing w:after="0"/>
              <w:rPr>
                <w:sz w:val="14"/>
                <w:szCs w:val="14"/>
                <w:color w:val="auto"/>
              </w:rPr>
            </w:pPr>
          </w:p>
        </w:tc>
        <w:tc>
          <w:tcPr>
            <w:tcW w:w="1340" w:type="dxa"/>
            <w:vAlign w:val="bottom"/>
            <w:gridSpan w:val="2"/>
            <w:shd w:val="clear" w:color="auto" w:fill="424E6A"/>
          </w:tcPr>
          <w:p>
            <w:pPr>
              <w:jc w:val="center"/>
              <w:ind w:left="15"/>
              <w:spacing w:after="0"/>
              <w:rPr>
                <w:sz w:val="20"/>
                <w:szCs w:val="20"/>
                <w:color w:val="auto"/>
              </w:rPr>
            </w:pPr>
            <w:r>
              <w:rPr>
                <w:rFonts w:ascii="Arial" w:cs="Arial" w:eastAsia="Arial" w:hAnsi="Arial"/>
                <w:sz w:val="14"/>
                <w:szCs w:val="14"/>
                <w:b w:val="1"/>
                <w:bCs w:val="1"/>
                <w:color w:val="FFFFFF"/>
              </w:rPr>
              <w:t>Weighted Average</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Remaining</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5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Exercise/Vesting</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w w:val="99"/>
              </w:rPr>
              <w:t>Available for</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5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of Outstanding</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Outstanding</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Future Issuance</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5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Options,</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Options,</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under Equity</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5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2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Warrants and</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1140" w:type="dxa"/>
            <w:vAlign w:val="bottom"/>
            <w:gridSpan w:val="2"/>
            <w:shd w:val="clear" w:color="auto" w:fill="424E6A"/>
          </w:tcPr>
          <w:p>
            <w:pPr>
              <w:jc w:val="center"/>
              <w:spacing w:after="0"/>
              <w:rPr>
                <w:sz w:val="20"/>
                <w:szCs w:val="20"/>
                <w:color w:val="auto"/>
              </w:rPr>
            </w:pPr>
            <w:r>
              <w:rPr>
                <w:rFonts w:ascii="Arial" w:cs="Arial" w:eastAsia="Arial" w:hAnsi="Arial"/>
                <w:sz w:val="14"/>
                <w:szCs w:val="14"/>
                <w:b w:val="1"/>
                <w:bCs w:val="1"/>
                <w:color w:val="FFFFFF"/>
              </w:rPr>
              <w:t>Compensation</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424E6A"/>
          </w:tcPr>
          <w:p>
            <w:pPr>
              <w:spacing w:after="0"/>
              <w:rPr>
                <w:sz w:val="14"/>
                <w:szCs w:val="14"/>
                <w:color w:val="auto"/>
              </w:rPr>
            </w:pPr>
          </w:p>
        </w:tc>
        <w:tc>
          <w:tcPr>
            <w:tcW w:w="3540" w:type="dxa"/>
            <w:vAlign w:val="bottom"/>
            <w:shd w:val="clear" w:color="auto" w:fill="424E6A"/>
          </w:tcPr>
          <w:p>
            <w:pPr>
              <w:spacing w:after="0"/>
              <w:rPr>
                <w:sz w:val="14"/>
                <w:szCs w:val="14"/>
                <w:color w:val="auto"/>
              </w:rPr>
            </w:pPr>
          </w:p>
        </w:tc>
        <w:tc>
          <w:tcPr>
            <w:tcW w:w="24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380" w:type="dxa"/>
            <w:vAlign w:val="bottom"/>
            <w:shd w:val="clear" w:color="auto" w:fill="424E6A"/>
          </w:tcPr>
          <w:p>
            <w:pPr>
              <w:spacing w:after="0"/>
              <w:rPr>
                <w:sz w:val="14"/>
                <w:szCs w:val="14"/>
                <w:color w:val="auto"/>
              </w:rPr>
            </w:pPr>
          </w:p>
        </w:tc>
        <w:tc>
          <w:tcPr>
            <w:tcW w:w="860" w:type="dxa"/>
            <w:vAlign w:val="bottom"/>
            <w:shd w:val="clear" w:color="auto" w:fill="424E6A"/>
          </w:tcPr>
          <w:p>
            <w:pPr>
              <w:jc w:val="center"/>
              <w:ind w:right="302"/>
              <w:spacing w:after="0"/>
              <w:rPr>
                <w:sz w:val="20"/>
                <w:szCs w:val="20"/>
                <w:color w:val="auto"/>
              </w:rPr>
            </w:pPr>
            <w:r>
              <w:rPr>
                <w:rFonts w:ascii="Arial" w:cs="Arial" w:eastAsia="Arial" w:hAnsi="Arial"/>
                <w:sz w:val="14"/>
                <w:szCs w:val="14"/>
                <w:b w:val="1"/>
                <w:bCs w:val="1"/>
                <w:color w:val="FFFFFF"/>
              </w:rPr>
              <w:t>Rights</w:t>
            </w:r>
          </w:p>
        </w:tc>
        <w:tc>
          <w:tcPr>
            <w:tcW w:w="140" w:type="dxa"/>
            <w:vAlign w:val="bottom"/>
            <w:tcBorders>
              <w:right w:val="single" w:sz="8" w:color="424E6A"/>
            </w:tcBorders>
            <w:shd w:val="clear" w:color="auto" w:fill="424E6A"/>
          </w:tcPr>
          <w:p>
            <w:pPr>
              <w:spacing w:after="0"/>
              <w:rPr>
                <w:sz w:val="14"/>
                <w:szCs w:val="14"/>
                <w:color w:val="auto"/>
              </w:rPr>
            </w:pPr>
          </w:p>
        </w:tc>
        <w:tc>
          <w:tcPr>
            <w:tcW w:w="120" w:type="dxa"/>
            <w:vAlign w:val="bottom"/>
            <w:shd w:val="clear" w:color="auto" w:fill="424E6A"/>
          </w:tcPr>
          <w:p>
            <w:pPr>
              <w:spacing w:after="0"/>
              <w:rPr>
                <w:sz w:val="14"/>
                <w:szCs w:val="14"/>
                <w:color w:val="auto"/>
              </w:rPr>
            </w:pP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Rights</w:t>
            </w:r>
          </w:p>
        </w:tc>
        <w:tc>
          <w:tcPr>
            <w:tcW w:w="160" w:type="dxa"/>
            <w:vAlign w:val="bottom"/>
            <w:tcBorders>
              <w:right w:val="single" w:sz="8" w:color="424E6A"/>
            </w:tcBorders>
            <w:shd w:val="clear" w:color="auto" w:fill="424E6A"/>
          </w:tcPr>
          <w:p>
            <w:pPr>
              <w:spacing w:after="0"/>
              <w:rPr>
                <w:sz w:val="14"/>
                <w:szCs w:val="14"/>
                <w:color w:val="auto"/>
              </w:rPr>
            </w:pPr>
          </w:p>
        </w:tc>
        <w:tc>
          <w:tcPr>
            <w:tcW w:w="80" w:type="dxa"/>
            <w:vAlign w:val="bottom"/>
            <w:shd w:val="clear" w:color="auto" w:fill="424E6A"/>
          </w:tcPr>
          <w:p>
            <w:pPr>
              <w:spacing w:after="0"/>
              <w:rPr>
                <w:sz w:val="14"/>
                <w:szCs w:val="14"/>
                <w:color w:val="auto"/>
              </w:rPr>
            </w:pPr>
          </w:p>
        </w:tc>
        <w:tc>
          <w:tcPr>
            <w:tcW w:w="300" w:type="dxa"/>
            <w:vAlign w:val="bottom"/>
            <w:shd w:val="clear" w:color="auto" w:fill="424E6A"/>
          </w:tcPr>
          <w:p>
            <w:pPr>
              <w:spacing w:after="0"/>
              <w:rPr>
                <w:sz w:val="14"/>
                <w:szCs w:val="14"/>
                <w:color w:val="auto"/>
              </w:rPr>
            </w:pPr>
          </w:p>
        </w:tc>
        <w:tc>
          <w:tcPr>
            <w:tcW w:w="840" w:type="dxa"/>
            <w:vAlign w:val="bottom"/>
            <w:shd w:val="clear" w:color="auto" w:fill="424E6A"/>
          </w:tcPr>
          <w:p>
            <w:pPr>
              <w:jc w:val="center"/>
              <w:ind w:right="242"/>
              <w:spacing w:after="0"/>
              <w:rPr>
                <w:sz w:val="20"/>
                <w:szCs w:val="20"/>
                <w:color w:val="auto"/>
              </w:rPr>
            </w:pPr>
            <w:r>
              <w:rPr>
                <w:rFonts w:ascii="Arial" w:cs="Arial" w:eastAsia="Arial" w:hAnsi="Arial"/>
                <w:sz w:val="14"/>
                <w:szCs w:val="14"/>
                <w:b w:val="1"/>
                <w:bCs w:val="1"/>
                <w:color w:val="FFFFFF"/>
              </w:rPr>
              <w:t>Plans</w:t>
            </w:r>
          </w:p>
        </w:tc>
        <w:tc>
          <w:tcPr>
            <w:tcW w:w="100" w:type="dxa"/>
            <w:vAlign w:val="bottom"/>
            <w:tcBorders>
              <w:right w:val="single" w:sz="8" w:color="424E6A"/>
            </w:tcBorders>
            <w:shd w:val="clear" w:color="auto" w:fill="424E6A"/>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80" w:type="dxa"/>
            <w:vAlign w:val="bottom"/>
            <w:gridSpan w:val="2"/>
            <w:shd w:val="clear" w:color="auto" w:fill="424E6A"/>
          </w:tcPr>
          <w:p>
            <w:pPr>
              <w:ind w:left="2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Plan Category</w:t>
            </w:r>
          </w:p>
        </w:tc>
        <w:tc>
          <w:tcPr>
            <w:tcW w:w="32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80" w:type="dxa"/>
            <w:vAlign w:val="bottom"/>
            <w:shd w:val="clear" w:color="auto" w:fill="424E6A"/>
          </w:tcPr>
          <w:p>
            <w:pPr>
              <w:spacing w:after="0"/>
              <w:rPr>
                <w:sz w:val="17"/>
                <w:szCs w:val="17"/>
                <w:color w:val="auto"/>
              </w:rPr>
            </w:pPr>
          </w:p>
        </w:tc>
        <w:tc>
          <w:tcPr>
            <w:tcW w:w="860" w:type="dxa"/>
            <w:vAlign w:val="bottom"/>
            <w:shd w:val="clear" w:color="auto" w:fill="424E6A"/>
          </w:tcPr>
          <w:p>
            <w:pPr>
              <w:jc w:val="center"/>
              <w:ind w:right="262"/>
              <w:spacing w:after="0"/>
              <w:rPr>
                <w:sz w:val="20"/>
                <w:szCs w:val="20"/>
                <w:color w:val="auto"/>
              </w:rPr>
            </w:pPr>
            <w:r>
              <w:rPr>
                <w:rFonts w:ascii="Arial" w:cs="Arial" w:eastAsia="Arial" w:hAnsi="Arial"/>
                <w:sz w:val="14"/>
                <w:szCs w:val="14"/>
                <w:b w:val="1"/>
                <w:bCs w:val="1"/>
                <w:color w:val="FFFFFF"/>
                <w:w w:val="93"/>
              </w:rPr>
              <w:t>(a)</w:t>
            </w:r>
          </w:p>
        </w:tc>
        <w:tc>
          <w:tcPr>
            <w:tcW w:w="26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122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(b)</w:t>
            </w:r>
          </w:p>
        </w:tc>
        <w:tc>
          <w:tcPr>
            <w:tcW w:w="240" w:type="dxa"/>
            <w:vAlign w:val="bottom"/>
            <w:gridSpan w:val="2"/>
            <w:shd w:val="clear" w:color="auto" w:fill="424E6A"/>
          </w:tcPr>
          <w:p>
            <w:pPr>
              <w:jc w:val="right"/>
              <w:spacing w:after="0"/>
              <w:rPr>
                <w:sz w:val="20"/>
                <w:szCs w:val="20"/>
                <w:color w:val="auto"/>
              </w:rPr>
            </w:pPr>
            <w:r>
              <w:rPr>
                <w:rFonts w:ascii="Arial" w:cs="Arial" w:eastAsia="Arial" w:hAnsi="Arial"/>
                <w:sz w:val="14"/>
                <w:szCs w:val="14"/>
                <w:b w:val="1"/>
                <w:bCs w:val="1"/>
                <w:color w:val="FFFFFF"/>
              </w:rPr>
              <w:t>​ ​</w:t>
            </w:r>
          </w:p>
        </w:tc>
        <w:tc>
          <w:tcPr>
            <w:tcW w:w="300" w:type="dxa"/>
            <w:vAlign w:val="bottom"/>
            <w:shd w:val="clear" w:color="auto" w:fill="424E6A"/>
          </w:tcPr>
          <w:p>
            <w:pPr>
              <w:spacing w:after="0"/>
              <w:rPr>
                <w:sz w:val="17"/>
                <w:szCs w:val="17"/>
                <w:color w:val="auto"/>
              </w:rPr>
            </w:pPr>
          </w:p>
        </w:tc>
        <w:tc>
          <w:tcPr>
            <w:tcW w:w="840" w:type="dxa"/>
            <w:vAlign w:val="bottom"/>
            <w:shd w:val="clear" w:color="auto" w:fill="424E6A"/>
          </w:tcPr>
          <w:p>
            <w:pPr>
              <w:jc w:val="center"/>
              <w:ind w:right="202"/>
              <w:spacing w:after="0"/>
              <w:rPr>
                <w:sz w:val="20"/>
                <w:szCs w:val="20"/>
                <w:color w:val="auto"/>
              </w:rPr>
            </w:pPr>
            <w:r>
              <w:rPr>
                <w:rFonts w:ascii="Arial" w:cs="Arial" w:eastAsia="Arial" w:hAnsi="Arial"/>
                <w:sz w:val="14"/>
                <w:szCs w:val="14"/>
                <w:b w:val="1"/>
                <w:bCs w:val="1"/>
                <w:color w:val="FFFFFF"/>
                <w:w w:val="93"/>
              </w:rPr>
              <w:t>(c)</w:t>
            </w:r>
          </w:p>
        </w:tc>
        <w:tc>
          <w:tcPr>
            <w:tcW w:w="100" w:type="dxa"/>
            <w:vAlign w:val="bottom"/>
            <w:tcBorders>
              <w:right w:val="single" w:sz="8" w:color="424E6A"/>
            </w:tcBorders>
            <w:shd w:val="clear" w:color="auto" w:fill="424E6A"/>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424E6A"/>
          </w:tcPr>
          <w:p>
            <w:pPr>
              <w:spacing w:after="0"/>
              <w:rPr>
                <w:sz w:val="18"/>
                <w:szCs w:val="18"/>
                <w:color w:val="auto"/>
              </w:rPr>
            </w:pPr>
          </w:p>
        </w:tc>
        <w:tc>
          <w:tcPr>
            <w:tcW w:w="3680" w:type="dxa"/>
            <w:vAlign w:val="bottom"/>
            <w:gridSpan w:val="2"/>
            <w:shd w:val="clear" w:color="auto" w:fill="D9DCE1"/>
          </w:tcPr>
          <w:p>
            <w:pPr>
              <w:ind w:left="40"/>
              <w:spacing w:after="0"/>
              <w:rPr>
                <w:sz w:val="20"/>
                <w:szCs w:val="20"/>
                <w:color w:val="auto"/>
              </w:rPr>
            </w:pPr>
            <w:r>
              <w:rPr>
                <w:rFonts w:ascii="Arial" w:cs="Arial" w:eastAsia="Arial" w:hAnsi="Arial"/>
                <w:sz w:val="18"/>
                <w:szCs w:val="18"/>
                <w:color w:val="auto"/>
              </w:rPr>
              <w:t>Equity compensation plans approved by</w:t>
            </w:r>
          </w:p>
        </w:tc>
        <w:tc>
          <w:tcPr>
            <w:tcW w:w="240" w:type="dxa"/>
            <w:vAlign w:val="bottom"/>
            <w:tcBorders>
              <w:right w:val="single" w:sz="8" w:color="424E6A"/>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380" w:type="dxa"/>
            <w:vAlign w:val="bottom"/>
            <w:shd w:val="clear" w:color="auto" w:fill="D9DCE1"/>
          </w:tcPr>
          <w:p>
            <w:pPr>
              <w:spacing w:after="0"/>
              <w:rPr>
                <w:sz w:val="18"/>
                <w:szCs w:val="18"/>
                <w:color w:val="auto"/>
              </w:rPr>
            </w:pPr>
          </w:p>
        </w:tc>
        <w:tc>
          <w:tcPr>
            <w:tcW w:w="860" w:type="dxa"/>
            <w:vAlign w:val="bottom"/>
            <w:shd w:val="clear" w:color="auto" w:fill="D9DCE1"/>
          </w:tcPr>
          <w:p>
            <w:pPr>
              <w:spacing w:after="0"/>
              <w:rPr>
                <w:sz w:val="18"/>
                <w:szCs w:val="18"/>
                <w:color w:val="auto"/>
              </w:rPr>
            </w:pPr>
          </w:p>
        </w:tc>
        <w:tc>
          <w:tcPr>
            <w:tcW w:w="140" w:type="dxa"/>
            <w:vAlign w:val="bottom"/>
            <w:tcBorders>
              <w:right w:val="single" w:sz="8" w:color="424E6A"/>
            </w:tcBorders>
            <w:shd w:val="clear" w:color="auto" w:fill="D9DCE1"/>
          </w:tcPr>
          <w:p>
            <w:pPr>
              <w:spacing w:after="0"/>
              <w:rPr>
                <w:sz w:val="18"/>
                <w:szCs w:val="18"/>
                <w:color w:val="auto"/>
              </w:rPr>
            </w:pPr>
          </w:p>
        </w:tc>
        <w:tc>
          <w:tcPr>
            <w:tcW w:w="120" w:type="dxa"/>
            <w:vAlign w:val="bottom"/>
            <w:shd w:val="clear" w:color="auto" w:fill="D9DCE1"/>
          </w:tcPr>
          <w:p>
            <w:pPr>
              <w:spacing w:after="0"/>
              <w:rPr>
                <w:sz w:val="18"/>
                <w:szCs w:val="18"/>
                <w:color w:val="auto"/>
              </w:rPr>
            </w:pPr>
          </w:p>
        </w:tc>
        <w:tc>
          <w:tcPr>
            <w:tcW w:w="1220" w:type="dxa"/>
            <w:vAlign w:val="bottom"/>
            <w:shd w:val="clear" w:color="auto" w:fill="D9DCE1"/>
          </w:tcPr>
          <w:p>
            <w:pPr>
              <w:spacing w:after="0"/>
              <w:rPr>
                <w:sz w:val="18"/>
                <w:szCs w:val="18"/>
                <w:color w:val="auto"/>
              </w:rPr>
            </w:pPr>
          </w:p>
        </w:tc>
        <w:tc>
          <w:tcPr>
            <w:tcW w:w="160" w:type="dxa"/>
            <w:vAlign w:val="bottom"/>
            <w:tcBorders>
              <w:right w:val="single" w:sz="8" w:color="424E6A"/>
            </w:tcBorders>
            <w:shd w:val="clear" w:color="auto" w:fill="D9DCE1"/>
          </w:tcPr>
          <w:p>
            <w:pPr>
              <w:spacing w:after="0"/>
              <w:rPr>
                <w:sz w:val="18"/>
                <w:szCs w:val="18"/>
                <w:color w:val="auto"/>
              </w:rPr>
            </w:pPr>
          </w:p>
        </w:tc>
        <w:tc>
          <w:tcPr>
            <w:tcW w:w="80" w:type="dxa"/>
            <w:vAlign w:val="bottom"/>
            <w:shd w:val="clear" w:color="auto" w:fill="D9DCE1"/>
          </w:tcPr>
          <w:p>
            <w:pPr>
              <w:spacing w:after="0"/>
              <w:rPr>
                <w:sz w:val="18"/>
                <w:szCs w:val="18"/>
                <w:color w:val="auto"/>
              </w:rPr>
            </w:pPr>
          </w:p>
        </w:tc>
        <w:tc>
          <w:tcPr>
            <w:tcW w:w="300" w:type="dxa"/>
            <w:vAlign w:val="bottom"/>
            <w:shd w:val="clear" w:color="auto" w:fill="D9DCE1"/>
          </w:tcPr>
          <w:p>
            <w:pPr>
              <w:spacing w:after="0"/>
              <w:rPr>
                <w:sz w:val="18"/>
                <w:szCs w:val="18"/>
                <w:color w:val="auto"/>
              </w:rPr>
            </w:pPr>
          </w:p>
        </w:tc>
        <w:tc>
          <w:tcPr>
            <w:tcW w:w="840" w:type="dxa"/>
            <w:vAlign w:val="bottom"/>
            <w:shd w:val="clear" w:color="auto" w:fill="D9DCE1"/>
          </w:tcPr>
          <w:p>
            <w:pPr>
              <w:spacing w:after="0"/>
              <w:rPr>
                <w:sz w:val="18"/>
                <w:szCs w:val="18"/>
                <w:color w:val="auto"/>
              </w:rPr>
            </w:pPr>
          </w:p>
        </w:tc>
        <w:tc>
          <w:tcPr>
            <w:tcW w:w="100" w:type="dxa"/>
            <w:vAlign w:val="bottom"/>
            <w:tcBorders>
              <w:right w:val="single" w:sz="8" w:color="424E6A"/>
            </w:tcBorders>
            <w:shd w:val="clear" w:color="auto" w:fill="D9DCE1"/>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424E6A"/>
            </w:tcBorders>
            <w:shd w:val="clear" w:color="auto" w:fill="424E6A"/>
          </w:tcPr>
          <w:p>
            <w:pPr>
              <w:spacing w:after="0"/>
              <w:rPr>
                <w:sz w:val="22"/>
                <w:szCs w:val="22"/>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5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unitholders:</w:t>
            </w:r>
          </w:p>
        </w:tc>
        <w:tc>
          <w:tcPr>
            <w:tcW w:w="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spacing w:after="0"/>
              <w:rPr>
                <w:sz w:val="22"/>
                <w:szCs w:val="22"/>
                <w:color w:val="auto"/>
              </w:rPr>
            </w:pP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tcBorders>
            <w:shd w:val="clear" w:color="auto" w:fill="D9DCE1"/>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24E6A"/>
            </w:tcBorders>
            <w:shd w:val="clear" w:color="auto" w:fill="D9DCE1"/>
          </w:tcPr>
          <w:p>
            <w:pPr>
              <w:spacing w:after="0"/>
              <w:rPr>
                <w:sz w:val="22"/>
                <w:szCs w:val="22"/>
                <w:color w:val="auto"/>
              </w:rPr>
            </w:pP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shd w:val="clear" w:color="auto" w:fill="424E6A"/>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540" w:type="dxa"/>
            <w:vAlign w:val="bottom"/>
          </w:tcPr>
          <w:p>
            <w:pPr>
              <w:ind w:left="80"/>
              <w:spacing w:after="0" w:line="182" w:lineRule="exact"/>
              <w:rPr>
                <w:sz w:val="20"/>
                <w:szCs w:val="20"/>
                <w:color w:val="auto"/>
              </w:rPr>
            </w:pPr>
            <w:r>
              <w:rPr>
                <w:rFonts w:ascii="Arial" w:cs="Arial" w:eastAsia="Arial" w:hAnsi="Arial"/>
                <w:sz w:val="18"/>
                <w:szCs w:val="18"/>
                <w:color w:val="auto"/>
              </w:rPr>
              <w:t>Long Term Incentive Plan</w:t>
            </w:r>
          </w:p>
        </w:tc>
        <w:tc>
          <w:tcPr>
            <w:tcW w:w="240" w:type="dxa"/>
            <w:vAlign w:val="bottom"/>
            <w:tcBorders>
              <w:right w:val="single" w:sz="8" w:color="424E6A"/>
            </w:tcBorders>
            <w:vMerge w:val="restart"/>
          </w:tcPr>
          <w:p>
            <w:pPr>
              <w:ind w:left="16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20"/>
              <w:spacing w:after="0" w:line="183" w:lineRule="exact"/>
              <w:rPr>
                <w:sz w:val="20"/>
                <w:szCs w:val="20"/>
                <w:color w:val="auto"/>
              </w:rPr>
            </w:pPr>
            <w:r>
              <w:rPr>
                <w:rFonts w:ascii="Arial" w:cs="Arial" w:eastAsia="Arial" w:hAnsi="Arial"/>
                <w:sz w:val="17"/>
                <w:szCs w:val="17"/>
                <w:color w:val="auto"/>
              </w:rPr>
              <w:t>285,302</w:t>
            </w:r>
            <w:r>
              <w:rPr>
                <w:rFonts w:ascii="Arial" w:cs="Arial" w:eastAsia="Arial" w:hAnsi="Arial"/>
                <w:sz w:val="21"/>
                <w:szCs w:val="21"/>
                <w:color w:val="auto"/>
                <w:vertAlign w:val="superscript"/>
              </w:rPr>
              <w:t>(1)</w:t>
            </w:r>
          </w:p>
        </w:tc>
        <w:tc>
          <w:tcPr>
            <w:tcW w:w="14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line="182" w:lineRule="exact"/>
              <w:rPr>
                <w:sz w:val="20"/>
                <w:szCs w:val="20"/>
                <w:color w:val="auto"/>
              </w:rPr>
            </w:pPr>
            <w:r>
              <w:rPr>
                <w:rFonts w:ascii="Arial" w:cs="Arial" w:eastAsia="Arial" w:hAnsi="Arial"/>
                <w:sz w:val="18"/>
                <w:szCs w:val="18"/>
                <w:color w:val="auto"/>
                <w:w w:val="99"/>
              </w:rPr>
              <w:t>N/A</w:t>
            </w:r>
          </w:p>
        </w:tc>
        <w:tc>
          <w:tcPr>
            <w:tcW w:w="16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180"/>
              <w:spacing w:after="0" w:line="183" w:lineRule="exact"/>
              <w:rPr>
                <w:sz w:val="20"/>
                <w:szCs w:val="20"/>
                <w:color w:val="auto"/>
              </w:rPr>
            </w:pPr>
            <w:r>
              <w:rPr>
                <w:rFonts w:ascii="Arial" w:cs="Arial" w:eastAsia="Arial" w:hAnsi="Arial"/>
                <w:sz w:val="17"/>
                <w:szCs w:val="17"/>
                <w:color w:val="auto"/>
              </w:rPr>
              <w:t>3,160,791</w:t>
            </w:r>
            <w:r>
              <w:rPr>
                <w:rFonts w:ascii="Arial" w:cs="Arial" w:eastAsia="Arial" w:hAnsi="Arial"/>
                <w:sz w:val="21"/>
                <w:szCs w:val="21"/>
                <w:color w:val="auto"/>
                <w:vertAlign w:val="superscript"/>
              </w:rPr>
              <w:t>(1)</w:t>
            </w:r>
          </w:p>
        </w:tc>
        <w:tc>
          <w:tcPr>
            <w:tcW w:w="100" w:type="dxa"/>
            <w:vAlign w:val="bottom"/>
            <w:tcBorders>
              <w:right w:val="single" w:sz="8" w:color="424E6A"/>
            </w:tcBorders>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Borders>
              <w:bottom w:val="single" w:sz="8" w:color="424E6A"/>
            </w:tcBorders>
            <w:shd w:val="clear" w:color="auto" w:fill="424E6A"/>
          </w:tcPr>
          <w:p>
            <w:pPr>
              <w:spacing w:after="0"/>
              <w:rPr>
                <w:sz w:val="5"/>
                <w:szCs w:val="5"/>
                <w:color w:val="auto"/>
              </w:rPr>
            </w:pPr>
          </w:p>
        </w:tc>
        <w:tc>
          <w:tcPr>
            <w:tcW w:w="140" w:type="dxa"/>
            <w:vAlign w:val="bottom"/>
            <w:tcBorders>
              <w:bottom w:val="single" w:sz="8" w:color="424E6A"/>
            </w:tcBorders>
            <w:vMerge w:val="continue"/>
          </w:tcPr>
          <w:p>
            <w:pPr>
              <w:spacing w:after="0"/>
              <w:rPr>
                <w:sz w:val="5"/>
                <w:szCs w:val="5"/>
                <w:color w:val="auto"/>
              </w:rPr>
            </w:pPr>
          </w:p>
        </w:tc>
        <w:tc>
          <w:tcPr>
            <w:tcW w:w="3540" w:type="dxa"/>
            <w:vAlign w:val="bottom"/>
            <w:tcBorders>
              <w:bottom w:val="single" w:sz="8" w:color="424E6A"/>
            </w:tcBorders>
          </w:tcPr>
          <w:p>
            <w:pPr>
              <w:spacing w:after="0"/>
              <w:rPr>
                <w:sz w:val="5"/>
                <w:szCs w:val="5"/>
                <w:color w:val="auto"/>
              </w:rPr>
            </w:pPr>
          </w:p>
        </w:tc>
        <w:tc>
          <w:tcPr>
            <w:tcW w:w="24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80" w:type="dxa"/>
            <w:vAlign w:val="bottom"/>
            <w:tcBorders>
              <w:bottom w:val="single" w:sz="8" w:color="424E6A"/>
            </w:tcBorders>
          </w:tcPr>
          <w:p>
            <w:pPr>
              <w:ind w:left="300"/>
              <w:spacing w:after="0" w:line="68" w:lineRule="exact"/>
              <w:rPr>
                <w:sz w:val="20"/>
                <w:szCs w:val="20"/>
                <w:color w:val="auto"/>
              </w:rPr>
            </w:pPr>
            <w:r>
              <w:rPr>
                <w:rFonts w:ascii="Arial" w:cs="Arial" w:eastAsia="Arial" w:hAnsi="Arial"/>
                <w:sz w:val="7"/>
                <w:szCs w:val="7"/>
                <w:color w:val="auto"/>
              </w:rPr>
              <w:t>​</w:t>
            </w:r>
          </w:p>
        </w:tc>
        <w:tc>
          <w:tcPr>
            <w:tcW w:w="860" w:type="dxa"/>
            <w:vAlign w:val="bottom"/>
            <w:tcBorders>
              <w:bottom w:val="single" w:sz="8" w:color="424E6A"/>
            </w:tcBorders>
          </w:tcPr>
          <w:p>
            <w:pPr>
              <w:spacing w:after="0"/>
              <w:rPr>
                <w:sz w:val="5"/>
                <w:szCs w:val="5"/>
                <w:color w:val="auto"/>
              </w:rPr>
            </w:pPr>
          </w:p>
        </w:tc>
        <w:tc>
          <w:tcPr>
            <w:tcW w:w="140" w:type="dxa"/>
            <w:vAlign w:val="bottom"/>
            <w:tcBorders>
              <w:bottom w:val="single" w:sz="8" w:color="424E6A"/>
              <w:right w:val="single" w:sz="8" w:color="424E6A"/>
            </w:tcBorders>
            <w:vMerge w:val="continue"/>
          </w:tcPr>
          <w:p>
            <w:pPr>
              <w:spacing w:after="0"/>
              <w:rPr>
                <w:sz w:val="5"/>
                <w:szCs w:val="5"/>
                <w:color w:val="auto"/>
              </w:rPr>
            </w:pPr>
          </w:p>
        </w:tc>
        <w:tc>
          <w:tcPr>
            <w:tcW w:w="120" w:type="dxa"/>
            <w:vAlign w:val="bottom"/>
            <w:tcBorders>
              <w:bottom w:val="single" w:sz="8" w:color="424E6A"/>
            </w:tcBorders>
            <w:vMerge w:val="continue"/>
          </w:tcPr>
          <w:p>
            <w:pPr>
              <w:spacing w:after="0"/>
              <w:rPr>
                <w:sz w:val="5"/>
                <w:szCs w:val="5"/>
                <w:color w:val="auto"/>
              </w:rPr>
            </w:pPr>
          </w:p>
        </w:tc>
        <w:tc>
          <w:tcPr>
            <w:tcW w:w="1220" w:type="dxa"/>
            <w:vAlign w:val="bottom"/>
            <w:tcBorders>
              <w:bottom w:val="single" w:sz="8" w:color="424E6A"/>
            </w:tcBorders>
          </w:tcPr>
          <w:p>
            <w:pPr>
              <w:ind w:left="44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24E6A"/>
              <w:right w:val="single" w:sz="8" w:color="424E6A"/>
            </w:tcBorders>
            <w:vMerge w:val="continue"/>
          </w:tcPr>
          <w:p>
            <w:pPr>
              <w:spacing w:after="0"/>
              <w:rPr>
                <w:sz w:val="5"/>
                <w:szCs w:val="5"/>
                <w:color w:val="auto"/>
              </w:rPr>
            </w:pPr>
          </w:p>
        </w:tc>
        <w:tc>
          <w:tcPr>
            <w:tcW w:w="80" w:type="dxa"/>
            <w:vAlign w:val="bottom"/>
            <w:tcBorders>
              <w:bottom w:val="single" w:sz="8" w:color="424E6A"/>
            </w:tcBorders>
            <w:vMerge w:val="continue"/>
          </w:tcPr>
          <w:p>
            <w:pPr>
              <w:spacing w:after="0"/>
              <w:rPr>
                <w:sz w:val="5"/>
                <w:szCs w:val="5"/>
                <w:color w:val="auto"/>
              </w:rPr>
            </w:pPr>
          </w:p>
        </w:tc>
        <w:tc>
          <w:tcPr>
            <w:tcW w:w="300" w:type="dxa"/>
            <w:vAlign w:val="bottom"/>
            <w:tcBorders>
              <w:bottom w:val="single" w:sz="8" w:color="424E6A"/>
            </w:tcBorders>
          </w:tcPr>
          <w:p>
            <w:pPr>
              <w:ind w:left="160"/>
              <w:spacing w:after="0" w:line="68" w:lineRule="exact"/>
              <w:rPr>
                <w:sz w:val="20"/>
                <w:szCs w:val="20"/>
                <w:color w:val="auto"/>
              </w:rPr>
            </w:pPr>
            <w:r>
              <w:rPr>
                <w:rFonts w:ascii="Arial" w:cs="Arial" w:eastAsia="Arial" w:hAnsi="Arial"/>
                <w:sz w:val="7"/>
                <w:szCs w:val="7"/>
                <w:color w:val="auto"/>
              </w:rPr>
              <w:t>​</w:t>
            </w:r>
          </w:p>
        </w:tc>
        <w:tc>
          <w:tcPr>
            <w:tcW w:w="840" w:type="dxa"/>
            <w:vAlign w:val="bottom"/>
            <w:tcBorders>
              <w:bottom w:val="single" w:sz="8" w:color="424E6A"/>
            </w:tcBorders>
          </w:tcPr>
          <w:p>
            <w:pPr>
              <w:spacing w:after="0"/>
              <w:rPr>
                <w:sz w:val="5"/>
                <w:szCs w:val="5"/>
                <w:color w:val="auto"/>
              </w:rPr>
            </w:pPr>
          </w:p>
        </w:tc>
        <w:tc>
          <w:tcPr>
            <w:tcW w:w="100" w:type="dxa"/>
            <w:vAlign w:val="bottom"/>
            <w:tcBorders>
              <w:bottom w:val="single" w:sz="8" w:color="424E6A"/>
              <w:right w:val="single" w:sz="8" w:color="424E6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424E6A"/>
          </w:tcPr>
          <w:p>
            <w:pPr>
              <w:spacing w:after="0"/>
              <w:rPr>
                <w:sz w:val="17"/>
                <w:szCs w:val="17"/>
                <w:color w:val="auto"/>
              </w:rPr>
            </w:pPr>
          </w:p>
        </w:tc>
        <w:tc>
          <w:tcPr>
            <w:tcW w:w="3680" w:type="dxa"/>
            <w:vAlign w:val="bottom"/>
            <w:gridSpan w:val="2"/>
            <w:shd w:val="clear" w:color="auto" w:fill="D9DCE1"/>
          </w:tcPr>
          <w:p>
            <w:pPr>
              <w:ind w:left="40"/>
              <w:spacing w:after="0" w:line="204" w:lineRule="exact"/>
              <w:rPr>
                <w:sz w:val="20"/>
                <w:szCs w:val="20"/>
                <w:color w:val="auto"/>
              </w:rPr>
            </w:pPr>
            <w:r>
              <w:rPr>
                <w:rFonts w:ascii="Arial" w:cs="Arial" w:eastAsia="Arial" w:hAnsi="Arial"/>
                <w:sz w:val="18"/>
                <w:szCs w:val="18"/>
                <w:color w:val="auto"/>
              </w:rPr>
              <w:t>Equity compensation plans not approved by</w:t>
            </w:r>
          </w:p>
        </w:tc>
        <w:tc>
          <w:tcPr>
            <w:tcW w:w="240" w:type="dxa"/>
            <w:vAlign w:val="bottom"/>
            <w:tcBorders>
              <w:right w:val="single" w:sz="8" w:color="424E6A"/>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380" w:type="dxa"/>
            <w:vAlign w:val="bottom"/>
            <w:shd w:val="clear" w:color="auto" w:fill="D9DCE1"/>
          </w:tcPr>
          <w:p>
            <w:pPr>
              <w:spacing w:after="0"/>
              <w:rPr>
                <w:sz w:val="17"/>
                <w:szCs w:val="17"/>
                <w:color w:val="auto"/>
              </w:rPr>
            </w:pPr>
          </w:p>
        </w:tc>
        <w:tc>
          <w:tcPr>
            <w:tcW w:w="860" w:type="dxa"/>
            <w:vAlign w:val="bottom"/>
            <w:shd w:val="clear" w:color="auto" w:fill="D9DCE1"/>
          </w:tcPr>
          <w:p>
            <w:pPr>
              <w:spacing w:after="0"/>
              <w:rPr>
                <w:sz w:val="17"/>
                <w:szCs w:val="17"/>
                <w:color w:val="auto"/>
              </w:rPr>
            </w:pPr>
          </w:p>
        </w:tc>
        <w:tc>
          <w:tcPr>
            <w:tcW w:w="140" w:type="dxa"/>
            <w:vAlign w:val="bottom"/>
            <w:tcBorders>
              <w:right w:val="single" w:sz="8" w:color="424E6A"/>
            </w:tcBorders>
            <w:shd w:val="clear" w:color="auto" w:fill="D9DCE1"/>
          </w:tcPr>
          <w:p>
            <w:pPr>
              <w:spacing w:after="0"/>
              <w:rPr>
                <w:sz w:val="17"/>
                <w:szCs w:val="17"/>
                <w:color w:val="auto"/>
              </w:rPr>
            </w:pPr>
          </w:p>
        </w:tc>
        <w:tc>
          <w:tcPr>
            <w:tcW w:w="120" w:type="dxa"/>
            <w:vAlign w:val="bottom"/>
            <w:shd w:val="clear" w:color="auto" w:fill="D9DCE1"/>
          </w:tcPr>
          <w:p>
            <w:pPr>
              <w:spacing w:after="0"/>
              <w:rPr>
                <w:sz w:val="17"/>
                <w:szCs w:val="17"/>
                <w:color w:val="auto"/>
              </w:rPr>
            </w:pPr>
          </w:p>
        </w:tc>
        <w:tc>
          <w:tcPr>
            <w:tcW w:w="1220" w:type="dxa"/>
            <w:vAlign w:val="bottom"/>
            <w:shd w:val="clear" w:color="auto" w:fill="D9DCE1"/>
          </w:tcPr>
          <w:p>
            <w:pPr>
              <w:spacing w:after="0"/>
              <w:rPr>
                <w:sz w:val="17"/>
                <w:szCs w:val="17"/>
                <w:color w:val="auto"/>
              </w:rPr>
            </w:pPr>
          </w:p>
        </w:tc>
        <w:tc>
          <w:tcPr>
            <w:tcW w:w="160" w:type="dxa"/>
            <w:vAlign w:val="bottom"/>
            <w:tcBorders>
              <w:right w:val="single" w:sz="8" w:color="424E6A"/>
            </w:tcBorders>
            <w:shd w:val="clear" w:color="auto" w:fill="D9DCE1"/>
          </w:tcPr>
          <w:p>
            <w:pPr>
              <w:spacing w:after="0"/>
              <w:rPr>
                <w:sz w:val="17"/>
                <w:szCs w:val="17"/>
                <w:color w:val="auto"/>
              </w:rPr>
            </w:pPr>
          </w:p>
        </w:tc>
        <w:tc>
          <w:tcPr>
            <w:tcW w:w="80" w:type="dxa"/>
            <w:vAlign w:val="bottom"/>
            <w:shd w:val="clear" w:color="auto" w:fill="D9DCE1"/>
          </w:tcPr>
          <w:p>
            <w:pPr>
              <w:spacing w:after="0"/>
              <w:rPr>
                <w:sz w:val="17"/>
                <w:szCs w:val="17"/>
                <w:color w:val="auto"/>
              </w:rPr>
            </w:pPr>
          </w:p>
        </w:tc>
        <w:tc>
          <w:tcPr>
            <w:tcW w:w="300" w:type="dxa"/>
            <w:vAlign w:val="bottom"/>
            <w:shd w:val="clear" w:color="auto" w:fill="D9DCE1"/>
          </w:tcPr>
          <w:p>
            <w:pPr>
              <w:spacing w:after="0"/>
              <w:rPr>
                <w:sz w:val="17"/>
                <w:szCs w:val="17"/>
                <w:color w:val="auto"/>
              </w:rPr>
            </w:pPr>
          </w:p>
        </w:tc>
        <w:tc>
          <w:tcPr>
            <w:tcW w:w="840" w:type="dxa"/>
            <w:vAlign w:val="bottom"/>
            <w:shd w:val="clear" w:color="auto" w:fill="D9DCE1"/>
          </w:tcPr>
          <w:p>
            <w:pPr>
              <w:spacing w:after="0"/>
              <w:rPr>
                <w:sz w:val="17"/>
                <w:szCs w:val="17"/>
                <w:color w:val="auto"/>
              </w:rPr>
            </w:pPr>
          </w:p>
        </w:tc>
        <w:tc>
          <w:tcPr>
            <w:tcW w:w="100" w:type="dxa"/>
            <w:vAlign w:val="bottom"/>
            <w:tcBorders>
              <w:right w:val="single" w:sz="8" w:color="424E6A"/>
            </w:tcBorders>
            <w:shd w:val="clear" w:color="auto" w:fill="D9DCE1"/>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424E6A"/>
            </w:tcBorders>
            <w:shd w:val="clear" w:color="auto" w:fill="424E6A"/>
          </w:tcPr>
          <w:p>
            <w:pPr>
              <w:spacing w:after="0"/>
              <w:rPr>
                <w:sz w:val="23"/>
                <w:szCs w:val="23"/>
                <w:color w:val="auto"/>
              </w:rPr>
            </w:pPr>
          </w:p>
        </w:tc>
        <w:tc>
          <w:tcPr>
            <w:tcW w:w="140" w:type="dxa"/>
            <w:vAlign w:val="bottom"/>
            <w:tcBorders>
              <w:bottom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3540" w:type="dxa"/>
            <w:vAlign w:val="bottom"/>
            <w:tcBorders>
              <w:bottom w:val="single" w:sz="8" w:color="424E6A"/>
            </w:tcBorders>
            <w:shd w:val="clear" w:color="auto" w:fill="D9DCE1"/>
          </w:tcPr>
          <w:p>
            <w:pPr>
              <w:ind w:left="80"/>
              <w:spacing w:after="0"/>
              <w:rPr>
                <w:sz w:val="20"/>
                <w:szCs w:val="20"/>
                <w:color w:val="auto"/>
              </w:rPr>
            </w:pPr>
            <w:r>
              <w:rPr>
                <w:rFonts w:ascii="Arial" w:cs="Arial" w:eastAsia="Arial" w:hAnsi="Arial"/>
                <w:sz w:val="18"/>
                <w:szCs w:val="18"/>
                <w:color w:val="auto"/>
              </w:rPr>
              <w:t>unitholders:</w:t>
            </w:r>
          </w:p>
        </w:tc>
        <w:tc>
          <w:tcPr>
            <w:tcW w:w="240" w:type="dxa"/>
            <w:vAlign w:val="bottom"/>
            <w:tcBorders>
              <w:bottom w:val="single" w:sz="8" w:color="424E6A"/>
              <w:right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424E6A"/>
            </w:tcBorders>
            <w:shd w:val="clear" w:color="auto" w:fill="D9DCE1"/>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424E6A"/>
            </w:tcBorders>
            <w:shd w:val="clear" w:color="auto" w:fill="D9DCE1"/>
          </w:tcPr>
          <w:p>
            <w:pPr>
              <w:ind w:left="28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424E6A"/>
            </w:tcBorders>
            <w:shd w:val="clear" w:color="auto" w:fill="D9DCE1"/>
          </w:tcPr>
          <w:p>
            <w:pPr>
              <w:jc w:val="center"/>
              <w:spacing w:after="0" w:line="275"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N/A</w:t>
            </w:r>
          </w:p>
        </w:tc>
        <w:tc>
          <w:tcPr>
            <w:tcW w:w="16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424E6A"/>
            </w:tcBorders>
            <w:shd w:val="clear" w:color="auto" w:fill="D9DCE1"/>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424E6A"/>
            </w:tcBorders>
            <w:shd w:val="clear" w:color="auto" w:fill="D9DCE1"/>
          </w:tcPr>
          <w:p>
            <w:pPr>
              <w:ind w:left="1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424E6A"/>
            </w:tcBorders>
            <w:shd w:val="clear" w:color="auto" w:fill="D9DCE1"/>
          </w:tcPr>
          <w:p>
            <w:pPr>
              <w:ind w:left="380"/>
              <w:spacing w:after="0"/>
              <w:rPr>
                <w:sz w:val="20"/>
                <w:szCs w:val="20"/>
                <w:color w:val="auto"/>
              </w:rPr>
            </w:pPr>
            <w:r>
              <w:rPr>
                <w:rFonts w:ascii="Arial" w:cs="Arial" w:eastAsia="Arial" w:hAnsi="Arial"/>
                <w:sz w:val="18"/>
                <w:szCs w:val="18"/>
                <w:color w:val="auto"/>
              </w:rPr>
              <w:t>N/A</w:t>
            </w:r>
          </w:p>
        </w:tc>
        <w:tc>
          <w:tcPr>
            <w:tcW w:w="100" w:type="dxa"/>
            <w:vAlign w:val="bottom"/>
            <w:tcBorders>
              <w:bottom w:val="single" w:sz="8" w:color="424E6A"/>
              <w:right w:val="single" w:sz="8" w:color="424E6A"/>
            </w:tcBorders>
            <w:shd w:val="clear" w:color="auto" w:fill="D9DCE1"/>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162560</wp:posOffset>
            </wp:positionV>
            <wp:extent cx="1234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6" w:lineRule="exact"/>
        <w:rPr>
          <w:sz w:val="20"/>
          <w:szCs w:val="20"/>
          <w:color w:val="auto"/>
        </w:rPr>
      </w:pPr>
    </w:p>
    <w:p>
      <w:pPr>
        <w:ind w:left="1620" w:right="639" w:hanging="360"/>
        <w:spacing w:after="0" w:line="243" w:lineRule="auto"/>
        <w:tabs>
          <w:tab w:leader="none" w:pos="1620" w:val="left"/>
        </w:tabs>
        <w:numPr>
          <w:ilvl w:val="0"/>
          <w:numId w:val="87"/>
        </w:numPr>
        <w:rPr>
          <w:rFonts w:ascii="Arial" w:cs="Arial" w:eastAsia="Arial" w:hAnsi="Arial"/>
          <w:sz w:val="26"/>
          <w:szCs w:val="26"/>
          <w:color w:val="auto"/>
          <w:vertAlign w:val="superscript"/>
        </w:rPr>
      </w:pPr>
      <w:r>
        <w:rPr>
          <w:rFonts w:ascii="Arial" w:cs="Arial" w:eastAsia="Arial" w:hAnsi="Arial"/>
          <w:sz w:val="17"/>
          <w:szCs w:val="17"/>
          <w:color w:val="auto"/>
        </w:rPr>
        <w:t>The Plains GP Holdings, L.P. Long Term Incentive Plan (the “PAGP Plan”) was adopted by our general partner in connection with our initial public offering in October 2013. The PAGP Plan contemplates the issuance or delivery of up to 3,755,208 Class A shares to satisfy awards under the PAGP Plan. In accordance with Item 201(d) of Regulation S-K, column (c) excludes the securities disclosed in column (a). However, any phantom Class A shares represented in column</w:t>
      </w:r>
    </w:p>
    <w:p>
      <w:pPr>
        <w:spacing w:after="0" w:line="3" w:lineRule="exact"/>
        <w:rPr>
          <w:rFonts w:ascii="Arial" w:cs="Arial" w:eastAsia="Arial" w:hAnsi="Arial"/>
          <w:sz w:val="26"/>
          <w:szCs w:val="26"/>
          <w:color w:val="auto"/>
          <w:vertAlign w:val="superscript"/>
        </w:rPr>
      </w:pPr>
    </w:p>
    <w:p>
      <w:pPr>
        <w:ind w:left="1620"/>
        <w:spacing w:after="0"/>
        <w:rPr>
          <w:rFonts w:ascii="Arial" w:cs="Arial" w:eastAsia="Arial" w:hAnsi="Arial"/>
          <w:sz w:val="26"/>
          <w:szCs w:val="26"/>
          <w:color w:val="auto"/>
          <w:vertAlign w:val="superscript"/>
        </w:rPr>
      </w:pPr>
      <w:r>
        <w:rPr>
          <w:rFonts w:ascii="Arial" w:cs="Arial" w:eastAsia="Arial" w:hAnsi="Arial"/>
          <w:sz w:val="18"/>
          <w:szCs w:val="18"/>
          <w:color w:val="auto"/>
        </w:rPr>
        <w:t>(a) that are not satisfied by the issuance of Class A shares become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General Partner</w:t>
      </w:r>
    </w:p>
    <w:p>
      <w:pPr>
        <w:spacing w:after="0" w:line="158" w:lineRule="exact"/>
        <w:rPr>
          <w:sz w:val="20"/>
          <w:szCs w:val="20"/>
          <w:color w:val="auto"/>
        </w:rPr>
      </w:pPr>
    </w:p>
    <w:p>
      <w:pPr>
        <w:ind w:left="1260" w:right="459" w:firstLine="360"/>
        <w:spacing w:after="0" w:line="244" w:lineRule="auto"/>
        <w:rPr>
          <w:sz w:val="20"/>
          <w:szCs w:val="20"/>
          <w:color w:val="auto"/>
        </w:rPr>
      </w:pPr>
      <w:r>
        <w:rPr>
          <w:rFonts w:ascii="Arial" w:cs="Arial" w:eastAsia="Arial" w:hAnsi="Arial"/>
          <w:sz w:val="18"/>
          <w:szCs w:val="18"/>
          <w:color w:val="auto"/>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 Omnibus Agreement,” all of our direct or indirect expenses, other than income taxes, if any, will be paid by PAA. These direct or indirect expenses include, but are not limited to (i) compensation and expense reimbursements for the non-employee directors of PAGP GP, (ii) director and officer liability insurance, (iii) listing exchange fees, (iv) investor relations expenses, and (v) fees related to legal, tax, financial advisory and accounting services.</w:t>
      </w:r>
    </w:p>
    <w:p>
      <w:pPr>
        <w:spacing w:after="0" w:line="112" w:lineRule="exact"/>
        <w:rPr>
          <w:sz w:val="20"/>
          <w:szCs w:val="20"/>
          <w:color w:val="auto"/>
        </w:rPr>
      </w:pPr>
    </w:p>
    <w:p>
      <w:pPr>
        <w:ind w:left="1260" w:right="419" w:firstLine="360"/>
        <w:spacing w:after="0" w:line="287"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We own a portion of the membership interest in our general partner.</w:t>
      </w:r>
    </w:p>
    <w:p>
      <w:pPr>
        <w:spacing w:after="0" w:line="1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Plains GP Holdings, L.P. Long Term Incentive Plan</w:t>
      </w:r>
    </w:p>
    <w:p>
      <w:pPr>
        <w:spacing w:after="0" w:line="158" w:lineRule="exact"/>
        <w:rPr>
          <w:sz w:val="20"/>
          <w:szCs w:val="20"/>
          <w:color w:val="auto"/>
        </w:rPr>
      </w:pPr>
    </w:p>
    <w:p>
      <w:pPr>
        <w:ind w:left="1260" w:right="779" w:firstLine="360"/>
        <w:spacing w:after="0" w:line="259" w:lineRule="auto"/>
        <w:rPr>
          <w:sz w:val="20"/>
          <w:szCs w:val="20"/>
          <w:color w:val="auto"/>
        </w:rPr>
      </w:pPr>
      <w:r>
        <w:rPr>
          <w:rFonts w:ascii="Arial" w:cs="Arial" w:eastAsia="Arial" w:hAnsi="Arial"/>
          <w:sz w:val="17"/>
          <w:szCs w:val="17"/>
          <w:color w:val="auto"/>
        </w:rPr>
        <w:t>In connection with our initial public offering, our general partner adopted the PAGP Plan on our behalf for (i) the employees of our general partner and its affiliates who perform services for us and</w:t>
      </w:r>
    </w:p>
    <w:p>
      <w:pPr>
        <w:spacing w:after="0" w:line="1" w:lineRule="exact"/>
        <w:rPr>
          <w:sz w:val="20"/>
          <w:szCs w:val="20"/>
          <w:color w:val="auto"/>
        </w:rPr>
      </w:pPr>
    </w:p>
    <w:p>
      <w:pPr>
        <w:ind w:left="1260" w:right="479"/>
        <w:spacing w:after="0" w:line="259" w:lineRule="auto"/>
        <w:tabs>
          <w:tab w:leader="none" w:pos="150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non-employee directors of our general partner. Awards that may be granted under the PAGP Plan include restricted shares, phantom shares, options and share appreciation rights. The PAGP Plan limits the number of shares that may be delivered pursuant to awards to 3,755,208 Class A shares (subject to any adjustment due to recapitalization, reorganization or a similar event permitted under the PAGP Plan). Shares (other than restricted shares) that are forfeited or withheld to satisfy exercise price or tax withholding obligations are available for delivery pursuant to other awards. As of December 31, 2023, grants of 285,302 unvested phantom Class A shares were outstanding under the PAGP Plan.</w:t>
      </w:r>
    </w:p>
    <w:p>
      <w:pPr>
        <w:spacing w:after="0" w:line="9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PAGP Plan is administered by the Compensation Committee or other Board committee appointed to administer the Plan, or by the Board. The Board and the Compensation Committee have the right to terminate or amend the PAGP Plan or any part of the PAGP Plan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PAGP Plan will expire upon the earlier of the termination of the PAGP Plan by the Board or the Compensation Committee or on the date that no shares remain available under the PAGP Plan for awards. Upon termination of the PAGP Plan, awards then outstanding will continue pursuant to the terms of their grants.</w:t>
      </w:r>
    </w:p>
    <w:p>
      <w:pPr>
        <w:spacing w:after="0" w:line="110"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8"/>
          <w:szCs w:val="18"/>
          <w:color w:val="auto"/>
        </w:rPr>
        <w:t>Class A shares to be delivered in settlement of awards under the PAGP Plan may be newly issued Class A shares, Class A shares acquired in the open market, Class A shares acquired from any other person, or any combination of the foregoing.</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Awards</w:t>
      </w:r>
    </w:p>
    <w:p>
      <w:pPr>
        <w:spacing w:after="0" w:line="15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A restricted share is a Class A share that vests over a period of time and that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such time is subject to forfeiture. The Board or the Compensation Committee will determine the period over which restricted shares granted to participants will vest. The Board or the Compensation Committee,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Compensation Committee or the terms of the award agreement provide otherwise.</w:t>
      </w:r>
    </w:p>
    <w:p>
      <w:pPr>
        <w:spacing w:after="0" w:line="104" w:lineRule="exact"/>
        <w:rPr>
          <w:sz w:val="20"/>
          <w:szCs w:val="20"/>
          <w:color w:val="auto"/>
        </w:rPr>
      </w:pPr>
    </w:p>
    <w:p>
      <w:pPr>
        <w:ind w:left="1260" w:right="1059" w:firstLine="360"/>
        <w:spacing w:after="0" w:line="262" w:lineRule="auto"/>
        <w:rPr>
          <w:sz w:val="20"/>
          <w:szCs w:val="20"/>
          <w:color w:val="auto"/>
        </w:rPr>
      </w:pPr>
      <w:r>
        <w:rPr>
          <w:rFonts w:ascii="Arial" w:cs="Arial" w:eastAsia="Arial" w:hAnsi="Arial"/>
          <w:sz w:val="18"/>
          <w:szCs w:val="18"/>
          <w:color w:val="auto"/>
        </w:rPr>
        <w:t>We intend the restricted shares under the PAGP Plan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i w:val="1"/>
          <w:iCs w:val="1"/>
          <w:color w:val="auto"/>
        </w:rPr>
        <w:t xml:space="preserve">Phantom Shares. </w:t>
      </w:r>
      <w:r>
        <w:rPr>
          <w:rFonts w:ascii="Arial" w:cs="Arial" w:eastAsia="Arial" w:hAnsi="Arial"/>
          <w:sz w:val="18"/>
          <w:szCs w:val="18"/>
          <w:color w:val="auto"/>
        </w:rPr>
        <w:t>A phantom share entitles the grantee to receive a Class A share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of the phantom share or, in the discretion of the Board or the Compensation Committee, cash equivalent to the value of a Class A share. The Board or the Compensation Committee will determine the period over which phantom shares granted to participants will vest. The Board or the Compensation Committee, in its discretion, may base its determination upon the achievement of performance metrics. If a grantee’s employment or membership on the Board terminates for any reason, the grantee’s phantom shares will be automatically forfeited unless, and to the extent, the Board or the Compensation Committee or the terms of the award agreement provide otherwise.</w:t>
      </w:r>
    </w:p>
    <w:p>
      <w:pPr>
        <w:spacing w:after="0" w:line="117"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The Board or the Compensation Committee, in its discretion, may grant DERs with respect to a phantom share. DERs entitle the grantee to receive an amount in cash equal to the cash distributions paid on a Class A share during the period the related award is outstanding. The Board or the Compensation Committee will establish whether the DERs are paid currently, when the tandem phantom share vests or on some other basis.</w:t>
      </w:r>
    </w:p>
    <w:p>
      <w:pPr>
        <w:spacing w:after="0" w:line="11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We intend the issuance of any Class A shares upon vesting of the phantom shares under the PAGP Plan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p>
    <w:p>
      <w:pPr>
        <w:spacing w:after="0" w:line="9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An option provides a participant with the option to acquire Class A shares at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exercise price of each option granted under the PAGP Plan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or the Compensation Committee determines for each option. The Board or the Compensation Committee will determine the methods and form of payment for the exercise price of an option and the methods and forms in which Class A shares will be delivered to a participant. The Board or the Compensation Committee, in its discretion, may grant DERs with respect to an option.</w:t>
      </w:r>
    </w:p>
    <w:p>
      <w:pPr>
        <w:spacing w:after="0" w:line="113"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A share appreciation right is an award that, upon exercise, entitles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to receive the excess, if any, of the fair market value of a Class A share on the exercise date over the grant price of the share appreciation right. The excess may be paid in cash and/or in Class A shares, as determined by the Board or the Compensation Committee in its discretion. The Board or the Compensation Committee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or the Compensation Committee at the time the share appreciation right is granted, but each share appreciation right must have an exercise price that is not less than the fair market value of the Class A shares on the date of grant. The Board or the Compensation Committee will determine the time or times at which a share appreciation right may be exercised in whole or in part. Unless otherwise waived by the Board or the Compensation Committee, or set forth in an award agreement, outstanding share appreciation rights awarded to a participant will be automatically forfeited upon a termination of the individual’s employment or membership on the Board terminates for any reason. The Board or the Compensation Committee, in its discretion, may grant DERs with respect to a share appreciation right.</w:t>
      </w:r>
    </w:p>
    <w:p>
      <w:pPr>
        <w:spacing w:after="0" w:line="19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PAGP Plan Provisions</w:t>
      </w:r>
    </w:p>
    <w:p>
      <w:pPr>
        <w:spacing w:after="0" w:line="156" w:lineRule="exact"/>
        <w:rPr>
          <w:sz w:val="20"/>
          <w:szCs w:val="20"/>
          <w:color w:val="auto"/>
        </w:rPr>
      </w:pPr>
    </w:p>
    <w:p>
      <w:pPr>
        <w:ind w:left="1260" w:right="479" w:firstLine="360"/>
        <w:spacing w:after="0" w:line="274" w:lineRule="auto"/>
        <w:rPr>
          <w:sz w:val="20"/>
          <w:szCs w:val="20"/>
          <w:color w:val="auto"/>
        </w:rPr>
      </w:pPr>
      <w:r>
        <w:rPr>
          <w:rFonts w:ascii="Arial" w:cs="Arial" w:eastAsia="Arial" w:hAnsi="Arial"/>
          <w:sz w:val="17"/>
          <w:szCs w:val="17"/>
          <w:i w:val="1"/>
          <w:iCs w:val="1"/>
          <w:color w:val="auto"/>
        </w:rPr>
        <w:t xml:space="preserve">Tax Withholding. </w:t>
      </w:r>
      <w:r>
        <w:rPr>
          <w:rFonts w:ascii="Arial" w:cs="Arial" w:eastAsia="Arial" w:hAnsi="Arial"/>
          <w:sz w:val="17"/>
          <w:szCs w:val="17"/>
          <w:color w:val="auto"/>
        </w:rPr>
        <w:t>Unless other arrangements are made, our general partner and its affiliates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p>
    <w:p>
      <w:pPr>
        <w:sectPr>
          <w:pgSz w:w="11900" w:h="16838" w:orient="portrait"/>
          <w:cols w:equalWidth="0" w:num="1">
            <w:col w:w="9879"/>
          </w:cols>
          <w:pgMar w:left="580" w:top="97"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260985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Upon the occurrence of any “equity restructuring” event that could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an additional compensation expense under FASB ASC Topic 718 if adjustments to awards with respect to such event were discretionary, the Board or the Compensation Committee will equitably adjust the number and type of shares covered by each outstanding award and the terms and conditions of such award to equitably reflect the restructuring event, and the Board or the Compensation Committee will adjust the number and type of shares with respect to which future awards may be granted. With respect to a similar event that would not result in a FASB ASC Topic 718 accounting charge if adjustment to awards were discretionary, the Board or the Compensation Committee shall have complete discretion to adjust awards in the manner it deems appropriate.</w:t>
      </w:r>
    </w:p>
    <w:p>
      <w:pPr>
        <w:spacing w:after="0" w:line="110"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If specifically provided in an award agreement, upon a change of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the award agreement), the award may automatically vest and be payable or become exercisable in full, as the case may be.</w:t>
      </w:r>
    </w:p>
    <w:p>
      <w:pPr>
        <w:spacing w:after="0" w:line="9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Options and share appreciation rights are only exercisable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during the participant’s lifetime, or by the person to whom the participant’s rights pass by will or the laws of descent and distribution. No award or right granted under the PAGP Plan may be assigned, alienated, pledged, attached, sold or otherwise transferred or encumbered and any such purported transfer shall be void and unenforceable. Notwithstanding the foregoing, the Board or the Compensation Committee may, in its discretion, allow a participant to transfer an option or a share appreciation right without consideration to an immediate family member or a related family trust, limited partnership, or similar entity on the terms and conditions established by the Board or the Compensation Committee from time to time.</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Omnibus Agreement</w:t>
      </w:r>
    </w:p>
    <w:p>
      <w:pPr>
        <w:spacing w:after="0" w:line="144"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In connection with the Simplification Transactions completed in November 2016, we entered into an omnibus agreement (the “Omnibus Agreement”) with PAA, PAGP GP, Plains AAP, PAA GP LLC and GP LLC (collectively with us, the “Plains Entities”), which provides, among other things, that all direct or indirect expenses of any of the Plains Entities will be paid by PAA, other than income taxes, if any, of PAGP GP, PAGP, GP LLC, Plains AAP and PAA GP LLC. Such direct or indirect expenses include, but are not limited to, (i) compensation and expense reimbursements for the directors of PAGP GP,</w:t>
      </w:r>
    </w:p>
    <w:p>
      <w:pPr>
        <w:spacing w:after="0" w:line="4" w:lineRule="exact"/>
        <w:rPr>
          <w:sz w:val="20"/>
          <w:szCs w:val="20"/>
          <w:color w:val="auto"/>
        </w:rPr>
      </w:pPr>
    </w:p>
    <w:p>
      <w:pPr>
        <w:ind w:left="1500" w:hanging="240"/>
        <w:spacing w:after="0"/>
        <w:tabs>
          <w:tab w:leader="none" w:pos="1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director and officer liability insurance, (iii) listing exchange fees, (iv) investor relations expenses, and</w:t>
      </w:r>
    </w:p>
    <w:p>
      <w:pPr>
        <w:spacing w:after="0" w:line="7" w:lineRule="exact"/>
        <w:rPr>
          <w:rFonts w:ascii="Arial" w:cs="Arial" w:eastAsia="Arial" w:hAnsi="Arial"/>
          <w:sz w:val="17"/>
          <w:szCs w:val="17"/>
          <w:color w:val="auto"/>
        </w:rPr>
      </w:pPr>
    </w:p>
    <w:p>
      <w:pPr>
        <w:ind w:left="1260" w:right="599"/>
        <w:spacing w:after="0" w:line="266" w:lineRule="auto"/>
        <w:tabs>
          <w:tab w:leader="none" w:pos="1518" w:val="left"/>
        </w:tabs>
        <w:numPr>
          <w:ilvl w:val="0"/>
          <w:numId w:val="90"/>
        </w:numPr>
        <w:rPr>
          <w:rFonts w:ascii="Arial" w:cs="Arial" w:eastAsia="Arial" w:hAnsi="Arial"/>
          <w:sz w:val="18"/>
          <w:szCs w:val="18"/>
          <w:color w:val="auto"/>
        </w:rPr>
      </w:pPr>
      <w:r>
        <w:rPr>
          <w:rFonts w:ascii="Arial" w:cs="Arial" w:eastAsia="Arial" w:hAnsi="Arial"/>
          <w:sz w:val="18"/>
          <w:szCs w:val="18"/>
          <w:color w:val="auto"/>
        </w:rPr>
        <w:t>fees related to legal, tax, financial advisory and accounting services. PAA paid $4.8 million of such expenses in 2023.</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w:t>
      </w:r>
    </w:p>
    <w:p>
      <w:pPr>
        <w:spacing w:after="0" w:line="158" w:lineRule="exact"/>
        <w:rPr>
          <w:sz w:val="20"/>
          <w:szCs w:val="20"/>
          <w:color w:val="auto"/>
        </w:rPr>
      </w:pPr>
    </w:p>
    <w:p>
      <w:pPr>
        <w:ind w:left="1260" w:right="459" w:firstLine="360"/>
        <w:spacing w:after="0" w:line="282" w:lineRule="auto"/>
        <w:rPr>
          <w:sz w:val="20"/>
          <w:szCs w:val="20"/>
          <w:color w:val="auto"/>
        </w:rPr>
      </w:pPr>
      <w:r>
        <w:rPr>
          <w:rFonts w:ascii="Arial" w:cs="Arial" w:eastAsia="Arial" w:hAnsi="Arial"/>
          <w:sz w:val="17"/>
          <w:szCs w:val="17"/>
          <w:color w:val="auto"/>
        </w:rPr>
        <w:t>During 2023, we purchased approximately $2.3 million of petroleum products from companies affiliated with EMG. These ordinary course transactions were conducted at prices that we believe approximate market. Based on our knowledge, the amounts received during 2023 from PAA by companies affiliated with EMG ($2.3 million) did not exceed 5% of EMG’s consolidated gross revenues.</w:t>
      </w:r>
    </w:p>
    <w:p>
      <w:pPr>
        <w:spacing w:after="0" w:line="80"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During 2023, we purchased approximately $118 million of petroleum products from companies affiliated with EnCap. These ordinary course transactions were conducted at prices that we believe approximate market. Based on our knowledge, the amounts received during 2023 from PAA by companies affiliated with EnCap ($118 million) did not exceed 5% of the total revenues for all entities controlled by EnCap.</w:t>
      </w:r>
    </w:p>
    <w:p>
      <w:pPr>
        <w:spacing w:after="0" w:line="112" w:lineRule="exact"/>
        <w:rPr>
          <w:sz w:val="20"/>
          <w:szCs w:val="20"/>
          <w:color w:val="auto"/>
        </w:rPr>
      </w:pPr>
    </w:p>
    <w:p>
      <w:pPr>
        <w:ind w:left="1260" w:right="619" w:firstLine="360"/>
        <w:spacing w:after="0" w:line="268" w:lineRule="auto"/>
        <w:rPr>
          <w:sz w:val="20"/>
          <w:szCs w:val="20"/>
          <w:color w:val="auto"/>
        </w:rPr>
      </w:pPr>
      <w:r>
        <w:rPr>
          <w:rFonts w:ascii="Arial" w:cs="Arial" w:eastAsia="Arial" w:hAnsi="Arial"/>
          <w:sz w:val="18"/>
          <w:szCs w:val="18"/>
          <w:color w:val="auto"/>
        </w:rPr>
        <w:t>An employee in PAA’s marketing department, who has been with PAA for over 15 years, is the daughter of Willie Chiang, our Chief Executive Officer. Mr. Chiang’s daughter’s total compensation for 2023 was approximately $180,000.</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58" w:lineRule="exact"/>
        <w:rPr>
          <w:sz w:val="20"/>
          <w:szCs w:val="20"/>
          <w:color w:val="auto"/>
        </w:rPr>
      </w:pPr>
    </w:p>
    <w:p>
      <w:pPr>
        <w:ind w:left="1260" w:right="499" w:firstLine="360"/>
        <w:spacing w:after="0" w:line="291" w:lineRule="auto"/>
        <w:rPr>
          <w:sz w:val="20"/>
          <w:szCs w:val="20"/>
          <w:color w:val="auto"/>
        </w:rPr>
      </w:pPr>
      <w:r>
        <w:rPr>
          <w:rFonts w:ascii="Arial" w:cs="Arial" w:eastAsia="Arial" w:hAnsi="Arial"/>
          <w:sz w:val="17"/>
          <w:szCs w:val="17"/>
          <w:color w:val="auto"/>
        </w:rPr>
        <w:t>Pursuant to our Governance Guidelines, a director is expected to bring to the attention of the Chairman of the Board, the CEO or the Board any conflict or potential conflict of interest that may arise between the director, such director’s family members, or any affiliate of the director, on the one hand,</w:t>
      </w:r>
    </w:p>
    <w:p>
      <w:pPr>
        <w:spacing w:after="0" w:line="32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1260" w:right="419"/>
        <w:spacing w:after="0" w:line="268" w:lineRule="auto"/>
        <w:rPr>
          <w:sz w:val="20"/>
          <w:szCs w:val="20"/>
          <w:color w:val="auto"/>
        </w:rPr>
      </w:pPr>
      <w:r>
        <w:rPr>
          <w:rFonts w:ascii="Arial" w:cs="Arial" w:eastAsia="Arial" w:hAnsi="Arial"/>
          <w:sz w:val="18"/>
          <w:szCs w:val="18"/>
          <w:color w:val="auto"/>
        </w:rPr>
        <w:t>and PAGP GP, PAA, PAGP or their respective affiliates, on the other. The resolution of any such conflict or potential conflict should, at the discretion of the Board in light of the circumstances, be determined by a majority of the disinterested directors.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p>
    <w:p>
      <w:pPr>
        <w:spacing w:after="0" w:line="118"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8"/>
          <w:szCs w:val="18"/>
          <w:color w:val="auto"/>
        </w:rPr>
        <w:t>Pursuant to our Code of Business Conduct, any executive officer must avoid conflicts of interest and must disclose any actual or potential conflicts of interest for review and resolution, which may include a formal waiver of the conflict of interest.</w:t>
      </w:r>
    </w:p>
    <w:p>
      <w:pPr>
        <w:spacing w:after="0" w:line="9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REPORT OF THE AUDIT COMMITTEE</w:t>
      </w:r>
    </w:p>
    <w:p>
      <w:pPr>
        <w:spacing w:after="0" w:line="158" w:lineRule="exact"/>
        <w:rPr>
          <w:sz w:val="20"/>
          <w:szCs w:val="20"/>
          <w:color w:val="auto"/>
        </w:rPr>
      </w:pPr>
    </w:p>
    <w:p>
      <w:pPr>
        <w:jc w:val="both"/>
        <w:ind w:left="1260" w:right="459" w:firstLine="360"/>
        <w:spacing w:after="0" w:line="268" w:lineRule="auto"/>
        <w:rPr>
          <w:sz w:val="20"/>
          <w:szCs w:val="20"/>
          <w:color w:val="auto"/>
        </w:rPr>
      </w:pPr>
      <w:r>
        <w:rPr>
          <w:rFonts w:ascii="Arial" w:cs="Arial" w:eastAsia="Arial" w:hAnsi="Arial"/>
          <w:sz w:val="18"/>
          <w:szCs w:val="18"/>
          <w:color w:val="auto"/>
        </w:rPr>
        <w:t>The Audit Committee of our Board oversees the Partnership’s financial reporting process on behalf of the Board. Management has the primary responsibility for the financial statements and the reporting process, including the systems of internal controls.</w:t>
      </w:r>
    </w:p>
    <w:p>
      <w:pPr>
        <w:spacing w:after="0" w:line="103" w:lineRule="exact"/>
        <w:rPr>
          <w:sz w:val="20"/>
          <w:szCs w:val="20"/>
          <w:color w:val="auto"/>
        </w:rPr>
      </w:pPr>
    </w:p>
    <w:p>
      <w:pPr>
        <w:ind w:left="1260" w:right="799" w:firstLine="360"/>
        <w:spacing w:after="0" w:line="268" w:lineRule="auto"/>
        <w:rPr>
          <w:sz w:val="20"/>
          <w:szCs w:val="20"/>
          <w:color w:val="auto"/>
        </w:rPr>
      </w:pPr>
      <w:r>
        <w:rPr>
          <w:rFonts w:ascii="Arial" w:cs="Arial" w:eastAsia="Arial" w:hAnsi="Arial"/>
          <w:sz w:val="18"/>
          <w:szCs w:val="18"/>
          <w:color w:val="auto"/>
        </w:rPr>
        <w:t>In fulfilling its oversight responsibilities, the Audit Committee reviewed and discussed with management the audited financial statements contained in our Annual Report on Form 10-K for the year ended December 31, 2023.</w:t>
      </w:r>
    </w:p>
    <w:p>
      <w:pPr>
        <w:spacing w:after="0" w:line="90"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p>
    <w:p>
      <w:pPr>
        <w:spacing w:after="0" w:line="115"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p>
    <w:p>
      <w:pPr>
        <w:spacing w:after="0" w:line="115" w:lineRule="exact"/>
        <w:rPr>
          <w:sz w:val="20"/>
          <w:szCs w:val="20"/>
          <w:color w:val="auto"/>
        </w:rPr>
      </w:pPr>
    </w:p>
    <w:p>
      <w:pPr>
        <w:ind w:left="1260" w:right="579" w:firstLine="360"/>
        <w:spacing w:after="0" w:line="268"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that the audited financial statements be included in the Annual Report on Form 10-K for the year ended December 31, 2023 for filing with the SEC.</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18"/>
          <w:szCs w:val="18"/>
          <w:i w:val="1"/>
          <w:iCs w:val="1"/>
          <w:color w:val="auto"/>
        </w:rPr>
        <w:t>Chair</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Ellen R. DeSanctis</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Alexandra D. Pruner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Lawrence M. Ziemba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Audit and Non-Audit Fees</w:t>
      </w:r>
    </w:p>
    <w:p>
      <w:pPr>
        <w:spacing w:after="0" w:line="158" w:lineRule="exact"/>
        <w:rPr>
          <w:sz w:val="20"/>
          <w:szCs w:val="20"/>
          <w:color w:val="auto"/>
        </w:rPr>
      </w:pPr>
    </w:p>
    <w:p>
      <w:pPr>
        <w:ind w:left="1260" w:right="899" w:firstLine="360"/>
        <w:spacing w:after="0" w:line="287" w:lineRule="auto"/>
        <w:rPr>
          <w:sz w:val="20"/>
          <w:szCs w:val="20"/>
          <w:color w:val="auto"/>
        </w:rPr>
      </w:pPr>
      <w:r>
        <w:rPr>
          <w:rFonts w:ascii="Arial" w:cs="Arial" w:eastAsia="Arial" w:hAnsi="Arial"/>
          <w:sz w:val="18"/>
          <w:szCs w:val="18"/>
          <w:color w:val="auto"/>
        </w:rPr>
        <w:t>The following table details the aggregate fees billed for professional services rendered by our independent auditor for services provided to us and to our subsidiaries (in millions):</w:t>
      </w:r>
    </w:p>
    <w:p>
      <w:pPr>
        <w:spacing w:after="0" w:line="131"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100" w:type="dxa"/>
            <w:vAlign w:val="bottom"/>
            <w:shd w:val="clear" w:color="auto" w:fill="424E6A"/>
          </w:tcPr>
          <w:p>
            <w:pPr>
              <w:spacing w:after="0"/>
              <w:rPr>
                <w:sz w:val="19"/>
                <w:szCs w:val="19"/>
                <w:color w:val="auto"/>
              </w:rPr>
            </w:pPr>
          </w:p>
        </w:tc>
        <w:tc>
          <w:tcPr>
            <w:tcW w:w="3880" w:type="dxa"/>
            <w:vAlign w:val="bottom"/>
            <w:shd w:val="clear" w:color="auto" w:fill="424E6A"/>
          </w:tcPr>
          <w:p>
            <w:pPr>
              <w:spacing w:after="0"/>
              <w:rPr>
                <w:sz w:val="19"/>
                <w:szCs w:val="19"/>
                <w:color w:val="auto"/>
              </w:rPr>
            </w:pPr>
          </w:p>
        </w:tc>
        <w:tc>
          <w:tcPr>
            <w:tcW w:w="4100" w:type="dxa"/>
            <w:vAlign w:val="bottom"/>
            <w:gridSpan w:val="7"/>
            <w:shd w:val="clear" w:color="auto" w:fill="424E6A"/>
          </w:tcPr>
          <w:p>
            <w:pPr>
              <w:ind w:left="2340"/>
              <w:spacing w:after="0"/>
              <w:rPr>
                <w:sz w:val="20"/>
                <w:szCs w:val="20"/>
                <w:color w:val="auto"/>
              </w:rPr>
            </w:pPr>
            <w:r>
              <w:rPr>
                <w:rFonts w:ascii="Arial" w:cs="Arial" w:eastAsia="Arial" w:hAnsi="Arial"/>
                <w:sz w:val="14"/>
                <w:szCs w:val="14"/>
                <w:b w:val="1"/>
                <w:bCs w:val="1"/>
                <w:color w:val="FFFFFF"/>
              </w:rPr>
              <w:t>Year Ended December 31,</w:t>
            </w:r>
          </w:p>
        </w:tc>
        <w:tc>
          <w:tcPr>
            <w:tcW w:w="120" w:type="dxa"/>
            <w:vAlign w:val="bottom"/>
            <w:shd w:val="clear" w:color="auto" w:fill="424E6A"/>
          </w:tcPr>
          <w:p>
            <w:pPr>
              <w:spacing w:after="0"/>
              <w:rPr>
                <w:sz w:val="19"/>
                <w:szCs w:val="19"/>
                <w:color w:val="auto"/>
              </w:rPr>
            </w:pPr>
          </w:p>
        </w:tc>
      </w:tr>
      <w:tr>
        <w:trPr>
          <w:trHeight w:val="259"/>
        </w:trPr>
        <w:tc>
          <w:tcPr>
            <w:tcW w:w="100" w:type="dxa"/>
            <w:vAlign w:val="bottom"/>
            <w:shd w:val="clear" w:color="auto" w:fill="424E6A"/>
          </w:tcPr>
          <w:p>
            <w:pPr>
              <w:ind w:left="40"/>
              <w:spacing w:after="0"/>
              <w:rPr>
                <w:sz w:val="20"/>
                <w:szCs w:val="20"/>
                <w:color w:val="auto"/>
              </w:rPr>
            </w:pPr>
            <w:r>
              <w:rPr>
                <w:rFonts w:ascii="Arial" w:cs="Arial" w:eastAsia="Arial" w:hAnsi="Arial"/>
                <w:sz w:val="14"/>
                <w:szCs w:val="14"/>
                <w:b w:val="1"/>
                <w:bCs w:val="1"/>
                <w:color w:val="FFFFFF"/>
              </w:rPr>
              <w:t>​</w:t>
            </w:r>
          </w:p>
        </w:tc>
        <w:tc>
          <w:tcPr>
            <w:tcW w:w="3880" w:type="dxa"/>
            <w:vAlign w:val="bottom"/>
            <w:shd w:val="clear" w:color="auto" w:fill="424E6A"/>
          </w:tcPr>
          <w:p>
            <w:pPr>
              <w:spacing w:after="0"/>
              <w:rPr>
                <w:sz w:val="22"/>
                <w:szCs w:val="22"/>
                <w:color w:val="auto"/>
              </w:rPr>
            </w:pPr>
          </w:p>
        </w:tc>
        <w:tc>
          <w:tcPr>
            <w:tcW w:w="2900" w:type="dxa"/>
            <w:vAlign w:val="bottom"/>
            <w:gridSpan w:val="2"/>
            <w:shd w:val="clear" w:color="auto" w:fill="424E6A"/>
          </w:tcPr>
          <w:p>
            <w:pPr>
              <w:jc w:val="center"/>
              <w:ind w:left="2439"/>
              <w:spacing w:after="0"/>
              <w:rPr>
                <w:sz w:val="20"/>
                <w:szCs w:val="20"/>
                <w:color w:val="auto"/>
              </w:rPr>
            </w:pPr>
            <w:r>
              <w:rPr>
                <w:rFonts w:ascii="Arial" w:cs="Arial" w:eastAsia="Arial" w:hAnsi="Arial"/>
                <w:sz w:val="14"/>
                <w:szCs w:val="14"/>
                <w:b w:val="1"/>
                <w:bCs w:val="1"/>
                <w:color w:val="FFFFFF"/>
                <w:w w:val="96"/>
              </w:rPr>
              <w:t>2023</w:t>
            </w:r>
          </w:p>
        </w:tc>
        <w:tc>
          <w:tcPr>
            <w:tcW w:w="100" w:type="dxa"/>
            <w:vAlign w:val="bottom"/>
            <w:shd w:val="clear" w:color="auto" w:fill="424E6A"/>
          </w:tcPr>
          <w:p>
            <w:pPr>
              <w:spacing w:after="0"/>
              <w:rPr>
                <w:sz w:val="22"/>
                <w:szCs w:val="22"/>
                <w:color w:val="auto"/>
              </w:rPr>
            </w:pPr>
          </w:p>
        </w:tc>
        <w:tc>
          <w:tcPr>
            <w:tcW w:w="540" w:type="dxa"/>
            <w:vAlign w:val="bottom"/>
            <w:shd w:val="clear" w:color="auto" w:fill="424E6A"/>
          </w:tcPr>
          <w:p>
            <w:pPr>
              <w:spacing w:after="0"/>
              <w:rPr>
                <w:sz w:val="22"/>
                <w:szCs w:val="22"/>
                <w:color w:val="auto"/>
              </w:rPr>
            </w:pPr>
          </w:p>
        </w:tc>
        <w:tc>
          <w:tcPr>
            <w:tcW w:w="360" w:type="dxa"/>
            <w:vAlign w:val="bottom"/>
            <w:shd w:val="clear" w:color="auto" w:fill="424E6A"/>
          </w:tcPr>
          <w:p>
            <w:pPr>
              <w:jc w:val="center"/>
              <w:spacing w:after="0"/>
              <w:rPr>
                <w:sz w:val="20"/>
                <w:szCs w:val="20"/>
                <w:color w:val="auto"/>
              </w:rPr>
            </w:pPr>
            <w:r>
              <w:rPr>
                <w:rFonts w:ascii="Arial" w:cs="Arial" w:eastAsia="Arial" w:hAnsi="Arial"/>
                <w:sz w:val="14"/>
                <w:szCs w:val="14"/>
                <w:b w:val="1"/>
                <w:bCs w:val="1"/>
                <w:color w:val="FFFFFF"/>
              </w:rPr>
              <w:t>2022</w:t>
            </w:r>
          </w:p>
        </w:tc>
        <w:tc>
          <w:tcPr>
            <w:tcW w:w="20" w:type="dxa"/>
            <w:vAlign w:val="bottom"/>
            <w:shd w:val="clear" w:color="auto" w:fill="424E6A"/>
          </w:tcPr>
          <w:p>
            <w:pPr>
              <w:spacing w:after="0"/>
              <w:rPr>
                <w:sz w:val="22"/>
                <w:szCs w:val="22"/>
                <w:color w:val="auto"/>
              </w:rPr>
            </w:pPr>
          </w:p>
        </w:tc>
        <w:tc>
          <w:tcPr>
            <w:tcW w:w="180" w:type="dxa"/>
            <w:vAlign w:val="bottom"/>
            <w:shd w:val="clear" w:color="auto" w:fill="424E6A"/>
          </w:tcPr>
          <w:p>
            <w:pPr>
              <w:spacing w:after="0"/>
              <w:rPr>
                <w:sz w:val="22"/>
                <w:szCs w:val="22"/>
                <w:color w:val="auto"/>
              </w:rPr>
            </w:pPr>
          </w:p>
        </w:tc>
        <w:tc>
          <w:tcPr>
            <w:tcW w:w="120" w:type="dxa"/>
            <w:vAlign w:val="bottom"/>
            <w:shd w:val="clear" w:color="auto" w:fill="424E6A"/>
          </w:tcPr>
          <w:p>
            <w:pPr>
              <w:spacing w:after="0"/>
              <w:rPr>
                <w:sz w:val="22"/>
                <w:szCs w:val="22"/>
                <w:color w:val="auto"/>
              </w:rPr>
            </w:pPr>
          </w:p>
        </w:tc>
      </w:tr>
      <w:tr>
        <w:trPr>
          <w:trHeight w:val="283"/>
        </w:trPr>
        <w:tc>
          <w:tcPr>
            <w:tcW w:w="3980" w:type="dxa"/>
            <w:vAlign w:val="bottom"/>
            <w:gridSpan w:val="2"/>
            <w:shd w:val="clear" w:color="auto" w:fill="D9DCE1"/>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 fees</w:t>
            </w:r>
            <w:r>
              <w:rPr>
                <w:rFonts w:ascii="Arial" w:cs="Arial" w:eastAsia="Arial" w:hAnsi="Arial"/>
                <w:sz w:val="21"/>
                <w:szCs w:val="21"/>
                <w:color w:val="auto"/>
                <w:vertAlign w:val="superscript"/>
              </w:rPr>
              <w:t>(1)</w:t>
            </w:r>
          </w:p>
        </w:tc>
        <w:tc>
          <w:tcPr>
            <w:tcW w:w="3000" w:type="dxa"/>
            <w:vAlign w:val="bottom"/>
            <w:gridSpan w:val="3"/>
            <w:shd w:val="clear" w:color="auto" w:fill="D9DCE1"/>
          </w:tcPr>
          <w:p>
            <w:pPr>
              <w:jc w:val="center"/>
              <w:ind w:left="2339"/>
              <w:spacing w:after="0"/>
              <w:rPr>
                <w:sz w:val="20"/>
                <w:szCs w:val="20"/>
                <w:color w:val="auto"/>
              </w:rPr>
            </w:pPr>
            <w:r>
              <w:rPr>
                <w:rFonts w:ascii="Arial" w:cs="Arial" w:eastAsia="Arial" w:hAnsi="Arial"/>
                <w:sz w:val="18"/>
                <w:szCs w:val="18"/>
                <w:color w:val="auto"/>
              </w:rPr>
              <w:t>​$6.1</w:t>
            </w: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83"/>
        </w:trPr>
        <w:tc>
          <w:tcPr>
            <w:tcW w:w="3980" w:type="dxa"/>
            <w:vAlign w:val="bottom"/>
            <w:gridSpan w:val="2"/>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Audit-related fees</w:t>
            </w:r>
            <w:r>
              <w:rPr>
                <w:rFonts w:ascii="Arial" w:cs="Arial" w:eastAsia="Arial" w:hAnsi="Arial"/>
                <w:sz w:val="21"/>
                <w:szCs w:val="21"/>
                <w:color w:val="auto"/>
                <w:vertAlign w:val="superscript"/>
              </w:rPr>
              <w:t>(2)</w:t>
            </w:r>
          </w:p>
        </w:tc>
        <w:tc>
          <w:tcPr>
            <w:tcW w:w="3000" w:type="dxa"/>
            <w:vAlign w:val="bottom"/>
            <w:gridSpan w:val="3"/>
          </w:tcPr>
          <w:p>
            <w:pPr>
              <w:jc w:val="center"/>
              <w:ind w:left="2339"/>
              <w:spacing w:after="0"/>
              <w:rPr>
                <w:sz w:val="20"/>
                <w:szCs w:val="20"/>
                <w:color w:val="auto"/>
              </w:rPr>
            </w:pPr>
            <w:r>
              <w:rPr>
                <w:rFonts w:ascii="Arial" w:cs="Arial" w:eastAsia="Arial" w:hAnsi="Arial"/>
                <w:sz w:val="18"/>
                <w:szCs w:val="18"/>
                <w:color w:val="auto"/>
              </w:rPr>
              <w:t>​ 0.5</w:t>
            </w: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rPr>
                <w:sz w:val="20"/>
                <w:szCs w:val="20"/>
                <w:color w:val="auto"/>
              </w:rPr>
            </w:pPr>
            <w:r>
              <w:rPr>
                <w:rFonts w:ascii="Arial" w:cs="Arial" w:eastAsia="Arial" w:hAnsi="Arial"/>
                <w:sz w:val="18"/>
                <w:szCs w:val="18"/>
                <w:color w:val="auto"/>
              </w:rPr>
              <w:t>​  —</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97"/>
        </w:trPr>
        <w:tc>
          <w:tcPr>
            <w:tcW w:w="100" w:type="dxa"/>
            <w:vAlign w:val="bottom"/>
            <w:shd w:val="clear" w:color="auto" w:fill="D9DCE1"/>
          </w:tcPr>
          <w:p>
            <w:pPr>
              <w:ind w:left="40"/>
              <w:spacing w:after="0"/>
              <w:rPr>
                <w:sz w:val="20"/>
                <w:szCs w:val="20"/>
                <w:color w:val="auto"/>
              </w:rPr>
            </w:pPr>
            <w:r>
              <w:rPr>
                <w:rFonts w:ascii="Arial" w:cs="Arial" w:eastAsia="Arial" w:hAnsi="Arial"/>
                <w:sz w:val="18"/>
                <w:szCs w:val="18"/>
                <w:color w:val="auto"/>
              </w:rPr>
              <w:t>​</w:t>
            </w:r>
          </w:p>
        </w:tc>
        <w:tc>
          <w:tcPr>
            <w:tcW w:w="3880" w:type="dxa"/>
            <w:vAlign w:val="bottom"/>
            <w:shd w:val="clear" w:color="auto" w:fill="D9DCE1"/>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2520" w:type="dxa"/>
            <w:vAlign w:val="bottom"/>
            <w:shd w:val="clear" w:color="auto" w:fill="D9DCE1"/>
          </w:tcPr>
          <w:p>
            <w:pPr>
              <w:spacing w:after="0"/>
              <w:rPr>
                <w:sz w:val="24"/>
                <w:szCs w:val="24"/>
                <w:color w:val="auto"/>
              </w:rPr>
            </w:pPr>
          </w:p>
        </w:tc>
        <w:tc>
          <w:tcPr>
            <w:tcW w:w="380" w:type="dxa"/>
            <w:vAlign w:val="bottom"/>
            <w:shd w:val="clear" w:color="auto" w:fill="D9DCE1"/>
          </w:tcPr>
          <w:p>
            <w:pPr>
              <w:jc w:val="center"/>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w:t>
            </w:r>
            <w:r>
              <w:rPr>
                <w:rFonts w:ascii="Arial" w:cs="Arial" w:eastAsia="Arial" w:hAnsi="Arial"/>
                <w:sz w:val="18"/>
                <w:szCs w:val="18"/>
                <w:u w:val="single" w:color="auto"/>
                <w:color w:val="auto"/>
              </w:rPr>
              <w:t>8</w:t>
            </w:r>
          </w:p>
        </w:tc>
        <w:tc>
          <w:tcPr>
            <w:tcW w:w="100" w:type="dxa"/>
            <w:vAlign w:val="bottom"/>
            <w:shd w:val="clear" w:color="auto" w:fill="D9DCE1"/>
          </w:tcPr>
          <w:p>
            <w:pPr>
              <w:spacing w:after="0"/>
              <w:rPr>
                <w:sz w:val="24"/>
                <w:szCs w:val="24"/>
                <w:color w:val="auto"/>
              </w:rPr>
            </w:pPr>
          </w:p>
        </w:tc>
        <w:tc>
          <w:tcPr>
            <w:tcW w:w="540" w:type="dxa"/>
            <w:vAlign w:val="bottom"/>
            <w:shd w:val="clear" w:color="auto" w:fill="D9DCE1"/>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D9DCE1"/>
          </w:tcPr>
          <w:p>
            <w:pPr>
              <w:jc w:val="center"/>
              <w:ind w:right="20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 xml:space="preserve"> 1.</w:t>
            </w:r>
            <w:r>
              <w:rPr>
                <w:rFonts w:ascii="Arial" w:cs="Arial" w:eastAsia="Arial" w:hAnsi="Arial"/>
                <w:sz w:val="18"/>
                <w:szCs w:val="18"/>
                <w:u w:val="single" w:color="auto"/>
                <w:color w:val="auto"/>
              </w:rPr>
              <w:t>9</w:t>
            </w:r>
          </w:p>
        </w:tc>
        <w:tc>
          <w:tcPr>
            <w:tcW w:w="120" w:type="dxa"/>
            <w:vAlign w:val="bottom"/>
            <w:shd w:val="clear" w:color="auto" w:fill="D9DCE1"/>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shd w:val="clear" w:color="auto" w:fill="D9DCE1"/>
          </w:tcPr>
          <w:p>
            <w:pPr>
              <w:spacing w:after="0" w:line="20" w:lineRule="exact"/>
              <w:rPr>
                <w:sz w:val="1"/>
                <w:szCs w:val="1"/>
                <w:color w:val="auto"/>
              </w:rPr>
            </w:pPr>
          </w:p>
        </w:tc>
        <w:tc>
          <w:tcPr>
            <w:tcW w:w="3880" w:type="dxa"/>
            <w:vAlign w:val="bottom"/>
            <w:shd w:val="clear" w:color="auto" w:fill="D9DCE1"/>
          </w:tcPr>
          <w:p>
            <w:pPr>
              <w:spacing w:after="0" w:line="20" w:lineRule="exact"/>
              <w:rPr>
                <w:sz w:val="1"/>
                <w:szCs w:val="1"/>
                <w:color w:val="auto"/>
              </w:rPr>
            </w:pPr>
          </w:p>
        </w:tc>
        <w:tc>
          <w:tcPr>
            <w:tcW w:w="2520" w:type="dxa"/>
            <w:vAlign w:val="bottom"/>
            <w:shd w:val="clear" w:color="auto" w:fill="D9DCE1"/>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D9DCE1"/>
          </w:tcPr>
          <w:p>
            <w:pPr>
              <w:spacing w:after="0" w:line="20" w:lineRule="exact"/>
              <w:rPr>
                <w:sz w:val="1"/>
                <w:szCs w:val="1"/>
                <w:color w:val="auto"/>
              </w:rPr>
            </w:pPr>
          </w:p>
        </w:tc>
        <w:tc>
          <w:tcPr>
            <w:tcW w:w="540" w:type="dxa"/>
            <w:vAlign w:val="bottom"/>
            <w:shd w:val="clear" w:color="auto" w:fill="D9DCE1"/>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D9DCE1"/>
          </w:tcPr>
          <w:p>
            <w:pPr>
              <w:spacing w:after="0" w:line="20" w:lineRule="exact"/>
              <w:rPr>
                <w:sz w:val="1"/>
                <w:szCs w:val="1"/>
                <w:color w:val="auto"/>
              </w:rPr>
            </w:pPr>
          </w:p>
        </w:tc>
        <w:tc>
          <w:tcPr>
            <w:tcW w:w="120" w:type="dxa"/>
            <w:vAlign w:val="bottom"/>
            <w:shd w:val="clear" w:color="auto" w:fill="D9DCE1"/>
          </w:tcPr>
          <w:p>
            <w:pPr>
              <w:spacing w:after="0" w:line="20" w:lineRule="exact"/>
              <w:rPr>
                <w:sz w:val="1"/>
                <w:szCs w:val="1"/>
                <w:color w:val="auto"/>
              </w:rPr>
            </w:pPr>
          </w:p>
        </w:tc>
      </w:tr>
      <w:tr>
        <w:trPr>
          <w:trHeight w:val="264"/>
        </w:trPr>
        <w:tc>
          <w:tcPr>
            <w:tcW w:w="3980" w:type="dxa"/>
            <w:vAlign w:val="bottom"/>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Total</w:t>
            </w:r>
          </w:p>
        </w:tc>
        <w:tc>
          <w:tcPr>
            <w:tcW w:w="2520" w:type="dxa"/>
            <w:vAlign w:val="bottom"/>
          </w:tcPr>
          <w:p>
            <w:pPr>
              <w:spacing w:after="0"/>
              <w:rPr>
                <w:sz w:val="22"/>
                <w:szCs w:val="22"/>
                <w:color w:val="auto"/>
              </w:rPr>
            </w:pPr>
          </w:p>
        </w:tc>
        <w:tc>
          <w:tcPr>
            <w:tcW w:w="380" w:type="dxa"/>
            <w:vAlign w:val="bottom"/>
          </w:tcPr>
          <w:p>
            <w:pPr>
              <w:jc w:val="cente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8.4</w:t>
            </w:r>
          </w:p>
        </w:tc>
        <w:tc>
          <w:tcPr>
            <w:tcW w:w="100" w:type="dxa"/>
            <w:vAlign w:val="bottom"/>
          </w:tcPr>
          <w:p>
            <w:pPr>
              <w:spacing w:after="0"/>
              <w:rPr>
                <w:sz w:val="22"/>
                <w:szCs w:val="22"/>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center"/>
              <w:ind w:righ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8.3</w:t>
            </w:r>
          </w:p>
        </w:tc>
        <w:tc>
          <w:tcPr>
            <w:tcW w:w="12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0"/>
        </w:trPr>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3" w:lineRule="exact"/>
        <w:rPr>
          <w:sz w:val="20"/>
          <w:szCs w:val="20"/>
          <w:color w:val="auto"/>
        </w:rPr>
      </w:pPr>
    </w:p>
    <w:p>
      <w:pPr>
        <w:ind w:left="1620" w:right="719" w:hanging="360"/>
        <w:spacing w:after="0" w:line="222" w:lineRule="auto"/>
        <w:tabs>
          <w:tab w:leader="none" w:pos="1620" w:val="left"/>
        </w:tabs>
        <w:numPr>
          <w:ilvl w:val="0"/>
          <w:numId w:val="91"/>
        </w:numPr>
        <w:rPr>
          <w:rFonts w:ascii="Arial" w:cs="Arial" w:eastAsia="Arial" w:hAnsi="Arial"/>
          <w:sz w:val="27"/>
          <w:szCs w:val="27"/>
          <w:color w:val="auto"/>
          <w:vertAlign w:val="superscript"/>
        </w:rPr>
      </w:pPr>
      <w:r>
        <w:rPr>
          <w:rFonts w:ascii="Arial" w:cs="Arial" w:eastAsia="Arial" w:hAnsi="Arial"/>
          <w:sz w:val="18"/>
          <w:szCs w:val="18"/>
          <w:color w:val="auto"/>
        </w:rPr>
        <w:t>Audit fees include those related to (a) our annual audit (including internal control evaluation and reporting), (b) the audit of certain joint ventures of which PAA is the operator, and (c) work performed in connection with the registration of publicly held debt and equity.</w:t>
      </w:r>
    </w:p>
    <w:p>
      <w:pPr>
        <w:spacing w:after="0" w:line="45" w:lineRule="exact"/>
        <w:rPr>
          <w:rFonts w:ascii="Arial" w:cs="Arial" w:eastAsia="Arial" w:hAnsi="Arial"/>
          <w:sz w:val="27"/>
          <w:szCs w:val="27"/>
          <w:color w:val="auto"/>
          <w:vertAlign w:val="superscript"/>
        </w:rPr>
      </w:pPr>
    </w:p>
    <w:p>
      <w:pPr>
        <w:ind w:left="1620" w:right="759" w:hanging="360"/>
        <w:spacing w:after="0" w:line="210" w:lineRule="auto"/>
        <w:tabs>
          <w:tab w:leader="none" w:pos="1620" w:val="left"/>
        </w:tabs>
        <w:numPr>
          <w:ilvl w:val="0"/>
          <w:numId w:val="91"/>
        </w:numPr>
        <w:rPr>
          <w:rFonts w:ascii="Arial" w:cs="Arial" w:eastAsia="Arial" w:hAnsi="Arial"/>
          <w:sz w:val="27"/>
          <w:szCs w:val="27"/>
          <w:color w:val="auto"/>
          <w:vertAlign w:val="superscript"/>
        </w:rPr>
      </w:pPr>
      <w:r>
        <w:rPr>
          <w:rFonts w:ascii="Arial" w:cs="Arial" w:eastAsia="Arial" w:hAnsi="Arial"/>
          <w:sz w:val="18"/>
          <w:szCs w:val="18"/>
          <w:color w:val="auto"/>
        </w:rPr>
        <w:t>Audit-related fees primarily related to the assessment of internal controls in connection with the implementation of an information system.</w:t>
      </w:r>
    </w:p>
    <w:p>
      <w:pPr>
        <w:spacing w:after="0" w:line="46" w:lineRule="exact"/>
        <w:rPr>
          <w:rFonts w:ascii="Arial" w:cs="Arial" w:eastAsia="Arial" w:hAnsi="Arial"/>
          <w:sz w:val="27"/>
          <w:szCs w:val="27"/>
          <w:color w:val="auto"/>
          <w:vertAlign w:val="superscript"/>
        </w:rPr>
      </w:pPr>
    </w:p>
    <w:p>
      <w:pPr>
        <w:ind w:left="1620" w:right="739" w:hanging="360"/>
        <w:spacing w:after="0" w:line="222" w:lineRule="auto"/>
        <w:tabs>
          <w:tab w:leader="none" w:pos="1620" w:val="left"/>
        </w:tabs>
        <w:numPr>
          <w:ilvl w:val="0"/>
          <w:numId w:val="91"/>
        </w:numPr>
        <w:rPr>
          <w:rFonts w:ascii="Arial" w:cs="Arial" w:eastAsia="Arial" w:hAnsi="Arial"/>
          <w:sz w:val="27"/>
          <w:szCs w:val="27"/>
          <w:color w:val="auto"/>
          <w:vertAlign w:val="superscript"/>
        </w:rPr>
      </w:pPr>
      <w:r>
        <w:rPr>
          <w:rFonts w:ascii="Arial" w:cs="Arial" w:eastAsia="Arial" w:hAnsi="Arial"/>
          <w:sz w:val="18"/>
          <w:szCs w:val="18"/>
          <w:color w:val="auto"/>
        </w:rPr>
        <w:t>Tax fees are primarily related to tax processing as well as the preparation of Forms K-1 for PAA unitholders and international tax planning work associated with the structure of our Canadian investment.</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Policy</w:t>
      </w:r>
    </w:p>
    <w:p>
      <w:pPr>
        <w:spacing w:after="0" w:line="158"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2023 and 2022 were approved in advance by our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2 — RATIFICATION OF APPOINTMENT OF INDEPENDENT REGISTERED PUBLIC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left="1860" w:right="180"/>
        <w:spacing w:after="0" w:line="265" w:lineRule="auto"/>
        <w:rPr>
          <w:sz w:val="20"/>
          <w:szCs w:val="20"/>
          <w:color w:val="auto"/>
        </w:rPr>
      </w:pPr>
      <w:r>
        <w:rPr>
          <w:rFonts w:ascii="Arial" w:cs="Arial" w:eastAsia="Arial" w:hAnsi="Arial"/>
          <w:sz w:val="18"/>
          <w:szCs w:val="18"/>
          <w:b w:val="1"/>
          <w:bCs w:val="1"/>
          <w:color w:val="auto"/>
        </w:rPr>
        <w:t>THE BOARD OF DIRECTORS UNANIMOUSLY RECOMMENDS THAT YOU VOTE “FOR” THE RATIFICATION OF THE APPOINTMENT OF PRICEWATERHOUSECOOPERS LLP AS OUR AND PAA’S INDEPENDENT REGISTERED PUBLIC ACCOUNTING FIRM FOR THE FISCAL YEAR ENDING DECEMBER 31, 2024.</w:t>
      </w:r>
    </w:p>
    <w:p>
      <w:pPr>
        <w:spacing w:after="0" w:line="98" w:lineRule="exact"/>
        <w:rPr>
          <w:sz w:val="20"/>
          <w:szCs w:val="20"/>
          <w:color w:val="auto"/>
        </w:rPr>
      </w:pPr>
    </w:p>
    <w:p>
      <w:pPr>
        <w:jc w:val="both"/>
        <w:ind w:left="1260" w:right="1159" w:firstLine="360"/>
        <w:spacing w:after="0" w:line="268" w:lineRule="auto"/>
        <w:rPr>
          <w:sz w:val="20"/>
          <w:szCs w:val="20"/>
          <w:color w:val="auto"/>
        </w:rPr>
      </w:pPr>
      <w:r>
        <w:rPr>
          <w:rFonts w:ascii="Arial" w:cs="Arial" w:eastAsia="Arial" w:hAnsi="Arial"/>
          <w:sz w:val="18"/>
          <w:szCs w:val="18"/>
          <w:color w:val="auto"/>
        </w:rPr>
        <w:t>The second proposal item to be voted on at the PAGP Annual Meeting is ratification of the appointment of PricewaterhouseCoopers LLP as our and PAA’s independent registered public accounting firm for the fiscal year ending December 31, 2024.</w:t>
      </w:r>
    </w:p>
    <w:p>
      <w:pPr>
        <w:spacing w:after="0" w:line="103"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The Audit Committee of the Board has appointed PricewaterhouseCoopers LLP to continue to act as our and PAA’s independent registered public accounting firm for the fiscal year ending December 31, 2024. The Board has directed that such appointment be submitted to our Shareholders for ratification at the PAGP Annual Meeting.</w:t>
      </w:r>
    </w:p>
    <w:p>
      <w:pPr>
        <w:spacing w:after="0" w:line="95"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PAGP Annual Meeting and will have an opportunity to make a statement if they so desire. They will also be available to respond to appropriate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3 — ADVISORY VOTE TO APPROVE OUR 2023 NAMED EXECUTIVE OFFICER</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COMPENSATION</w:t>
      </w:r>
    </w:p>
    <w:p>
      <w:pPr>
        <w:spacing w:after="0" w:line="72" w:lineRule="exact"/>
        <w:rPr>
          <w:sz w:val="20"/>
          <w:szCs w:val="20"/>
          <w:color w:val="auto"/>
        </w:rPr>
      </w:pPr>
    </w:p>
    <w:p>
      <w:pPr>
        <w:jc w:val="center"/>
        <w:ind w:left="1860" w:right="120"/>
        <w:spacing w:after="0" w:line="257"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THE RESOLUTION APPROVING THE 2023 COMPENSATION OF THE NAMED EXECUTIVE OFFICERS AS DESCRIBED IN THIS PROXY STATEMENT.</w:t>
      </w:r>
    </w:p>
    <w:p>
      <w:pPr>
        <w:spacing w:after="0" w:line="37" w:lineRule="exact"/>
        <w:rPr>
          <w:sz w:val="20"/>
          <w:szCs w:val="20"/>
          <w:color w:val="auto"/>
        </w:rPr>
      </w:pPr>
    </w:p>
    <w:p>
      <w:pPr>
        <w:ind w:left="1260" w:right="659" w:firstLine="360"/>
        <w:spacing w:after="0" w:line="261" w:lineRule="auto"/>
        <w:rPr>
          <w:sz w:val="20"/>
          <w:szCs w:val="20"/>
          <w:color w:val="auto"/>
        </w:rPr>
      </w:pPr>
      <w:r>
        <w:rPr>
          <w:rFonts w:ascii="Arial" w:cs="Arial" w:eastAsia="Arial" w:hAnsi="Arial"/>
          <w:sz w:val="18"/>
          <w:szCs w:val="18"/>
          <w:color w:val="auto"/>
        </w:rPr>
        <w:t>This proposal, commonly known as a “say-on-pay” proposal, provides our Shareholders with the opportunity to cast an advisory vote on the approval of the compensation of our Named Executive Officers.</w:t>
      </w:r>
    </w:p>
    <w:p>
      <w:pPr>
        <w:spacing w:after="0" w:line="40"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p>
    <w:p>
      <w:pPr>
        <w:spacing w:after="0" w:line="64"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As described in the Compensation Discussion and Analysis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p>
    <w:p>
      <w:pPr>
        <w:spacing w:after="0" w:line="58"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The Dodd-Frank Wall Street Reform and Consumer Protection Act of 2010, as well as Section 14A of the Exchange Act, and the rules promulgated thereunder, provides our Shareholders with the opportunity to express their views, on an advisory basis, on the compensation of the Named Executive Officers. In accordance with the preference expressed by our Shareholders at our 2018 Annual Meeting, the Board determined in 2018 that we would provide this opportunity annually until the next advisory vote on the frequency of future advisory votes to approve the compensation of our Named Executive Officers, which will occur at this Annual Meeting. This vote is not intended to address any specific item of compensation, but rather the overall compensation of the Named Executive Officers and the philosophy, policies and practices described in this proxy statement.</w:t>
      </w:r>
    </w:p>
    <w:p>
      <w:pPr>
        <w:spacing w:after="0" w:line="56"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p>
    <w:p>
      <w:pPr>
        <w:spacing w:after="0" w:line="47"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8"/>
          <w:szCs w:val="18"/>
          <w:color w:val="auto"/>
        </w:rPr>
        <w:t>For the reasons set forth above, the following resolution will be submitted for approval at the PAGP Annual Meeting:</w:t>
      </w:r>
    </w:p>
    <w:p>
      <w:pPr>
        <w:spacing w:after="0" w:line="32"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the Named Executive Officers during and with respect to the calendar year ended December 31, 2023, as disclosed pursuant to Item 402 of Regulation S-K in PAGP’s proxy statement for its 2024 Annual Meeting of Shareholders, including the Compensation Discussion and Analysis, compensation tables and accompanying narrative discussion, is hereby approved.”</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4 — ADVISORY VOTE ON THE FREQUENCY OF FUTURE ADVISORY VOTES TO</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APPROVE OUR NAMED EXECUTIVE OFFICER COMPENSATION</w:t>
      </w:r>
    </w:p>
    <w:p>
      <w:pPr>
        <w:spacing w:after="0" w:line="207" w:lineRule="exact"/>
        <w:rPr>
          <w:sz w:val="20"/>
          <w:szCs w:val="20"/>
          <w:color w:val="auto"/>
        </w:rPr>
      </w:pPr>
    </w:p>
    <w:p>
      <w:pPr>
        <w:jc w:val="center"/>
        <w:ind w:left="1860" w:right="120"/>
        <w:spacing w:after="0" w:line="273" w:lineRule="auto"/>
        <w:rPr>
          <w:sz w:val="20"/>
          <w:szCs w:val="20"/>
          <w:color w:val="auto"/>
        </w:rPr>
      </w:pPr>
      <w:r>
        <w:rPr>
          <w:rFonts w:ascii="Arial" w:cs="Arial" w:eastAsia="Arial" w:hAnsi="Arial"/>
          <w:sz w:val="18"/>
          <w:szCs w:val="18"/>
          <w:b w:val="1"/>
          <w:bCs w:val="1"/>
          <w:color w:val="auto"/>
        </w:rPr>
        <w:t>THE BOARD UNANIMOUSLY RECOMMENDS THAT YOU VOTE, ON A NON-BINDING ADVISORY BASIS, FOR “ONE YEAR” AS THE FREQUENCY OF FUTURE ADVISORY VOTES TO APPROVE OUR NAMED EXECUTIVE OFFICER COMPENSATION.</w:t>
      </w:r>
    </w:p>
    <w:p>
      <w:pPr>
        <w:spacing w:after="0" w:line="9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This proposal, commonly known as a “say-on-frequency” proposal, provides our Shareholders with the opportunity to cast an advisory vote on whether PAGP should hold a Shareholder advisory vote to approve our named executive officer compensation (such as in Proposal 3 above) every one, two or three years or to abstain from such vote. The Dodd-Frank Wall Street Reform and Consumer Protection Act of 2010, as well as Section 14A of the Exchange Act, and the rules promulgated thereunder, provides our Shareholders with the opportunity to express their views, on an advisory basis, on the frequency with which we seek advisory votes to approve the compensation of our Named Executive Officers.</w:t>
      </w:r>
    </w:p>
    <w:p>
      <w:pPr>
        <w:spacing w:after="0" w:line="117"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 Board recommends that PAGP hold an advisory vote to approve our named executive officer compensation every year. The Board believes that an annual advisory vote to approve named executive officer compensation provides our Shareholders with a frequent and consistent opportunity to express their views on our executive compensation as disclosed in the CD&amp;A. It is important to note that our compensation objectives are designed to reward executives both for meeting or exceeding short-term financial and operating goals as well as furthering our long-term strategy. Accordingly, the Board encourages our Shareholders to consider our executive compensation practices and the results achieved over a multi-year horizon. Nonetheless, the Board believes that an annual advisory vote will allow the Compensation Committee to more timely take into account the views of our Shareholders.</w:t>
      </w:r>
    </w:p>
    <w:p>
      <w:pPr>
        <w:spacing w:after="0" w:line="10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As an advisory vote, this Proposal 4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decisions regarding the frequency of the vote to approve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OTHER MATTERS FOR THE PAGP ANNUAL MEETING</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We know of no matters to be acted upon at the PAGP Annual Meeting other than the proposals included in the accompanying notice and described in this proxy statement. If any other matter requiring a vote of Shareholders arises, including a question of adjourning the PAGP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DIRECTOR NOMINATIONS AND SHAREHOLDER PROPOSALS FOR THE 2025 ANNUAL MEETING</w:t>
      </w: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PAGP GP Director Nominations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Pursuant to Section 13.4(c)(ii) of our partnership agreement, any eligible Shareholder who owns</w:t>
      </w:r>
    </w:p>
    <w:p>
      <w:pPr>
        <w:spacing w:after="0" w:line="14" w:lineRule="exact"/>
        <w:rPr>
          <w:sz w:val="20"/>
          <w:szCs w:val="20"/>
          <w:color w:val="auto"/>
        </w:rPr>
      </w:pPr>
    </w:p>
    <w:p>
      <w:pPr>
        <w:ind w:left="1260" w:right="459"/>
        <w:spacing w:after="0" w:line="242" w:lineRule="auto"/>
        <w:rPr>
          <w:sz w:val="20"/>
          <w:szCs w:val="20"/>
          <w:color w:val="auto"/>
        </w:rPr>
      </w:pPr>
      <w:r>
        <w:rPr>
          <w:rFonts w:ascii="Arial" w:cs="Arial" w:eastAsia="Arial" w:hAnsi="Arial"/>
          <w:sz w:val="18"/>
          <w:szCs w:val="18"/>
          <w:color w:val="auto"/>
        </w:rPr>
        <w:t>10% or more of our outstanding Class A, Class B and Class C shares, taken together as a single class, is entitled to nominate one person for election as an Eligible Director (for this purpose, ownership of our Class C shares will be considered on a look-through basis to include holders of PAA common units and Series A preferred units). Eligible Shareholders who wish to submit a director nomination for our 2025 annual meeting must deliver written notice thereof to our principal executive offices in care of the Corporate Secretary by mail to 333 Clay Street, Suite 1600, Houston, Texas 77002 no later than the close of business on February 21, 2025, nor earlier than the close of business on January 22, 2025. In the event that the date of the 2025 annual meeting is changed by more than 30 days before or more than 60 days after the one-year anniversary of the 2024 annual meeting, Shareholder notice of a director nomination must be received no earlier than the close of business on the 120th day prior to the 2025 annual meeting and not later than the close of business on the date that is the later of the (i) 90th day prior to the 2025 annual meeting or (ii) if the first public announcement of the 2025 annual meeting is less than 100 days prior to such meeting, the 10th day following the day on which public announcement of the date of the 2025 annual meeting is first made.</w:t>
      </w:r>
    </w:p>
    <w:p>
      <w:pPr>
        <w:spacing w:after="0" w:line="111"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The written notice must comply with the procedures set forth in Section 13.4(c)(ii) of our partnership agreement, including the informational requirements included in Section 13.4(c)(ii)(A)(3). We will not consider any nomination at the PAGP Annual Meeting that does not meet the requirements set forth in our partnership agreement. Our partnership agreement is filed as Exhibit 3.2 to our Current Report on Form 8-K filed on November 21, 2016, as amended by Amendment No. 1, filed as Exhibit 3.1 to our Current Report on Form 8-K filed on April 9, 2020.</w:t>
      </w:r>
    </w:p>
    <w:p>
      <w:pPr>
        <w:spacing w:after="0" w:line="109"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In addition to satisfying the requirements under our partnership agreement as described in the immediately preceding paragraph, to comply with the universal proxy rules under the Exchange Act, any eligible Shareholder who intends to solicit proxies in support of director nominees other than our nominees must provide written notice that sets forth the information required by Rule 14a-19 under the Exchange Act no later than March 23, 2025. However, if the date of the 2025 annual meeting is more than 30 days before or after the anniversary of the date of the 2024 annual meeting, then such written notice must be delivered by the later of (i) the 10th day following the public announcement of the date of the 2025 annual meeting is first made and (ii) the date that is 60 days prior to the date of the 2025 annual meeting.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 Proposals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Any Shareholder who, in accordance with Rule 14a-8 under the Exchange Act, wishes to submit a proposal for inclusion in our proxy statement for the 2025 annual meeting must submit their proposal in writing, along with proof of eligibility, to our principal executive offices in care of the Corporate Secretary at 333 Clay Street, Suite 1600, Houston, Texas 77002. Proposal submissions must be received no later than December 13, 2024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HOUSEHOLDING MATTERS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423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88423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7737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87737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8252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882523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upperLetter"/>
      <w:start w:val="1"/>
    </w:lvl>
  </w:abstractNum>
  <w:abstractNum w:abstractNumId="6">
    <w:nsid w:val="684A481A"/>
    <w:multiLevelType w:val="hybridMultilevel"/>
    <w:lvl w:ilvl="0">
      <w:lvlJc w:val="left"/>
      <w:lvlText w:val="%1:"/>
      <w:numFmt w:val="upperLetter"/>
      <w:start w:val="1"/>
    </w:lvl>
    <w:lvl w:ilvl="1">
      <w:lvlJc w:val="left"/>
      <w:lvlText w:val="•"/>
      <w:numFmt w:val="bullet"/>
      <w:start w:val="1"/>
    </w:lvl>
  </w:abstractNum>
  <w:abstractNum w:abstractNumId="7">
    <w:nsid w:val="579478FE"/>
    <w:multiLevelType w:val="hybridMultilevel"/>
    <w:lvl w:ilvl="0">
      <w:lvlJc w:val="left"/>
      <w:lvlText w:val="%1:"/>
      <w:numFmt w:val="upperLetter"/>
      <w:start w:val="1"/>
    </w:lvl>
  </w:abstractNum>
  <w:abstractNum w:abstractNumId="8">
    <w:nsid w:val="749ABB43"/>
    <w:multiLevelType w:val="hybridMultilevel"/>
    <w:lvl w:ilvl="0">
      <w:lvlJc w:val="left"/>
      <w:lvlText w:val="%1:"/>
      <w:numFmt w:val="upperLetter"/>
      <w:start w:val="1"/>
    </w:lvl>
  </w:abstractNum>
  <w:abstractNum w:abstractNumId="9">
    <w:nsid w:val="3DC240FB"/>
    <w:multiLevelType w:val="hybridMultilevel"/>
    <w:lvl w:ilvl="0">
      <w:lvlJc w:val="left"/>
      <w:lvlText w:val="%1:"/>
      <w:numFmt w:val="upperLetter"/>
      <w:start w:val="1"/>
    </w:lvl>
  </w:abstractNum>
  <w:abstractNum w:abstractNumId="10">
    <w:nsid w:val="1BA026FA"/>
    <w:multiLevelType w:val="hybridMultilevel"/>
    <w:lvl w:ilvl="0">
      <w:lvlJc w:val="left"/>
      <w:lvlText w:val="%1:"/>
      <w:numFmt w:val="upperLetter"/>
      <w:start w:val="17"/>
    </w:lvl>
  </w:abstractNum>
  <w:abstractNum w:abstractNumId="11">
    <w:nsid w:val="79A1DEAA"/>
    <w:multiLevelType w:val="hybridMultilevel"/>
    <w:lvl w:ilvl="0">
      <w:lvlJc w:val="left"/>
      <w:lvlText w:val="%1:"/>
      <w:numFmt w:val="upperLetter"/>
      <w:start w:val="1"/>
    </w:lvl>
  </w:abstractNum>
  <w:abstractNum w:abstractNumId="12">
    <w:nsid w:val="75C6C33A"/>
    <w:multiLevelType w:val="hybridMultilevel"/>
    <w:lvl w:ilvl="0">
      <w:lvlJc w:val="left"/>
      <w:lvlText w:val="%1:"/>
      <w:numFmt w:val="upperLetter"/>
      <w:start w:val="1"/>
    </w:lvl>
    <w:lvl w:ilvl="1">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upperLetter"/>
      <w:start w:val="1"/>
    </w:lvl>
    <w:lvl w:ilvl="1">
      <w:lvlJc w:val="left"/>
      <w:lvlText w:val="•"/>
      <w:numFmt w:val="bullet"/>
      <w:start w:val="1"/>
    </w:lvl>
  </w:abstractNum>
  <w:abstractNum w:abstractNumId="15">
    <w:nsid w:val="520EEDD1"/>
    <w:multiLevelType w:val="hybridMultilevel"/>
    <w:lvl w:ilvl="0">
      <w:lvlJc w:val="left"/>
      <w:lvlText w:val="%1:"/>
      <w:numFmt w:val="upperLetter"/>
      <w:start w:val="1"/>
    </w:lvl>
  </w:abstractNum>
  <w:abstractNum w:abstractNumId="16">
    <w:nsid w:val="374A3FE6"/>
    <w:multiLevelType w:val="hybridMultilevel"/>
    <w:lvl w:ilvl="0">
      <w:lvlJc w:val="left"/>
      <w:lvlText w:val="%1:"/>
      <w:numFmt w:val="upperLetter"/>
      <w:start w:val="1"/>
    </w:lvl>
    <w:lvl w:ilvl="1">
      <w:lvlJc w:val="left"/>
      <w:lvlText w:val="•"/>
      <w:numFmt w:val="bullet"/>
      <w:start w:val="1"/>
    </w:lvl>
  </w:abstractNum>
  <w:abstractNum w:abstractNumId="17">
    <w:nsid w:val="4F4EF005"/>
    <w:multiLevelType w:val="hybridMultilevel"/>
    <w:lvl w:ilvl="0">
      <w:lvlJc w:val="left"/>
      <w:lvlText w:val="%1:"/>
      <w:numFmt w:val="upperLetter"/>
      <w:start w:val="17"/>
    </w:lvl>
  </w:abstractNum>
  <w:abstractNum w:abstractNumId="18">
    <w:nsid w:val="23F9C13C"/>
    <w:multiLevelType w:val="hybridMultilevel"/>
    <w:lvl w:ilvl="0">
      <w:lvlJc w:val="left"/>
      <w:lvlText w:val="%1:"/>
      <w:numFmt w:val="upperLetter"/>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upperLetter"/>
      <w:start w:val="1"/>
    </w:lvl>
  </w:abstractNum>
  <w:abstractNum w:abstractNumId="28">
    <w:nsid w:val="741226BB"/>
    <w:multiLevelType w:val="hybridMultilevel"/>
    <w:lvl w:ilvl="0">
      <w:lvlJc w:val="left"/>
      <w:lvlText w:val="%1:"/>
      <w:numFmt w:val="upperLetter"/>
      <w:start w:val="1"/>
    </w:lvl>
  </w:abstractNum>
  <w:abstractNum w:abstractNumId="29">
    <w:nsid w:val="D34B6A8"/>
    <w:multiLevelType w:val="hybridMultilevel"/>
    <w:lvl w:ilvl="0">
      <w:lvlJc w:val="left"/>
      <w:lvlText w:val="%1:"/>
      <w:numFmt w:val="upperLetter"/>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1)"/>
      <w:numFmt w:val="lowerRoman"/>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1"/>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lvl w:ilvl="1">
      <w:lvlJc w:val="left"/>
      <w:lvlText w:val="(%2)"/>
      <w:numFmt w:val="decimal"/>
      <w:start w:val="1"/>
    </w:lvl>
  </w:abstractNum>
  <w:abstractNum w:abstractNumId="49">
    <w:nsid w:val="98A3148"/>
    <w:multiLevelType w:val="hybridMultilevel"/>
    <w:lvl w:ilvl="0">
      <w:lvlJc w:val="left"/>
      <w:lvlText w:val="•"/>
      <w:numFmt w:val="bullet"/>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1)"/>
      <w:numFmt w:val="decimal"/>
      <w:start w:val="1"/>
    </w:lvl>
  </w:abstractNum>
  <w:abstractNum w:abstractNumId="54">
    <w:nsid w:val="1EBA5D23"/>
    <w:multiLevelType w:val="hybridMultilevel"/>
    <w:lvl w:ilvl="0">
      <w:lvlJc w:val="left"/>
      <w:lvlText w:val="(%1)"/>
      <w:numFmt w:val="decimal"/>
      <w:start w:val="1"/>
    </w:lvl>
  </w:abstractNum>
  <w:abstractNum w:abstractNumId="55">
    <w:nsid w:val="661E3F1E"/>
    <w:multiLevelType w:val="hybridMultilevel"/>
    <w:lvl w:ilvl="0">
      <w:lvlJc w:val="left"/>
      <w:lvlText w:val="(%1)"/>
      <w:numFmt w:val="lowerRoman"/>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1)"/>
      <w:numFmt w:val="decimal"/>
      <w:start w:val="2"/>
    </w:lvl>
  </w:abstractNum>
  <w:abstractNum w:abstractNumId="59">
    <w:nsid w:val="51D9C564"/>
    <w:multiLevelType w:val="hybridMultilevel"/>
    <w:lvl w:ilvl="0">
      <w:lvlJc w:val="left"/>
      <w:lvlText w:val="(%1)"/>
      <w:numFmt w:val="decimal"/>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2"/>
    </w:lvl>
  </w:abstractNum>
  <w:abstractNum w:abstractNumId="62">
    <w:nsid w:val="11447B73"/>
    <w:multiLevelType w:val="hybridMultilevel"/>
    <w:lvl w:ilvl="0">
      <w:lvlJc w:val="left"/>
      <w:lvlText w:val="(%1)"/>
      <w:numFmt w:val="decimal"/>
      <w:start w:val="7"/>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2"/>
    </w:lvl>
    <w:lvl w:ilvl="1">
      <w:lvlJc w:val="left"/>
      <w:lvlText w:val="(%2)"/>
      <w:numFmt w:val="lowerRoman"/>
      <w:start w:val="1"/>
    </w:lvl>
  </w:abstractNum>
  <w:abstractNum w:abstractNumId="66">
    <w:nsid w:val="1A32234B"/>
    <w:multiLevelType w:val="hybridMultilevel"/>
    <w:lvl w:ilvl="0">
      <w:lvlJc w:val="left"/>
      <w:lvlText w:val="(%1)"/>
      <w:numFmt w:val="decimal"/>
      <w:start w:val="3"/>
    </w:lvl>
  </w:abstractNum>
  <w:abstractNum w:abstractNumId="67">
    <w:nsid w:val="3B0FD379"/>
    <w:multiLevelType w:val="hybridMultilevel"/>
    <w:lvl w:ilvl="0">
      <w:lvlJc w:val="left"/>
      <w:lvlText w:val="%1"/>
      <w:numFmt w:val="decimal"/>
      <w:start w:val="1"/>
    </w:lvl>
    <w:lvl w:ilvl="1">
      <w:lvlJc w:val="left"/>
      <w:lvlText w:val="(%2)"/>
      <w:numFmt w:val="lowerLetter"/>
      <w:start w:val="9"/>
    </w:lvl>
  </w:abstractNum>
  <w:abstractNum w:abstractNumId="68">
    <w:nsid w:val="68EB2F63"/>
    <w:multiLevelType w:val="hybridMultilevel"/>
    <w:lvl w:ilvl="0">
      <w:lvlJc w:val="left"/>
      <w:lvlText w:val="(%1)"/>
      <w:numFmt w:val="decimal"/>
      <w:start w:val="4"/>
    </w:lvl>
    <w:lvl w:ilvl="1">
      <w:lvlJc w:val="left"/>
      <w:lvlText w:val="(%2)"/>
      <w:numFmt w:val="lowerLetter"/>
      <w:start w:val="2"/>
    </w:lvl>
  </w:abstractNum>
  <w:abstractNum w:abstractNumId="69">
    <w:nsid w:val="4962813B"/>
    <w:multiLevelType w:val="hybridMultilevel"/>
    <w:lvl w:ilvl="0">
      <w:lvlJc w:val="left"/>
      <w:lvlText w:val="(%1)"/>
      <w:numFmt w:val="decimal"/>
      <w:start w:val="5"/>
    </w:lvl>
    <w:lvl w:ilvl="1">
      <w:lvlJc w:val="left"/>
      <w:lvlText w:val="(%2)"/>
      <w:numFmt w:val="lowerRoman"/>
      <w:start w:val="3"/>
    </w:lvl>
  </w:abstractNum>
  <w:abstractNum w:abstractNumId="70">
    <w:nsid w:val="60B6DF70"/>
    <w:multiLevelType w:val="hybridMultilevel"/>
    <w:lvl w:ilvl="0">
      <w:lvlJc w:val="left"/>
      <w:lvlText w:val="%1"/>
      <w:numFmt w:val="decimal"/>
      <w:start w:val="1"/>
    </w:lvl>
    <w:lvl w:ilvl="1">
      <w:lvlJc w:val="left"/>
      <w:lvlText w:val="(%2)"/>
      <w:numFmt w:val="lowerRoman"/>
      <w:start w:val="5"/>
    </w:lvl>
  </w:abstractNum>
  <w:abstractNum w:abstractNumId="71">
    <w:nsid w:val="6A5EE64"/>
    <w:multiLevelType w:val="hybridMultilevel"/>
    <w:lvl w:ilvl="0">
      <w:lvlJc w:val="left"/>
      <w:lvlText w:val="(%1)"/>
      <w:numFmt w:val="decimal"/>
      <w:start w:val="6"/>
    </w:lvl>
    <w:lvl w:ilvl="1">
      <w:lvlJc w:val="left"/>
      <w:lvlText w:val="%2"/>
      <w:numFmt w:val="lowerRoman"/>
      <w:start w:val="1"/>
    </w:lvl>
  </w:abstractNum>
  <w:abstractNum w:abstractNumId="72">
    <w:nsid w:val="14330624"/>
    <w:multiLevelType w:val="hybridMultilevel"/>
    <w:lvl w:ilvl="0">
      <w:lvlJc w:val="left"/>
      <w:lvlText w:val="(%1)"/>
      <w:numFmt w:val="decimal"/>
      <w:start w:val="7"/>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1"/>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2"/>
    </w:lvl>
  </w:abstractNum>
  <w:abstractNum w:abstractNumId="82">
    <w:nsid w:val="76272110"/>
    <w:multiLevelType w:val="hybridMultilevel"/>
    <w:lvl w:ilvl="0">
      <w:lvlJc w:val="left"/>
      <w:lvlText w:val="*"/>
      <w:numFmt w:val="bullet"/>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lowerRoman"/>
      <w:start w:val="2"/>
    </w:lvl>
  </w:abstractNum>
  <w:abstractNum w:abstractNumId="88">
    <w:nsid w:val="68EBC550"/>
    <w:multiLevelType w:val="hybridMultilevel"/>
    <w:lvl w:ilvl="0">
      <w:lvlJc w:val="left"/>
      <w:lvlText w:val="(%1)"/>
      <w:numFmt w:val="lowerRoman"/>
      <w:start w:val="2"/>
    </w:lvl>
  </w:abstractNum>
  <w:abstractNum w:abstractNumId="89">
    <w:nsid w:val="2DF6D648"/>
    <w:multiLevelType w:val="hybridMultilevel"/>
    <w:lvl w:ilvl="0">
      <w:lvlJc w:val="left"/>
      <w:lvlText w:val="(%1)"/>
      <w:numFmt w:val="lowerRoman"/>
      <w:start w:val="5"/>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2024-04-12T05:16:35Z</dcterms:created>
  <dcterms:modified xsi:type="dcterms:W3CDTF">2024-04-12T05:16:35Z</dcterms:modified>
</cp:coreProperties>
</file>