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04/26/2019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04/26/2019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35,350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280,654,865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the Issuer, PAA shall issue PAA Common Units to AAP upon additional AAP Class B Units becoming earned. A total of 37,552 additional AAP Class B Units have become earned units, resulting in the issuance of 35,350 PAA Common Units to AAP (based on a conversion ratio of approximately 0.941 to 1).</w:t>
      </w:r>
    </w:p>
    <w:p>
      <w:pPr>
        <w:spacing w:after="0" w:line="2" w:lineRule="exact"/>
        <w:rPr>
          <w:rFonts w:ascii="Arial" w:cs="Arial" w:eastAsia="Arial" w:hAnsi="Arial"/>
          <w:sz w:val="12"/>
          <w:szCs w:val="12"/>
          <w:color w:val="008000"/>
        </w:rPr>
      </w:pPr>
    </w:p>
    <w:p>
      <w:pPr>
        <w:ind w:left="20" w:right="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04/29/2019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6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2020-01-09T12:49:29Z</dcterms:created>
  <dcterms:modified xsi:type="dcterms:W3CDTF">2020-01-09T12:49:29Z</dcterms:modified>
</cp:coreProperties>
</file>