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January 13,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8"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January 15, 2025, Plains All American Pipeline, L.P. (“PAA”) and PAA Finance Corp. (together with PAA, the “Issuers”) completed the public offering (the “Offering”) of $1 billion aggregate principal amount of the Issuers’ 5.950% Senior Notes due 2035 (the “Notes”).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terms of the Notes are governed by the indenture (the “Base Indenture,” and as amended and supplemented by the Supplemental Indenture (defined below), the “Indenture”) dated as of September 25, 2002 by and among the Issuers and U.S. Bank Trust Company, National Association (as successor trustee), as trustee (the “Trustee”), as supplemented by the Thirty-Fourth Supplemental Indenture dated as of January 15, 2025 by and among the Issuers and the Trustee (the “Supplemental Indenture”).</w:t>
      </w:r>
    </w:p>
    <w:p>
      <w:pPr>
        <w:spacing w:after="0" w:line="18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Notes will mature on June 15, 2035. Interest is payable on the Notes on each June 15 and December 15, commencing on June 15, 2025. The Issuers may redeem some or all of the Notes at any time and from time to time prior to maturity at the redemption prices specified in the Indenture.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Other material terms of the Notes, the Base Indenture and the Supplemental Indenture are described in the prospectus supplement, dated January 13, 2025 (the “prospectus supplement”), to the prospectus, dated September 6, 2024, which is included in the Registration Statement (as defined below). The foregoing descriptions of the Indenture and the Notes are qualified in their entirety by reference to such Indenture (including the form of Notes attached thereto). A copy of the Supplemental Indenture is filed as Exhibit 4.1 to this Current Report on Form 8-K and is incorporated herein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1.01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January 13, 2025, the Issuers entered into an underwriting agreement (the “Underwriting Agreement”) with J.P. Morgan Securities LLC, BMO Capital Markets Corp., Mizuho Securities USA LLC and Scotia Capital (USA) Inc., as representatives of the several underwriters named therein (collectively, the “Underwriters”), relating to the Offering of the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were offered and sold under the Issuers’ shelf registration statement on Form S-3 (Registration No. 333-281967)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September 6, 2024 (the “Registration Statement”), and are described in the prospectus supplement.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00"/>
          </w:cols>
          <w:pgMar w:left="320" w:top="904" w:right="379" w:bottom="1440" w:gutter="0" w:footer="0" w:header="0"/>
        </w:sect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1.1</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4.2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5.1</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u w:val="single" w:color="auto"/>
          <w:color w:val="0000EE"/>
        </w:rPr>
        <w:t>Underwriting Agreement dated January 13, 2025 by and among Plains All American Pipeline, L.P., PAA Finance Corp. and J.P. Morgan Securities LLC, BMO Capital Markets Corp., Mizuho Securities USA LLC and Scotia Capital (USA) Inc., as representatives of the several underwriters named therein.</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Thirty-Fourth Supplemental Indenture, dated January 15, 2025, by and among Plains All American Pipeline, L.P., PAA Finance Corp. and U.S. Bank Trust Company, National Association, as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of 5.950% Senior Notes due 2035 (included as Exhibit A in Exhibit 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Opinion of Vinson &amp; Elkins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Vinson &amp; Elkins L.L.P. (included in Exhibit 5.1).</w:t>
      </w:r>
    </w:p>
    <w:p>
      <w:pPr>
        <w:spacing w:after="0" w:line="200" w:lineRule="exact"/>
        <w:rPr>
          <w:sz w:val="20"/>
          <w:szCs w:val="20"/>
          <w:color w:val="auto"/>
        </w:rPr>
      </w:pPr>
    </w:p>
    <w:p>
      <w:pPr>
        <w:sectPr>
          <w:pgSz w:w="11900" w:h="16838" w:orient="portrait"/>
          <w:cols w:equalWidth="0" w:num="2">
            <w:col w:w="900" w:space="360"/>
            <w:col w:w="9940"/>
          </w:cols>
          <w:pgMar w:left="320" w:top="904" w:right="379" w:bottom="1440" w:gutter="0" w:footer="0" w:header="0"/>
          <w:type w:val="continuous"/>
        </w:sectPr>
      </w:pPr>
    </w:p>
    <w:p>
      <w:pPr>
        <w:spacing w:after="0" w:line="25" w:lineRule="exact"/>
        <w:rPr>
          <w:sz w:val="20"/>
          <w:szCs w:val="20"/>
          <w:color w:val="auto"/>
        </w:rPr>
      </w:pPr>
    </w:p>
    <w:p>
      <w:pPr>
        <w:ind w:left="5580" w:right="4120" w:hanging="5140"/>
        <w:spacing w:after="0" w:line="783" w:lineRule="auto"/>
        <w:tabs>
          <w:tab w:leader="none" w:pos="1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15, 2025</w:t>
            </w:r>
          </w:p>
        </w:tc>
        <w:tc>
          <w:tcPr>
            <w:tcW w:w="76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414"/>
        </w:trPr>
        <w:tc>
          <w:tcPr>
            <w:tcW w:w="362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62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648"/>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 5.950% Senior Notes due 2035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u w:val="single" w:color="auto"/>
          <w:color w:val="auto"/>
        </w:rPr>
        <w:t>PAA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for whom J.P. Morgan Securities LLC, BMO Capital Markets Corp., Mizuho Securities USA LLC and Scotia Capital (USA) Inc. are acting as the representatives (the “</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$1,000,000,000 aggregate principal amount of 5.950% Senior Notes due 2035 (the “</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The Notes are to be issued under an indenture dated as of September 25, 2002 (the “</w:t>
      </w:r>
      <w:r>
        <w:rPr>
          <w:rFonts w:ascii="Times New Roman" w:cs="Times New Roman" w:eastAsia="Times New Roman" w:hAnsi="Times New Roman"/>
          <w:sz w:val="18"/>
          <w:szCs w:val="18"/>
          <w:b w:val="1"/>
          <w:bCs w:val="1"/>
          <w:u w:val="single" w:color="auto"/>
          <w:color w:val="auto"/>
        </w:rPr>
        <w:t>Base Indenture</w:t>
      </w:r>
      <w:r>
        <w:rPr>
          <w:rFonts w:ascii="Times New Roman" w:cs="Times New Roman" w:eastAsia="Times New Roman" w:hAnsi="Times New Roman"/>
          <w:sz w:val="18"/>
          <w:szCs w:val="18"/>
          <w:color w:val="auto"/>
        </w:rPr>
        <w:t>”), among the Issuers and U.S. Bank Trust Company, National Association, as successor trustee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as supplemented by the Thirty-Fourth Supplemental Indenture to be dated as of January 15, 2025, among the Issuers and the Trustee (the “</w:t>
      </w:r>
      <w:r>
        <w:rPr>
          <w:rFonts w:ascii="Times New Roman" w:cs="Times New Roman" w:eastAsia="Times New Roman" w:hAnsi="Times New Roman"/>
          <w:sz w:val="18"/>
          <w:szCs w:val="18"/>
          <w:b w:val="1"/>
          <w:bCs w:val="1"/>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is the general partner of the Partnership.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owns a 100% membership interest in the General Partner.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is the general partner of Plains AAP. Plains GP Holdings, L.P., a Delaware limited partnership (“</w:t>
      </w:r>
      <w:r>
        <w:rPr>
          <w:rFonts w:ascii="Times New Roman" w:cs="Times New Roman" w:eastAsia="Times New Roman" w:hAnsi="Times New Roman"/>
          <w:sz w:val="18"/>
          <w:szCs w:val="18"/>
          <w:b w:val="1"/>
          <w:bCs w:val="1"/>
          <w:u w:val="single" w:color="auto"/>
          <w:color w:val="auto"/>
        </w:rPr>
        <w:t>PAGP</w:t>
      </w:r>
      <w:r>
        <w:rPr>
          <w:rFonts w:ascii="Times New Roman" w:cs="Times New Roman" w:eastAsia="Times New Roman" w:hAnsi="Times New Roman"/>
          <w:sz w:val="18"/>
          <w:szCs w:val="18"/>
          <w:color w:val="auto"/>
        </w:rPr>
        <w:t>”), owns a 100% membership interest in GP LLC. PAA GP Holdings LLC, a Delaware limited liability company (“</w:t>
      </w:r>
      <w:r>
        <w:rPr>
          <w:rFonts w:ascii="Times New Roman" w:cs="Times New Roman" w:eastAsia="Times New Roman" w:hAnsi="Times New Roman"/>
          <w:sz w:val="18"/>
          <w:szCs w:val="18"/>
          <w:b w:val="1"/>
          <w:bCs w:val="1"/>
          <w:u w:val="single" w:color="auto"/>
          <w:color w:val="auto"/>
        </w:rPr>
        <w:t>PAGP GP</w:t>
      </w:r>
      <w:r>
        <w:rPr>
          <w:rFonts w:ascii="Times New Roman" w:cs="Times New Roman" w:eastAsia="Times New Roman" w:hAnsi="Times New Roman"/>
          <w:sz w:val="18"/>
          <w:szCs w:val="18"/>
          <w:color w:val="auto"/>
        </w:rPr>
        <w:t>” and, collectively with the General Partner, Plains AAP, GP LLC and PAGP, the “</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is the general partner of PAGP.</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and the Material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A registration statement on Form S-3 relating to the Notes (File No. 333-281967) (i) has been prepared by the Issuers in conformity with the requirements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4:15 p.m., New York City time, on January 13, 2025, which the Underwriters have informed the Issuers and their counsel is a time prior to the first 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u w:val="single" w:color="auto"/>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 filed or used by the Issuers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the registration statement on Form S-3 (File No. 333-281967), as amended as of the Effective Date, including any Preliminary Prospectus or the Prospectus and all exhibits to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u w:val="single" w:color="auto"/>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 of Documents</w:t>
      </w:r>
      <w:r>
        <w:rPr>
          <w:rFonts w:ascii="Times New Roman" w:cs="Times New Roman" w:eastAsia="Times New Roman" w:hAnsi="Times New Roman"/>
          <w:sz w:val="18"/>
          <w:szCs w:val="18"/>
          <w:color w:val="auto"/>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Registration Statement</w:t>
      </w:r>
      <w:r>
        <w:rPr>
          <w:rFonts w:ascii="Times New Roman" w:cs="Times New Roman" w:eastAsia="Times New Roman" w:hAnsi="Times New Roman"/>
          <w:sz w:val="18"/>
          <w:szCs w:val="18"/>
          <w:color w:val="auto"/>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Prospectus</w:t>
      </w:r>
      <w:r>
        <w:rPr>
          <w:rFonts w:ascii="Times New Roman" w:cs="Times New Roman" w:eastAsia="Times New Roman" w:hAnsi="Times New Roman"/>
          <w:sz w:val="18"/>
          <w:szCs w:val="18"/>
          <w:color w:val="auto"/>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Material Misstatements or Omissions in Pricing Disclosure Package</w:t>
      </w:r>
      <w:r>
        <w:rPr>
          <w:rFonts w:ascii="Times New Roman" w:cs="Times New Roman" w:eastAsia="Times New Roman" w:hAnsi="Times New Roman"/>
          <w:sz w:val="17"/>
          <w:szCs w:val="17"/>
          <w:color w:val="auto"/>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Formation and Qualification of Certain Entities</w:t>
      </w:r>
      <w:r>
        <w:rPr>
          <w:rFonts w:ascii="Times New Roman" w:cs="Times New Roman" w:eastAsia="Times New Roman" w:hAnsi="Times New Roman"/>
          <w:sz w:val="18"/>
          <w:szCs w:val="18"/>
          <w:color w:val="auto"/>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Interests in the Partnership, the General Partner, Plains AAP, GP LLC and PAGP</w:t>
      </w:r>
      <w:r>
        <w:rPr>
          <w:rFonts w:ascii="Times New Roman" w:cs="Times New Roman" w:eastAsia="Times New Roman" w:hAnsi="Times New Roman"/>
          <w:sz w:val="18"/>
          <w:szCs w:val="18"/>
          <w:color w:val="auto"/>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 w:cs="Times New Roman" w:eastAsia="Times New Roman" w:hAnsi="Times New Roman"/>
          <w:sz w:val="18"/>
          <w:szCs w:val="18"/>
          <w:b w:val="1"/>
          <w:bCs w:val="1"/>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w:t>
      </w:r>
      <w:r>
        <w:rPr>
          <w:rFonts w:ascii="Times New Roman" w:cs="Times New Roman" w:eastAsia="Times New Roman" w:hAnsi="Times New Roman"/>
          <w:sz w:val="18"/>
          <w:szCs w:val="18"/>
          <w:color w:val="auto"/>
        </w:rPr>
        <w:t>”) of the Partnership and the GP Entities, and such membership interests and limited partner interests are fully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or Sections 18-607 and 18-804 of the Delaware Limited Liability Company Act (the “</w:t>
      </w:r>
      <w:r>
        <w:rPr>
          <w:rFonts w:ascii="Times New Roman" w:cs="Times New Roman" w:eastAsia="Times New Roman" w:hAnsi="Times New Roman"/>
          <w:sz w:val="18"/>
          <w:szCs w:val="18"/>
          <w:b w:val="1"/>
          <w:bCs w:val="1"/>
          <w:u w:val="single" w:color="auto"/>
          <w:color w:val="auto"/>
        </w:rPr>
        <w:t>Delaware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as applicable, or (B) with respect to the general partner interest of any such entity); and such general partner, limited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interests held by the GP Entities are owned by the applicable GP Entity free and clear of all liens, encumbrances, security interests, equities, charges or claims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 the registration of any other securities of the Issuers,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 on behalf of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Enforceability of the Indenture</w:t>
      </w:r>
      <w:r>
        <w:rPr>
          <w:rFonts w:ascii="Times New Roman" w:cs="Times New Roman" w:eastAsia="Times New Roman" w:hAnsi="Times New Roman"/>
          <w:sz w:val="18"/>
          <w:szCs w:val="18"/>
          <w:color w:val="auto"/>
        </w:rPr>
        <w:t xml:space="preserve">. The execution and delivery of the Supplemental Indenture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Valid Issuance of the Notes</w:t>
      </w:r>
      <w:r>
        <w:rPr>
          <w:rFonts w:ascii="Times New Roman" w:cs="Times New Roman" w:eastAsia="Times New Roman" w:hAnsi="Times New Roman"/>
          <w:sz w:val="18"/>
          <w:szCs w:val="18"/>
          <w:color w:val="auto"/>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Enforceability of the Organizational Documents</w:t>
      </w:r>
      <w:r>
        <w:rPr>
          <w:rFonts w:ascii="Times New Roman" w:cs="Times New Roman" w:eastAsia="Times New Roman" w:hAnsi="Times New Roman"/>
          <w:sz w:val="18"/>
          <w:szCs w:val="18"/>
          <w:color w:val="auto"/>
        </w:rPr>
        <w:t xml:space="preserve">. The Organizational Documents of each 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Conflicts or Violations</w:t>
      </w:r>
      <w:r>
        <w:rPr>
          <w:rFonts w:ascii="Times New Roman" w:cs="Times New Roman" w:eastAsia="Times New Roman" w:hAnsi="Times New Roman"/>
          <w:sz w:val="18"/>
          <w:szCs w:val="18"/>
          <w:color w:val="auto"/>
        </w:rPr>
        <w:t xml:space="preserve">. None of (i) the offering, issuance and sale by the Issuers of the Notes, (ii) the execution, delivery and performance of this Agreement by each of the Issuers, (iii) the consummation of the transactions contemplated by this Agreement or (iv) the execution and delivery of the Supplemental Indenture,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or</w:t>
      </w:r>
    </w:p>
    <w:p>
      <w:pPr>
        <w:spacing w:after="0" w:line="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would reasonably be expected to have a Material Adverse Effect or materially impair the ability of the Issuers to consummate the transactions contemplated by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Default</w:t>
      </w:r>
      <w:r>
        <w:rPr>
          <w:rFonts w:ascii="Times New Roman" w:cs="Times New Roman" w:eastAsia="Times New Roman" w:hAnsi="Times New Roman"/>
          <w:sz w:val="17"/>
          <w:szCs w:val="17"/>
          <w:color w:val="auto"/>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 w:cs="Times New Roman" w:eastAsia="Times New Roman" w:hAnsi="Times New Roman"/>
          <w:sz w:val="17"/>
          <w:szCs w:val="17"/>
          <w:u w:val="single" w:color="auto"/>
          <w:color w:val="auto"/>
        </w:rPr>
        <w:t>clause (ii)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clause (iii) </w:t>
      </w:r>
      <w:r>
        <w:rPr>
          <w:rFonts w:ascii="Times New Roman" w:cs="Times New Roman" w:eastAsia="Times New Roman" w:hAnsi="Times New Roman"/>
          <w:sz w:val="17"/>
          <w:szCs w:val="17"/>
          <w:color w:val="auto"/>
        </w:rPr>
        <w:t>would, if continued, reasonably be expected to have a Material Adverse Effect or materially impair the ability of either of the Issuers to perform its obligations under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color w:val="auto"/>
        </w:rPr>
        <w:t>.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At September 30, 2024,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No other financial statements or schedules of the Issuers are required by the Securities Act or the Exchange Act to be included in the Registration Statement, the most recent Preliminary Prospectus or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(i) as provided in the Fourth Amended and Restated Credit Agreement dated as of August 20, 2021, as amended (the “</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among Plains Marketing, L.P., a Texas limited partnership (“</w:t>
      </w:r>
      <w:r>
        <w:rPr>
          <w:rFonts w:ascii="Times New Roman" w:cs="Times New Roman" w:eastAsia="Times New Roman" w:hAnsi="Times New Roman"/>
          <w:sz w:val="18"/>
          <w:szCs w:val="18"/>
          <w:b w:val="1"/>
          <w:bCs w:val="1"/>
          <w:u w:val="single" w:color="auto"/>
          <w:color w:val="auto"/>
        </w:rPr>
        <w:t>Plains Marketing</w:t>
      </w:r>
      <w:r>
        <w:rPr>
          <w:rFonts w:ascii="Times New Roman" w:cs="Times New Roman" w:eastAsia="Times New Roman" w:hAnsi="Times New Roman"/>
          <w:sz w:val="18"/>
          <w:szCs w:val="18"/>
          <w:color w:val="auto"/>
        </w:rPr>
        <w:t>”), and Plains Midstream Canada ULC, a British Columbia unlimited liability company (“</w:t>
      </w:r>
      <w:r>
        <w:rPr>
          <w:rFonts w:ascii="Times New Roman" w:cs="Times New Roman" w:eastAsia="Times New Roman" w:hAnsi="Times New Roman"/>
          <w:sz w:val="18"/>
          <w:szCs w:val="18"/>
          <w:b w:val="1"/>
          <w:bCs w:val="1"/>
          <w:u w:val="single" w:color="auto"/>
          <w:color w:val="auto"/>
        </w:rPr>
        <w:t>Plains Midstream Canada</w:t>
      </w:r>
      <w:r>
        <w:rPr>
          <w:rFonts w:ascii="Times New Roman" w:cs="Times New Roman" w:eastAsia="Times New Roman" w:hAnsi="Times New Roman"/>
          <w:sz w:val="18"/>
          <w:szCs w:val="18"/>
          <w:color w:val="auto"/>
        </w:rPr>
        <w:t>”), as borrowers, the Partnership, as guarantor, Bank of America, N.A., as administrative agent and swing line lender thereunder, Bank of America, N.A., Citibank, N.A., JPMorgan Chase Bank, N.A. and Wells Fargo Bank, National Association, as letters of credit issuers, and the other lenders from time to time party thereto,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 governmental or regulatory authorities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(A) To the knowledge of the Issuers,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 w:cs="Times New Roman" w:eastAsia="Times New Roman" w:hAnsi="Times New Roman"/>
          <w:sz w:val="18"/>
          <w:szCs w:val="18"/>
          <w:b w:val="1"/>
          <w:bCs w:val="1"/>
          <w:u w:val="single" w:color="auto"/>
          <w:color w:val="auto"/>
        </w:rPr>
        <w:t>IT Systems and Sensitive Data</w:t>
      </w:r>
      <w:r>
        <w:rPr>
          <w:rFonts w:ascii="Times New Roman" w:cs="Times New Roman" w:eastAsia="Times New Roman" w:hAnsi="Times New Roman"/>
          <w:sz w:val="18"/>
          <w:szCs w:val="18"/>
          <w:color w:val="auto"/>
        </w:rPr>
        <w:t>”) and (B) none of the Plains Entities nor any of the GP Entities, in the last two years, have been notified in writing of, and the Issuers have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Issuers,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 Issuers, is imminent, that would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Legal Actions</w:t>
      </w:r>
      <w:r>
        <w:rPr>
          <w:rFonts w:ascii="Times New Roman" w:cs="Times New Roman" w:eastAsia="Times New Roman" w:hAnsi="Times New Roman"/>
          <w:sz w:val="18"/>
          <w:szCs w:val="18"/>
          <w:color w:val="auto"/>
        </w:rPr>
        <w:t xml:space="preserve">. Except as described in the Registration Statement,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would reasonably be expected to have, individually or in the aggregate, a Material Adverse Effect or prevent or result in the suspension of the offering and issuance of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Distribution of Other Offering Materials</w:t>
      </w:r>
      <w:r>
        <w:rPr>
          <w:rFonts w:ascii="Times New Roman" w:cs="Times New Roman" w:eastAsia="Times New Roman" w:hAnsi="Times New Roman"/>
          <w:sz w:val="18"/>
          <w:szCs w:val="18"/>
          <w:color w:val="auto"/>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 w:cs="Times New Roman" w:eastAsia="Times New Roman" w:hAnsi="Times New Roman"/>
          <w:sz w:val="18"/>
          <w:szCs w:val="18"/>
          <w:u w:val="single" w:color="auto"/>
          <w:color w:val="auto"/>
        </w:rPr>
        <w:t>Section 1(h) </w:t>
      </w:r>
      <w:r>
        <w:rPr>
          <w:rFonts w:ascii="Times New Roman" w:cs="Times New Roman" w:eastAsia="Times New Roman" w:hAnsi="Times New Roman"/>
          <w:sz w:val="18"/>
          <w:szCs w:val="18"/>
          <w:color w:val="auto"/>
        </w:rPr>
        <w:t>of this Agreement, or other materials, if any, permitted by the Securities Act, including Rule 134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Books and Records; Accounting Controls</w:t>
      </w:r>
      <w:r>
        <w:rPr>
          <w:rFonts w:ascii="Times New Roman" w:cs="Times New Roman" w:eastAsia="Times New Roman" w:hAnsi="Times New Roman"/>
          <w:sz w:val="18"/>
          <w:szCs w:val="18"/>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The Partnership and, to the knowledge of the Issuers, the directors of PAGP GP and the officers of GP LLC, in their capacities as such, are in compliance in all material respects with all applicable and effective provisions of the Sarbanes-Oxley Act of 2002 and the rules and regulations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No Plains Entity or GP Entity, nor any of their respective subsidiaries, directors or officers, nor, to the knowledge of the Issuers, any agent, employee or affiliate of the Plains Entities, the GP Entities or any of their respective subsidiaries or other person acting on behalf of the Issuers, is aware of or has taken any action, directly or indirectly, that would result in a violation by such persons of the Foreign Corrupt Practices Act of 1977, as amended (together with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 w:cs="Times New Roman" w:eastAsia="Times New Roman" w:hAnsi="Times New Roman"/>
          <w:sz w:val="18"/>
          <w:szCs w:val="18"/>
          <w:b w:val="1"/>
          <w:bCs w:val="1"/>
          <w:u w:val="single" w:color="auto"/>
          <w:color w:val="auto"/>
        </w:rPr>
        <w:t>Applicable Anti-Corruption Laws</w:t>
      </w:r>
      <w:r>
        <w:rPr>
          <w:rFonts w:ascii="Times New Roman" w:cs="Times New Roman" w:eastAsia="Times New Roman" w:hAnsi="Times New Roman"/>
          <w:sz w:val="18"/>
          <w:szCs w:val="18"/>
          <w:color w:val="auto"/>
        </w:rPr>
        <w:t>”). Each of the Plains Entities, the GP Entities and their respective subsidiaries and, to the knowledge of any of the Issuers,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have conducted their businesses in material compliance, and have instituted, maintain and enforce policies and procedures designed to promote continued compliance, with all Applicable Anti-Corruption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(b)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Issuers, threatened.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Sanctions Laws</w:t>
      </w:r>
      <w:r>
        <w:rPr>
          <w:rFonts w:ascii="Times New Roman" w:cs="Times New Roman" w:eastAsia="Times New Roman" w:hAnsi="Times New Roman"/>
          <w:sz w:val="18"/>
          <w:szCs w:val="18"/>
          <w:color w:val="auto"/>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 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Issuers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Each Plains Entity, GP Entity and each of their respective subsidiaries have not for the last five years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applicable statements made in the certificates described in </w:t>
      </w:r>
      <w:r>
        <w:rPr>
          <w:rFonts w:ascii="Times New Roman" w:cs="Times New Roman" w:eastAsia="Times New Roman" w:hAnsi="Times New Roman"/>
          <w:sz w:val="18"/>
          <w:szCs w:val="18"/>
          <w:u w:val="single" w:color="auto"/>
          <w:color w:val="auto"/>
        </w:rPr>
        <w:t>Sections 7(i)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7(j) </w:t>
      </w:r>
      <w:r>
        <w:rPr>
          <w:rFonts w:ascii="Times New Roman" w:cs="Times New Roman" w:eastAsia="Times New Roman" w:hAnsi="Times New Roman"/>
          <w:sz w:val="18"/>
          <w:szCs w:val="18"/>
          <w:color w:val="auto"/>
        </w:rPr>
        <w:t>shall be deemed representations and warranties by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matters covered thereby, to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Purchase and Sale</w:t>
      </w:r>
      <w:r>
        <w:rPr>
          <w:rFonts w:ascii="Times New Roman" w:cs="Times New Roman" w:eastAsia="Times New Roman" w:hAnsi="Times New Roman"/>
          <w:sz w:val="17"/>
          <w:szCs w:val="17"/>
          <w:color w:val="auto"/>
        </w:rPr>
        <w:t>. Subject to the terms and conditions and in reliance upon the representations and warranties herein set forth, the Issuers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to sell to each Underwriter, and each Underwriter agrees, severally and not jointly, to purchase from the Issuers the principal amount of Notes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99.111% of the principal amount thereof, plus accrued interest,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Delivery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and Payment</w:t>
      </w:r>
      <w:r>
        <w:rPr>
          <w:rFonts w:ascii="Times New Roman" w:cs="Times New Roman" w:eastAsia="Times New Roman" w:hAnsi="Times New Roman"/>
          <w:sz w:val="18"/>
          <w:szCs w:val="18"/>
          <w:color w:val="auto"/>
        </w:rPr>
        <w:t xml:space="preserve">. Delivery of and payment for the Notes shall be made at the office of Vinson &amp; Elkins L.L.P., 845 Texas Avenue, Suite 4700, Houston, Texas 77002 at 9:00 a.m., Houston time, on January 15, 2025, or at such time on such later date not more than three business days after the foregoing date as the Representatives shall designate, which date and time may be postponed by agreement between the Representatives and the Issuers or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(such date and time of delivery and payment for the Notes being herein called the “</w:t>
      </w:r>
      <w:r>
        <w:rPr>
          <w:rFonts w:ascii="Times New Roman" w:cs="Times New Roman" w:eastAsia="Times New Roman" w:hAnsi="Times New Roman"/>
          <w:sz w:val="18"/>
          <w:szCs w:val="18"/>
          <w:b w:val="1"/>
          <w:bCs w:val="1"/>
          <w:u w:val="single" w:color="auto"/>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u w:val="single" w:color="auto"/>
          <w:color w:val="auto"/>
        </w:rPr>
        <w:t>Global Notes</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Offering by the Underwriters</w:t>
      </w:r>
      <w:r>
        <w:rPr>
          <w:rFonts w:ascii="Times New Roman" w:cs="Times New Roman" w:eastAsia="Times New Roman" w:hAnsi="Times New Roman"/>
          <w:sz w:val="17"/>
          <w:szCs w:val="17"/>
          <w:color w:val="auto"/>
        </w:rPr>
        <w:t>. It is understood that the several Underwriters propose to offer the Notes for sale to the public as set forth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Preparation of Prospectus and Registration Statement</w:t>
      </w:r>
      <w:r>
        <w:rPr>
          <w:rFonts w:ascii="Times New Roman" w:cs="Times New Roman" w:eastAsia="Times New Roman" w:hAnsi="Times New Roman"/>
          <w:sz w:val="18"/>
          <w:szCs w:val="18"/>
          <w:color w:val="auto"/>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Final Term Sheet and Issuer Free Writing Prospectuses</w:t>
      </w:r>
      <w:r>
        <w:rPr>
          <w:rFonts w:ascii="Times New Roman" w:cs="Times New Roman" w:eastAsia="Times New Roman" w:hAnsi="Times New Roman"/>
          <w:sz w:val="18"/>
          <w:szCs w:val="18"/>
          <w:color w:val="auto"/>
        </w:rPr>
        <w:t xml:space="preserve">. The Issuers agree (i) to prepare a final term sheet, containing a description of the final 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Registration Statement</w:t>
      </w:r>
      <w:r>
        <w:rPr>
          <w:rFonts w:ascii="Times New Roman" w:cs="Times New Roman" w:eastAsia="Times New Roman" w:hAnsi="Times New Roman"/>
          <w:sz w:val="18"/>
          <w:szCs w:val="18"/>
          <w:color w:val="auto"/>
        </w:rPr>
        <w:t>. The Issuers will furnish to the Underwriters, without charge, such number of copies of (i) the manually signed copy of the registration statement corresponding to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Documents to the Underwriters</w:t>
      </w:r>
      <w:r>
        <w:rPr>
          <w:rFonts w:ascii="Times New Roman" w:cs="Times New Roman" w:eastAsia="Times New Roman" w:hAnsi="Times New Roman"/>
          <w:sz w:val="18"/>
          <w:szCs w:val="18"/>
          <w:color w:val="auto"/>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 xml:space="preserve">above, file with the Commission an appropriate supplement or amendment thereto (or to such document), and will expeditiously furnish to the Underwriters and dealers a reasonable number of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Blue Sky Laws</w:t>
      </w:r>
      <w:r>
        <w:rPr>
          <w:rFonts w:ascii="Times New Roman" w:cs="Times New Roman" w:eastAsia="Times New Roman" w:hAnsi="Times New Roman"/>
          <w:sz w:val="18"/>
          <w:szCs w:val="18"/>
          <w:color w:val="auto"/>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Expenses</w:t>
      </w:r>
      <w:r>
        <w:rPr>
          <w:rFonts w:ascii="Times New Roman" w:cs="Times New Roman" w:eastAsia="Times New Roman" w:hAnsi="Times New Roman"/>
          <w:sz w:val="18"/>
          <w:szCs w:val="18"/>
          <w:color w:val="auto"/>
        </w:rPr>
        <w:t xml:space="preserve">. If this Agreement shall terminate or shall be terminated after execution pursuant to any provisions hereof (other than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pursuant to the first clause of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and documented out-of-pocket expenses (including reasonable and documented fees and expenses of counsel for the Underwriters) incurred by the Underwriters in connection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 the caption “Use of Proceeds” in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 Rules and Regulations and will advise the Underwriters of the time and manner of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 documents required to be filed with the Commission pursuant to the Exchange Act within the time periods required by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Free Writing Prospectuses</w:t>
      </w:r>
      <w:r>
        <w:rPr>
          <w:rFonts w:ascii="Times New Roman" w:cs="Times New Roman" w:eastAsia="Times New Roman" w:hAnsi="Times New Roman"/>
          <w:sz w:val="18"/>
          <w:szCs w:val="18"/>
          <w:color w:val="auto"/>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cs="Times New Roman" w:eastAsia="Times New Roman" w:hAnsi="Times New Roman"/>
          <w:sz w:val="18"/>
          <w:szCs w:val="18"/>
          <w:b w:val="1"/>
          <w:bCs w:val="1"/>
          <w:u w:val="single" w:color="auto"/>
          <w:color w:val="auto"/>
        </w:rPr>
        <w:t>Non-Prospectus Road Show</w:t>
      </w:r>
      <w:r>
        <w:rPr>
          <w:rFonts w:ascii="Times New Roman" w:cs="Times New Roman" w:eastAsia="Times New Roman" w:hAnsi="Times New Roman"/>
          <w:sz w:val="18"/>
          <w:szCs w:val="18"/>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foregoing indemnity agreement is in addition to any liability that the Issuers may otherwise have to any Underwriter or to any director, officer, employee or controlling person of that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and documented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such Underwriter shall have the rights and duties given to the Issuers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 xml:space="preserve">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above. The foregoing indemnity agreement shall be in addition to any liability that the Underwriters may otherwise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(d)            If the indemnification provided for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is unavailable to an indemnified party under </w:t>
      </w:r>
      <w:r>
        <w:rPr>
          <w:rFonts w:ascii="Times New Roman" w:cs="Times New Roman" w:eastAsia="Times New Roman" w:hAnsi="Times New Roman"/>
          <w:sz w:val="17"/>
          <w:szCs w:val="17"/>
          <w:u w:val="single" w:color="auto"/>
          <w:color w:val="auto"/>
        </w:rPr>
        <w:t>paragraph (a)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 </w:t>
      </w:r>
      <w:r>
        <w:rPr>
          <w:rFonts w:ascii="Times New Roman" w:cs="Times New Roman" w:eastAsia="Times New Roman" w:hAnsi="Times New Roman"/>
          <w:sz w:val="17"/>
          <w:szCs w:val="17"/>
          <w:color w:val="auto"/>
        </w:rPr>
        <w:t xml:space="preserve">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 xml:space="preserve">above is not permitted by applicable law, in such proportion as is appropriate to reflect not only the relative benefits referred to in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Issuers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The amount paid or payable by an indemnified party as a result of the losses, claims, damages, liabilities and expenses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several and not joint.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Any losses, claims, damages, liabilities or expenses for which an indemnified party is entitled to indemnification or contribution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Representatives shall have received an opinion of Vinson &amp; Elkins L.L.P., counsel for the Issuers,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The offering and sale of the Notes as contemplated by this Agreement do not give rise to any rights for or relating to the registration of any other securities of the Issuers under any agreement filed as an exhibit to the Registration Statement,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This Agreement has been duly authorized, executed and delivered by each of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None of (A) the offering, issuance and sale by the Issuers of the Notes, (B) the execution, delivery and performance of this Agreement by the Issuers, (C) the consummation of the transactions contemplated by this Agreement, (D) the execution and delivery of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and the Credit Agreement dated as of August 20, 2021, as amended, among the Partnership and Plains Midstream Canada, as borrowers, certain subsidiaries of the Partnership from time to time party thereto, as designated borrowers, Bank of America, N.A., as administrative agent and swing line lender thereunder, Bank of America, N.A., Citibank, N.A., JPMorgan Chase Bank, N.A. and Wells Fargo Bank, National Association, as letters of credit issuers, and the lenders from time to time party thereto, described in the Registration Statement, the Pricing Disclosure Package and the Prospectus (the “</w:t>
      </w: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color w:val="auto"/>
        </w:rPr>
        <w:t>”)), (3) results or will result in any violation of the Delaware LP Act, the Delaware LLC Act, the Delaware General Corporation Law (the “</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 </w:t>
      </w:r>
      <w:r>
        <w:rPr>
          <w:rFonts w:ascii="Times New Roman" w:cs="Times New Roman" w:eastAsia="Times New Roman" w:hAnsi="Times New Roman"/>
          <w:sz w:val="18"/>
          <w:szCs w:val="18"/>
          <w:color w:val="auto"/>
        </w:rPr>
        <w:t>or</w:t>
      </w:r>
    </w:p>
    <w:p>
      <w:pPr>
        <w:spacing w:after="0" w:line="6"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u w:val="single" w:color="auto"/>
          <w:color w:val="auto"/>
        </w:rPr>
        <w:t>(4) </w:t>
      </w:r>
      <w:r>
        <w:rPr>
          <w:rFonts w:ascii="Times New Roman" w:cs="Times New Roman" w:eastAsia="Times New Roman" w:hAnsi="Times New Roman"/>
          <w:sz w:val="18"/>
          <w:szCs w:val="18"/>
          <w:color w:val="auto"/>
        </w:rPr>
        <w:t xml:space="preserve">would reasonably be expected to have a Material Adverse Effect or materially impair the ability of the Issuers to consummate the transactions contemplated by this Agreement, it being understood that such counsel need not express an opinion in </w:t>
      </w:r>
      <w:r>
        <w:rPr>
          <w:rFonts w:ascii="Times New Roman" w:cs="Times New Roman" w:eastAsia="Times New Roman" w:hAnsi="Times New Roman"/>
          <w:sz w:val="18"/>
          <w:szCs w:val="18"/>
          <w:u w:val="single" w:color="auto"/>
          <w:color w:val="auto"/>
        </w:rPr>
        <w:t>clause (3)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paragraph (xi) </w:t>
      </w:r>
      <w:r>
        <w:rPr>
          <w:rFonts w:ascii="Times New Roman" w:cs="Times New Roman" w:eastAsia="Times New Roman" w:hAnsi="Times New Roman"/>
          <w:sz w:val="18"/>
          <w:szCs w:val="18"/>
          <w:color w:val="auto"/>
        </w:rPr>
        <w:t>with respect to any securities or other anti-fraud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Section 5 of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The Registration Statement became effective under the Securities Act upon its filing on September 6, 2024;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firstLine="648"/>
        <w:spacing w:after="0" w:line="250" w:lineRule="auto"/>
        <w:rPr>
          <w:sz w:val="20"/>
          <w:szCs w:val="20"/>
          <w:color w:val="auto"/>
        </w:rPr>
      </w:pPr>
      <w:r>
        <w:rPr>
          <w:rFonts w:ascii="Times New Roman" w:cs="Times New Roman" w:eastAsia="Times New Roman" w:hAnsi="Times New Roman"/>
          <w:sz w:val="18"/>
          <w:szCs w:val="18"/>
          <w:color w:val="auto"/>
        </w:rPr>
        <w:t>(A)            the Registration Statement, as of the most recent Effective Date, contained an untrue statement of a material fact or omitted to state a material fact required to be stated therein or necessary to make the statements therein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The Representatives shall have received an opinion of the general counsel for GP LLC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None of (1) the offering, issuance and sale by the Issuers of the Notes, (2) the execution, delivery and performance by the Issuers of this Agreement, (3) the consummation of the transactions contemplated by this Agreement or (4) the execution and delivery of the Supplemental Indenture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both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clause </w:t>
      </w: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or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reasonably be expected to have a Material Adverse Effect or materially impair the ability of the Issuers to consummate the transactions contemplated by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 w:cs="Times New Roman" w:eastAsia="Times New Roman" w:hAnsi="Times New Roman"/>
          <w:sz w:val="18"/>
          <w:szCs w:val="18"/>
          <w:u w:val="single" w:color="auto"/>
          <w:color w:val="auto"/>
        </w:rPr>
        <w:t>Section 7(d)(i)(4)(B) </w:t>
      </w:r>
      <w:r>
        <w:rPr>
          <w:rFonts w:ascii="Times New Roman" w:cs="Times New Roman" w:eastAsia="Times New Roman" w:hAnsi="Times New Roman"/>
          <w:sz w:val="18"/>
          <w:szCs w:val="18"/>
          <w:color w:val="auto"/>
        </w:rPr>
        <w:t>above or (y)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Representatives shall have received an opinion of internal Canadian counsel for the Partnership,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Saskatchewan, Quebec, Nova Scotia and New Brunswick.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cut-off date for the procedures performed by such accountants and described in such letter shall be a date not more than five days prior to the date of such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 w:cs="Times New Roman" w:eastAsia="Times New Roman" w:hAnsi="Times New Roman"/>
          <w:sz w:val="18"/>
          <w:szCs w:val="18"/>
          <w:u w:val="single" w:color="auto"/>
          <w:color w:val="auto"/>
        </w:rPr>
        <w:t>paragraph (g)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that the date referred to in the proviso in </w:t>
      </w:r>
      <w:r>
        <w:rPr>
          <w:rFonts w:ascii="Times New Roman" w:cs="Times New Roman" w:eastAsia="Times New Roman" w:hAnsi="Times New Roman"/>
          <w:sz w:val="18"/>
          <w:szCs w:val="18"/>
          <w:u w:val="single" w:color="auto"/>
          <w:color w:val="auto"/>
        </w:rPr>
        <w:t>Section 7(g) </w:t>
      </w:r>
      <w:r>
        <w:rPr>
          <w:rFonts w:ascii="Times New Roman" w:cs="Times New Roman" w:eastAsia="Times New Roman" w:hAnsi="Times New Roman"/>
          <w:sz w:val="18"/>
          <w:szCs w:val="18"/>
          <w:color w:val="auto"/>
        </w:rPr>
        <w:t>hereof shall be a date not more than three business days prior to the Delivery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Partnership’s knowledge, threatened;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At the Delivery Date, the Notes shall be rated at least “Baa2”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The Issuers and the Trustee shall have executed and delivered the Supplemental Indenture, and the Issuers shall have executed and delivered the Global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(m)            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such opinions, certificates, letters and other documents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have been fulfilled in all material respects when and as provided in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opinions and certificates mentioned above or elsewhere in this Agreement shall not be in all material respects reasonably satisfactory in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substance to the Underwriters and counsel for the Underwriters, this Agreement and all obligations of the Underwriters hereunder may be cancelled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time prior to, the Delivery Date by the Underwriters. Notice of such cancellation shall be given to the Issuers in writing or by telephone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 w:cs="Times New Roman" w:eastAsia="Times New Roman" w:hAnsi="Times New Roman"/>
          <w:sz w:val="18"/>
          <w:szCs w:val="18"/>
          <w:u w:val="single" w:color="auto"/>
          <w:color w:val="auto"/>
        </w:rPr>
        <w:t>Section 5(g) </w:t>
      </w:r>
      <w:r>
        <w:rPr>
          <w:rFonts w:ascii="Times New Roman" w:cs="Times New Roman" w:eastAsia="Times New Roman" w:hAnsi="Times New Roman"/>
          <w:sz w:val="18"/>
          <w:szCs w:val="18"/>
          <w:color w:val="auto"/>
        </w:rPr>
        <w:t>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It is understood, however, that except as otherwise provided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5(i) </w:t>
      </w:r>
      <w:r>
        <w:rPr>
          <w:rFonts w:ascii="Times New Roman" w:cs="Times New Roman" w:eastAsia="Times New Roman" w:hAnsi="Times New Roman"/>
          <w:sz w:val="17"/>
          <w:szCs w:val="17"/>
          <w:color w:val="auto"/>
        </w:rPr>
        <w:t>hereof, the Underwriters will pay all of their own costs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including the fees of their counsel, transfer taxes on any resale of the Notes by any Underwriter, any advertising expenses connected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offers they may make and the transportation and other expenses incurred by the Underwriters on their own behalf in connection with presentations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purchasers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notice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may be given by telegram, telecopy or telephone but shall be subsequently confirmed by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Termination of Agreement</w:t>
      </w:r>
      <w:r>
        <w:rPr>
          <w:rFonts w:ascii="Times New Roman" w:cs="Times New Roman" w:eastAsia="Times New Roman" w:hAnsi="Times New Roman"/>
          <w:sz w:val="17"/>
          <w:szCs w:val="17"/>
          <w:color w:val="auto"/>
        </w:rPr>
        <w:t>. This Agreement shall be subject to termination in the Representatives’ absolute discretion, without liability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 of any Underwriter to any Issuer, by notice to the Issuers prior to the Delivery Date, if at any time prior to such time (i) trading in the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shall have been suspended by the Commission or Nasdaq or trading in securities generally on the New York Stock Exchange, the NYSE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LLC or the Nasdaq National Market shall have been suspended or limited or minimum prices shall have been established; (ii) a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moratorium shall have been declared either by federal or New York or Texas state authorities or a material disruption in commercial banking or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or clearance services in the United States shall have occurred; or (iii) there shall have occurred any outbreak or escalation of hostilities or 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terrorism, declaration by the United States of a national emergency or war or other calamity or crisis or any change in financial, political or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 or elsewhere, the effect of which on financial markets is such as to make it, in the sole judgment of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impractical or inadvisable to proceed with the offering or delivery of the Notes as contemplated by the Prospectus (exclusive of any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Notice of such termination may be given to the Issuers by telegram, telecopy or telephone and shall be subsequently confirmed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 Successors</w:t>
      </w:r>
      <w:r>
        <w:rPr>
          <w:rFonts w:ascii="Times New Roman" w:cs="Times New Roman" w:eastAsia="Times New Roman" w:hAnsi="Times New Roman"/>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J.P. Morgan Securities LLC, 383 Madison Avenue, New York, New York 10179, Attention: Investment Grade Syndicate Desk (Fax: 212-834-6081); and c/o BMO Capital Markets Corp., 151 West 42nd Street, New York, NY 10036, Attention: Legal Department, Fax No.: (212) 702-1205; c/o Mizuho Securities USA LLC, 1271 Avenue of the Americas, New York, New York 10020, Attention: Debt Capital Markets, Fax: (212) 205-7812, Email: Legalnotices@mizuho.com; and c/o Scotia Capital (USA) Inc., 250 Vesey Street, New York, NY 10281; with a copy (which shall not constitute notice) to Baker Botts L.L.P., 910 Louisiana St., Houston, Texas 77002, Attention: Douglas V. Getten; or, if sent to either of the Issuers, will be mailed, delivered or telefaxed to it at 333 Clay St., Suite 1600, Houston, Texas 77002, Attention: General Counsel (fax: (713) 646-4313).  </w:t>
      </w:r>
    </w:p>
    <w:p>
      <w:pPr>
        <w:spacing w:after="0" w:line="2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Agreement has been and is made solely for the benefit of the several Underwriters and their directors, officers, employees, agents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Issuers and GP LLC’s directors and officers who sign the Registration Statement,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 Furnished by the Underwriters</w:t>
      </w:r>
      <w:r>
        <w:rPr>
          <w:rFonts w:ascii="Times New Roman" w:cs="Times New Roman" w:eastAsia="Times New Roman" w:hAnsi="Times New Roman"/>
          <w:sz w:val="18"/>
          <w:szCs w:val="18"/>
          <w:color w:val="auto"/>
        </w:rPr>
        <w:t>. The Issuers acknowledge that the following statements set forth in the most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and the Prospectus constitute the only information furnished by or on behalf of the Underwriters through the Representatives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information is referred to in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6(c) </w:t>
      </w:r>
      <w:r>
        <w:rPr>
          <w:rFonts w:ascii="Times New Roman" w:cs="Times New Roman" w:eastAsia="Times New Roman" w:hAnsi="Times New Roman"/>
          <w:sz w:val="18"/>
          <w:szCs w:val="18"/>
          <w:color w:val="auto"/>
        </w:rPr>
        <w:t>hereof: (A) the names of the Underwriters, (B) the table under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under the heading “Underwriting,” (C) the first paragraph under the heading “Underwriting — Underwriting Discounts” related to concessions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 the first paragraph, the first two sentences of the second paragraph and the first sentence of the third paragraph under the heading “Underwriting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Stabilization, Short Positions and Penalty Bids.”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Research Analyst Independence</w:t>
      </w:r>
      <w:r>
        <w:rPr>
          <w:rFonts w:ascii="Times New Roman" w:cs="Times New Roman" w:eastAsia="Times New Roman" w:hAnsi="Times New Roman"/>
          <w:sz w:val="17"/>
          <w:szCs w:val="17"/>
          <w:color w:val="auto"/>
        </w:rPr>
        <w:t>. The Issuers acknowledge that the Underwriters’ research analysts and research departments are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independent from their respective investment banking divisions and are subject to certain regulations and internal policies, and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research analysts may hold views and make statements or investment recommendations and/or publish research reports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and/or the offering that differ from the views of their respective investment banking divisions. The Issuers hereby waive and release, to the fullest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law, any claims that the Issuers may have against the Underwriters with respect to any conflict of interest that may arise from the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views expressed by their independent research analysts and research departments may be different from or inconsistent with the views or advice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communicated to the Issuers by such Underwriters’ investment banking divisions. The Issuers acknowledge that each of the Underwriters is a full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firm and as such from time to time, subject to applicable securities laws, may effect transactions for its own account or the account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hold long or short positions in debt or equity securities of the companies that may be the subject of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As used in this Section 14,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or any of them, with respect to the subject matter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Applicable Law; Counterparts</w:t>
      </w:r>
      <w:r>
        <w:rPr>
          <w:rFonts w:ascii="Times New Roman" w:cs="Times New Roman" w:eastAsia="Times New Roman" w:hAnsi="Times New Roman"/>
          <w:sz w:val="17"/>
          <w:szCs w:val="17"/>
          <w:color w:val="auto"/>
        </w:rPr>
        <w:t>. This Agreement shall be governed by and construed in accordance with the laws of the State of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contracts made and to be performed within the State of New York. This Agreement may be signed in various counterparts that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one and the same instrument. If signed in counterparts, this Agreement shall not become effective unless at least one counterpart hereof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executed and delivered on behalf of each 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the Issuers and the Underwriters.</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8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PAA FINANCE CORP.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540"/>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8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Agreement is hereby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first above written.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  </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Robert Bottamedi</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Mark Spadaccini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Bottamedi</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Spadaccini</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W. Scott Trachsel</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Michael Ravanesi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 Scott Trachsel</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Ravanesi</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&amp; Head of U.S. Debt Origination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gridSpan w:val="4"/>
            <w:vMerge w:val="restart"/>
          </w:tcPr>
          <w:p>
            <w:pPr>
              <w:jc w:val="right"/>
              <w:ind w:right="317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gridSpan w:val="4"/>
            <w:vMerge w:val="continue"/>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100" w:type="dxa"/>
            <w:vAlign w:val="bottom"/>
          </w:tcPr>
          <w:p>
            <w:pPr>
              <w:spacing w:after="0"/>
              <w:rPr>
                <w:sz w:val="20"/>
                <w:szCs w:val="20"/>
                <w:color w:val="auto"/>
              </w:rPr>
            </w:pPr>
          </w:p>
        </w:tc>
        <w:tc>
          <w:tcPr>
            <w:tcW w:w="50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Notes to be Purchased  </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104,900,000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104,900,000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1100" w:type="dxa"/>
            <w:vAlign w:val="bottom"/>
          </w:tcPr>
          <w:p>
            <w:pPr>
              <w:spacing w:after="0"/>
              <w:rPr>
                <w:sz w:val="18"/>
                <w:szCs w:val="18"/>
                <w:color w:val="auto"/>
              </w:rPr>
            </w:pPr>
          </w:p>
        </w:tc>
        <w:tc>
          <w:tcPr>
            <w:tcW w:w="32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1,000,000,000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200" w:type="dxa"/>
            <w:vAlign w:val="bottom"/>
            <w:gridSpan w:val="2"/>
            <w:vMerge w:val="restart"/>
          </w:tcPr>
          <w:p>
            <w:pPr>
              <w:jc w:val="center"/>
              <w:ind w:right="493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tc>
        <w:tc>
          <w:tcPr>
            <w:tcW w:w="0" w:type="dxa"/>
            <w:vAlign w:val="bottom"/>
          </w:tcPr>
          <w:p>
            <w:pPr>
              <w:spacing w:after="0"/>
              <w:rPr>
                <w:sz w:val="1"/>
                <w:szCs w:val="1"/>
                <w:color w:val="auto"/>
              </w:rPr>
            </w:pPr>
          </w:p>
        </w:tc>
      </w:tr>
      <w:tr>
        <w:trPr>
          <w:trHeight w:val="234"/>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13, 2025</w:t>
            </w: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3"/>
            <w:vMerge w:val="restart"/>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828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9"/>
              </w:rPr>
              <w:t>$1,000,000,000 5.950% Senior Notes due 2035</w:t>
            </w:r>
          </w:p>
        </w:tc>
        <w:tc>
          <w:tcPr>
            <w:tcW w:w="0" w:type="dxa"/>
            <w:vAlign w:val="bottom"/>
          </w:tcPr>
          <w:p>
            <w:pPr>
              <w:spacing w:after="0"/>
              <w:rPr>
                <w:sz w:val="1"/>
                <w:szCs w:val="1"/>
                <w:color w:val="auto"/>
              </w:rPr>
            </w:pPr>
          </w:p>
        </w:tc>
      </w:tr>
      <w:tr>
        <w:trPr>
          <w:trHeight w:val="198"/>
        </w:trPr>
        <w:tc>
          <w:tcPr>
            <w:tcW w:w="2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Plains All American Pipeline, L.P. and PAA Finance Corp.</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Moody’s: Baa2 (stable outlook)</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S&amp;P: BBB (stable outlook)</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Fitch: BBB (stable outlook)</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SEC-registered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13, 2025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(T+2):</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January 15, 2025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June 15, 2035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$1,000,000,000</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UST 4.25% due November 15, 2034</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4.782%</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+120 bps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5.982%</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5.950%</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99.761%</w:t>
            </w: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$988.1 million</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estimated</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U.S. Treasury + 20 bps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8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On or after March 15, 2035</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June 15 and December 15, beginning on June 15, 2025</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72650RBQ4 / US72650RBQ48</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J.P. Morgan Securities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Morgan Stanley &amp; Co. LLC</w:t>
            </w:r>
          </w:p>
        </w:tc>
      </w:tr>
      <w:tr>
        <w:trPr>
          <w:trHeight w:val="216"/>
        </w:trPr>
        <w:tc>
          <w:tcPr>
            <w:tcW w:w="2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Zions Direct, Inc.</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is expected to be made against payment therefor on or about January 15, 2025, which is the second business day following the date of pricing of the notes (such settlement being referred to as “T+2”).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collect at 212-834-4533, BMO Capital Markets Corp. toll-free at 1-866-864-7760, Mizuho Securities USA LLC toll-free at 1-866-271-7403 or Scotia Capital (USA) Inc. toll-free at 1-800-372-3930.</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 No 1286/2014 (as amended, the “PRIIPs Regulation”) or as required by the PRIIPs Regulation as it forms part of domestic UK law by virtue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(Withdrawal) Act 2018, as amended, has been prepared as not available to retail investors in the EEA or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6"/>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176"/>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Jurisdiction in which registered or qualified</w:t>
            </w:r>
          </w:p>
        </w:tc>
        <w:tc>
          <w:tcPr>
            <w:tcW w:w="0" w:type="dxa"/>
            <w:vAlign w:val="bottom"/>
          </w:tcPr>
          <w:p>
            <w:pPr>
              <w:spacing w:after="0"/>
              <w:rPr>
                <w:sz w:val="1"/>
                <w:szCs w:val="1"/>
                <w:color w:val="auto"/>
              </w:rPr>
            </w:pP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Plains All American Pipeline, L.P.</w:t>
            </w:r>
          </w:p>
        </w:tc>
        <w:tc>
          <w:tcPr>
            <w:tcW w:w="10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California, Illinois, Louisiana, Oklahoma,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California, 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California, 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Alberta, Manitoba, Ontario, Saskatchewan,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British Columbia, Quebec, Nova Scotia, New Brunswick</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Oklahoma, Texas</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2024. In addition, as of the date of this certificate, the total debt of the Partnership is approximately $7.8 billion.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Partnership, PAA Finance Corp., and J.P. Morgan Securities LLC, BMO Capital Markets Corp., Mizuho Securities USA LLC and Scotia Capital (USA)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as the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affixed his signature as of the date first written above.</w:t>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2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 Swanson</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ind w:left="2580"/>
              <w:spacing w:after="0"/>
              <w:rPr>
                <w:sz w:val="20"/>
                <w:szCs w:val="20"/>
                <w:color w:val="auto"/>
              </w:rPr>
            </w:pPr>
            <w:r>
              <w:rPr>
                <w:rFonts w:ascii="Times New Roman" w:cs="Times New Roman" w:eastAsia="Times New Roman" w:hAnsi="Times New Roman"/>
                <w:sz w:val="18"/>
                <w:szCs w:val="18"/>
                <w:color w:val="auto"/>
              </w:rPr>
              <w:t>Exhibit B-2</w:t>
            </w:r>
          </w:p>
        </w:tc>
      </w:tr>
      <w:tr>
        <w:trPr>
          <w:trHeight w:val="29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Pr>
          <w:p>
            <w:pPr>
              <w:spacing w:after="0"/>
              <w:rPr>
                <w:sz w:val="20"/>
                <w:szCs w:val="20"/>
                <w:color w:val="auto"/>
              </w:rPr>
            </w:pPr>
          </w:p>
        </w:tc>
      </w:tr>
    </w:tbl>
    <w:p>
      <w:pPr>
        <w:sectPr>
          <w:pgSz w:w="11900" w:h="16838" w:orient="portrait"/>
          <w:cols w:equalWidth="0" w:num="1">
            <w:col w:w="11240"/>
          </w:cols>
          <w:pgMar w:left="320" w:top="22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Issuers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$1,000,000,000</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5.950% SENIOR NOTES DUE 2035</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THIRTY-FOURTH</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SUPPLEMENTAL</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January 15,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443230</wp:posOffset>
            </wp:positionV>
            <wp:extent cx="1783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1060450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76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17"/>
                <w:szCs w:val="17"/>
                <w:color w:val="auto"/>
              </w:rPr>
            </w:pPr>
          </w:p>
        </w:tc>
      </w:tr>
      <w:tr>
        <w:trPr>
          <w:trHeight w:val="4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3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Establishment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Global Security Legend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Compliance Certificate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Limitations on Liens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Restriction of Sale-leaseback Transactions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Consolidation and Mergers of the Issuers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Rights and Duties of Successor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8.06.</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Repayment to Issuers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8.07.</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Limitation on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Waiver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Execution of Supplemental Indenture for Future Subsidiary Guarantors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8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Release of Guarantee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Amendments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Integral Part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10.03.   Adoption, Ratification and Confirmation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10.06.   Recitals; Trustee Makes No Representation; Trustee’s Rights and Duties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Supplemental Indenture</w:t>
            </w:r>
          </w:p>
        </w:tc>
      </w:tr>
      <w:tr>
        <w:trPr>
          <w:trHeight w:val="648"/>
        </w:trPr>
        <w:tc>
          <w:tcPr>
            <w:tcW w:w="1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THIRTY-FOURTH SUPPLEMENTAL INDENTURE dated as of January 15, 2025 (this “Supplemental Indenture”) among PLAINS ALL AMERICAN PIPELINE, L.P., a Delaware limited partnership (the “Partnership”), PAA FINANCE CORP., a wholly owned subsidiary of the Partnership and a Delaware corporation (“PAA Finance” and, together with the Partnership, the “Issuers”), and U.S. BANK TRUST COMPANY, NATIONAL ASSOCIATION, as trustee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Trust Company, National Association (successor to Wachovia Bank, National Association), as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Establishment.</w:t>
      </w:r>
      <w:r>
        <w:rPr>
          <w:rFonts w:ascii="Times New Roman" w:cs="Times New Roman" w:eastAsia="Times New Roman" w:hAnsi="Times New Roman"/>
          <w:sz w:val="18"/>
          <w:szCs w:val="18"/>
          <w:color w:val="auto"/>
        </w:rPr>
        <w:t xml:space="preserve"> There is hereby established a new series of Debt Securities to be issued under the Indenture, to be designated as the Issuers’ 5.950% Senior Notes due 2035 (the “Notes”). Initially, there will be no Subsidiary Guarantors for the Notes.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There are to be authenticated and delivered $1,000,000,000 principal amount of Notes on the Issue Date, and from time to time thereafter there may be authenticated and delivered an unlimited principal amount of Additional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Notes shall be issued initially in the form of one or more Global Securities in substantially the form set out in Exhibit A hereto. The Depositary with respect to the Notes shall be The Depository Trust Company.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Note shall be dated the date of authentication thereof and shall bear interest from the date of original issuance thereof or from the most recent date to which interest has been paid or duly provided for.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If and to the extent that the provisions of the Original Indenture are duplicative of, or in contradiction with, the provisions of this Supplemental Indenture, the provisions of this Supplemental Indenture shall govern.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All capitalized terms used herein and not otherwise defined below shall have the meanings ascribed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The following are additional definitions used in this Supplemental Indenture: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 Partnership.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 Date” means the date on which the Notes are initially issued.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Liens upon rights-of-way for pipeline purposes;</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58"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the right reserved to, or vested in, any municipality or public authority by the terms of any right, power, franchise, grant, license, permit or by any provision of law, to purchase or recapture or to designate a purchaser of, any property;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Liens of taxes and assessments which are (A) for the then current year, (B) not at the time delinquent, or (C) delinquent but the validity of which is being contested at the time by an Issuer or any Restricted Subsidiary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Liens of, or to secure performance of, leases, other than capital leases;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any Lien upon, or deposits of, any assets in favor of any surety company or clerk of court for the purpose of obtaining indemnity or stay of judicial proceedings;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(7)            any Lien upon property or assets acquired or sold by an Issuer or any Restricted Subsidiary resulting from the exercise of any rights arising out of defaults on receivables;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(8)            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any Lien in favor of an Issuer or any Restricted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color w:val="auto"/>
        </w:rPr>
        <w:t>(11)          any Lien securing industrial development, pollution control or similar revenue bonds;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Liens in favor of any Person to secure obligations under the provisions of any letters of credit, bank guarantees, bonds or surety obligations required or requested by any governmental authority in connection with any contract or statute;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any Lien upon or deposits of any assets to secure performance of bids, trade contracts, leases or statutory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any obligations or duties to any municipality or public authority with respect to any lease, easement, right-of-way, license, franchise, privilege, permit or grant.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“Subsidiary Guarantors”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Subsidiary of the Partnership that executes a supplemental Indenture to provide a Guarantee in accordance with the provisions of the Indenture; and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            its successors and assigns.</w:t>
            </w:r>
          </w:p>
        </w:tc>
        <w:tc>
          <w:tcPr>
            <w:tcW w:w="5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2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Section 2.02.           Other Definitions.</w:t>
            </w:r>
          </w:p>
        </w:tc>
        <w:tc>
          <w:tcPr>
            <w:tcW w:w="5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0"/>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6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198"/>
        </w:trPr>
        <w:tc>
          <w:tcPr>
            <w:tcW w:w="340" w:type="dxa"/>
            <w:vAlign w:val="bottom"/>
          </w:tcPr>
          <w:p>
            <w:pPr>
              <w:spacing w:after="0"/>
              <w:rPr>
                <w:sz w:val="17"/>
                <w:szCs w:val="17"/>
                <w:color w:val="auto"/>
              </w:rPr>
            </w:pPr>
          </w:p>
        </w:tc>
        <w:tc>
          <w:tcPr>
            <w:tcW w:w="42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Term</w:t>
            </w:r>
          </w:p>
        </w:tc>
        <w:tc>
          <w:tcPr>
            <w:tcW w:w="6620" w:type="dxa"/>
            <w:vAlign w:val="bottom"/>
            <w:gridSpan w:val="3"/>
          </w:tcPr>
          <w:p>
            <w:pPr>
              <w:jc w:val="right"/>
              <w:ind w:right="280"/>
              <w:spacing w:after="0" w:line="198" w:lineRule="exact"/>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“Note Obligations”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“Required Filing Dates”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648"/>
        </w:trPr>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jc w:val="right"/>
              <w:ind w:right="465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2" w:name="page63"/>
    <w:bookmarkEnd w:id="62"/>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Form</w:t>
      </w:r>
      <w:r>
        <w:rPr>
          <w:rFonts w:ascii="Times New Roman" w:cs="Times New Roman" w:eastAsia="Times New Roman" w:hAnsi="Times New Roman"/>
          <w:sz w:val="18"/>
          <w:szCs w:val="18"/>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Issuance of Additional Notes</w:t>
      </w:r>
      <w:r>
        <w:rPr>
          <w:rFonts w:ascii="Times New Roman" w:cs="Times New Roman" w:eastAsia="Times New Roman" w:hAnsi="Times New Roman"/>
          <w:sz w:val="18"/>
          <w:szCs w:val="18"/>
          <w:color w:val="auto"/>
        </w:rPr>
        <w:t>.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$1,000,000,000. The Notes issued on the Issue Date and any Additional Notes subsequently issued shall be treated as a single series for all purposes under the Indenture, including waivers, amendments, redemptions and offers to purchase.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Global Security Legend</w:t>
      </w:r>
      <w:r>
        <w:rPr>
          <w:rFonts w:ascii="Times New Roman" w:cs="Times New Roman" w:eastAsia="Times New Roman" w:hAnsi="Times New Roman"/>
          <w:sz w:val="18"/>
          <w:szCs w:val="18"/>
          <w:color w:val="auto"/>
        </w:rPr>
        <w:t>. Each of the Global Securities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To redeem the Notes, the Issuers must pay a redemption price in an amount determined in accordance with the provisions of paragraph number 5 of the form of Note in Exhibit A hereto, including, to the extent provided therein, accrued and unpaid interest, if any, to the redemption date (subject to the right of Holders on the relevant record date to receive interest due on the relevant interest payment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redemption pursuant to this Section 4.01 shall otherwise be made pursuant to the provisions of Sections 3.01 through 3.03 of 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Limitations on Liens</w:t>
      </w:r>
      <w:r>
        <w:rPr>
          <w:rFonts w:ascii="Times New Roman" w:cs="Times New Roman" w:eastAsia="Times New Roman" w:hAnsi="Times New Roman"/>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Lien upon any property or assets of an Issuer or any Restricted Subsidiary in existence on December 10, 2003 or provided for pursuant to agreements existing on December 10, 2003;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any Lien resulting from the deposit of moneys or evidence of indebtedness in trust for the purpose of defeasing Debt of an Issuer or any Restricted Subsidiary.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15% of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 Sale-leaseback Transaction, unless: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Sale-leaseback Transaction involves a lease for a period, including renewals, of not more than three years;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15% of Consolidated Net Tangible Assets.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83"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(c)            [Intentionally omitted.]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Partnership shall provide the Trustee with a sufficient number of copies of all reports and other documents and information that the Trustee may be required to deliver to Holders of Notes under clause (b) of this Section 5.04.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“Event of Default” occurs if: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Issuers default for 60 days in the payment when due of interest on the Notes;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the Issuers default in the payment when due of principal of or premium, if any, on the Notes at maturity, upon redemption or otherwise;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$150.0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9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          an Issuer or any Subsidiary Guarantor pursuant to or within the meaning of any Bankruptcy Law:</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makes a general assignment for the benefit of its creditors, 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            generally is not paying its debts as they become due;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 court of competent jurisdiction enters an order or decree under any Bankruptcy Law that: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is for relief against an Issuer or any Subsidiary Guarantor in an involuntary case;</w:t>
      </w:r>
    </w:p>
    <w:p>
      <w:pPr>
        <w:spacing w:after="0" w:line="225" w:lineRule="exact"/>
        <w:rPr>
          <w:sz w:val="20"/>
          <w:szCs w:val="20"/>
          <w:color w:val="auto"/>
        </w:rPr>
      </w:pPr>
    </w:p>
    <w:p>
      <w:pPr>
        <w:ind w:left="1960" w:firstLine="648"/>
        <w:spacing w:after="0" w:line="282" w:lineRule="auto"/>
        <w:rPr>
          <w:sz w:val="20"/>
          <w:szCs w:val="20"/>
          <w:color w:val="auto"/>
        </w:rPr>
      </w:pPr>
      <w:r>
        <w:rPr>
          <w:rFonts w:ascii="Times New Roman" w:cs="Times New Roman" w:eastAsia="Times New Roman" w:hAnsi="Times New Roman"/>
          <w:sz w:val="18"/>
          <w:szCs w:val="18"/>
          <w:color w:val="auto"/>
        </w:rPr>
        <w:t>(B)            appoints a custodian of an Issuer or any Subsidiary Guarantor or for all or substantially all of the property of an Issuer or any Subsidiary Guarantor; or</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orders the liquidation of an Issuer or any Subsidiary Guarantor;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Issuers’ obligations with respect to such Notes under Sections 2.07, 2.08, 2.09 and 4.02 of the Original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duties and immunities of the Trustee hereunder and the Issuers’ obligations in connection therewith,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Article VIII,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Issuers’ rights of optional redemption under Section 4.01 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76"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4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Repayment to Issuers</w:t>
      </w:r>
      <w:r>
        <w:rPr>
          <w:rFonts w:ascii="Times New Roman" w:cs="Times New Roman" w:eastAsia="Times New Roman" w:hAnsi="Times New Roman"/>
          <w:sz w:val="18"/>
          <w:szCs w:val="18"/>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w:t>
      </w:r>
    </w:p>
    <w:p>
      <w:pPr>
        <w:spacing w:after="0" w:line="5" w:lineRule="exact"/>
        <w:rPr>
          <w:sz w:val="20"/>
          <w:szCs w:val="20"/>
          <w:color w:val="auto"/>
        </w:rPr>
      </w:pPr>
    </w:p>
    <w:p>
      <w:pPr>
        <w:ind w:firstLine="8"/>
        <w:spacing w:after="0" w:line="260" w:lineRule="auto"/>
        <w:tabs>
          <w:tab w:leader="none" w:pos="2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Holder or Trustee to exercise any right or remedy against any other guarantor of the Note Obligations; or (vi) any change in the ownership of such Subsidiary Guarantor, except as provided in Section 9.02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76"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Each Subsidiary Guarantor also agrees to pay any and all costs and expenses (including reasonable attorneys’ fees) incurred by the Trustee or any Holder in enforcing any rights under this Section 9.01.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upon any sale or other disposition of all of the Equity Interests of a Subsidiary Guarantor, to any Person that is not an Affiliate of either of the Issuers;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spacing w:after="0" w:line="1" w:lineRule="exact"/>
        <w:rPr>
          <w:sz w:val="20"/>
          <w:szCs w:val="20"/>
          <w:color w:val="auto"/>
        </w:rPr>
      </w:pPr>
    </w:p>
    <w:p>
      <w:pPr>
        <w:ind w:firstLine="8"/>
        <w:spacing w:after="0" w:line="260" w:lineRule="auto"/>
        <w:tabs>
          <w:tab w:leader="none" w:pos="3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(a)(vii)” of this Supplemental Indenture; and (D) “Article X” in the Original Indenture shall be deemed to be references to “Article VI” of this Supplemental Indenture.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NOTES SHALL BE GOVERNED BY AND CONSTRUED IN ACCORDANCE WITH THE LAWS OF THE STATE OF NEW YORK.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color w:val="auto"/>
        </w:rPr>
        <w:t>SIGNATURES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38" w:orient="portrait"/>
          <w:cols w:equalWidth="0" w:num="1">
            <w:col w:w="9019"/>
          </w:cols>
          <w:pgMar w:left="1440" w:top="904" w:right="1440" w:bottom="1440" w:gutter="0" w:footer="0" w:header="0"/>
        </w:sectPr>
      </w:pP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Plains AAP,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Sole Member</w:t>
      </w:r>
    </w:p>
    <w:p>
      <w:pPr>
        <w:spacing w:after="0" w:line="200"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ind w:right="1819"/>
        <w:spacing w:after="0" w:line="282" w:lineRule="auto"/>
        <w:rPr>
          <w:sz w:val="20"/>
          <w:szCs w:val="20"/>
          <w:color w:val="auto"/>
        </w:rPr>
      </w:pPr>
      <w:r>
        <w:rPr>
          <w:rFonts w:ascii="Times New Roman" w:cs="Times New Roman" w:eastAsia="Times New Roman" w:hAnsi="Times New Roman"/>
          <w:sz w:val="18"/>
          <w:szCs w:val="18"/>
          <w:color w:val="auto"/>
        </w:rPr>
        <w:t>Plains All American GP LLC its General Partner</w:t>
      </w:r>
    </w:p>
    <w:p>
      <w:pPr>
        <w:spacing w:after="0" w:line="162"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Thirty-Fourth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78" w:name="page79"/>
    <w:bookmarkEnd w:id="78"/>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 Herberger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K. Herberger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Signature Page to Thirty-Fourth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EXHIBIT A</w:t>
            </w:r>
          </w:p>
        </w:tc>
      </w:tr>
      <w:tr>
        <w:trPr>
          <w:trHeight w:val="453"/>
        </w:trPr>
        <w:tc>
          <w:tcPr>
            <w:tcW w:w="2820" w:type="dxa"/>
            <w:vAlign w:val="bottom"/>
          </w:tcPr>
          <w:p>
            <w:pPr>
              <w:spacing w:after="0"/>
              <w:rPr>
                <w:sz w:val="24"/>
                <w:szCs w:val="24"/>
                <w:color w:val="auto"/>
              </w:rPr>
            </w:pPr>
          </w:p>
        </w:tc>
        <w:tc>
          <w:tcPr>
            <w:tcW w:w="842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CUSIP 72650RBQ4</w:t>
            </w:r>
          </w:p>
        </w:tc>
        <w:tc>
          <w:tcPr>
            <w:tcW w:w="7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__</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ISIN US72650RBQ48</w:t>
            </w:r>
          </w:p>
        </w:tc>
        <w:tc>
          <w:tcPr>
            <w:tcW w:w="8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414"/>
        </w:trPr>
        <w:tc>
          <w:tcPr>
            <w:tcW w:w="2820" w:type="dxa"/>
            <w:vAlign w:val="bottom"/>
          </w:tcPr>
          <w:p>
            <w:pPr>
              <w:spacing w:after="0"/>
              <w:rPr>
                <w:sz w:val="24"/>
                <w:szCs w:val="24"/>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r>
      <w:tr>
        <w:trPr>
          <w:trHeight w:val="234"/>
        </w:trPr>
        <w:tc>
          <w:tcPr>
            <w:tcW w:w="2820" w:type="dxa"/>
            <w:vAlign w:val="bottom"/>
          </w:tcPr>
          <w:p>
            <w:pPr>
              <w:spacing w:after="0"/>
              <w:rPr>
                <w:sz w:val="20"/>
                <w:szCs w:val="20"/>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7"/>
              </w:rPr>
              <w:t>PAA FINANCE CORP.</w:t>
            </w:r>
          </w:p>
        </w:tc>
      </w:tr>
      <w:tr>
        <w:trPr>
          <w:trHeight w:val="432"/>
        </w:trPr>
        <w:tc>
          <w:tcPr>
            <w:tcW w:w="2820" w:type="dxa"/>
            <w:vAlign w:val="bottom"/>
          </w:tcPr>
          <w:p>
            <w:pPr>
              <w:spacing w:after="0"/>
              <w:rPr>
                <w:sz w:val="24"/>
                <w:szCs w:val="24"/>
                <w:color w:val="auto"/>
              </w:rPr>
            </w:pPr>
          </w:p>
        </w:tc>
        <w:tc>
          <w:tcPr>
            <w:tcW w:w="842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color w:val="auto"/>
                <w:w w:val="99"/>
              </w:rPr>
              <w:t>5.950% Senior Notes due 2035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 a Delaware limited partnership, and PAA Finance Corp., a Delaware corporation, jointly and severally promise to pay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or registered assigns, the principal sum of _______________ Dollars [(or such greater or lesser amount as may be endorsed on the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 June 15, 2035.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15 and December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1783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5.950% Senior Notes due 2035</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29"/>
          <w:szCs w:val="29"/>
          <w:color w:val="auto"/>
          <w:vertAlign w:val="superscript"/>
        </w:rPr>
        <w:t>2</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5.950% per annum. The Issuers shall pay interest semi-annually on June 15 and December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June 15, 2025.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Method of Payment</w:t>
      </w:r>
      <w:r>
        <w:rPr>
          <w:rFonts w:ascii="Times New Roman" w:cs="Times New Roman" w:eastAsia="Times New Roman" w:hAnsi="Times New Roman"/>
          <w:sz w:val="18"/>
          <w:szCs w:val="18"/>
          <w:color w:val="auto"/>
        </w:rPr>
        <w:t xml:space="preserve">.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1"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Paying Agent and Registrar</w:t>
      </w:r>
      <w:r>
        <w:rPr>
          <w:rFonts w:ascii="Times New Roman" w:cs="Times New Roman" w:eastAsia="Times New Roman" w:hAnsi="Times New Roman"/>
          <w:sz w:val="18"/>
          <w:szCs w:val="18"/>
          <w:color w:val="auto"/>
        </w:rPr>
        <w:t>. Initially, U.S. Bank Trust Company,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Thirty-Fourth Supplemental Indenture dated as of January 15, 2025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$1 billion.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(b)           To redeem the Notes before March 15, 2035 (the “Par Call Date”), the Issuers must pay a redemption price equal to the greater of</w:t>
      </w:r>
    </w:p>
    <w:p>
      <w:pPr>
        <w:spacing w:after="0" w:line="27" w:lineRule="exact"/>
        <w:rPr>
          <w:sz w:val="20"/>
          <w:szCs w:val="20"/>
          <w:color w:val="auto"/>
        </w:rPr>
      </w:pPr>
    </w:p>
    <w:p>
      <w:pPr>
        <w:jc w:val="both"/>
        <w:ind w:firstLine="8"/>
        <w:spacing w:after="0" w:line="253" w:lineRule="auto"/>
        <w:tabs>
          <w:tab w:leader="none" w:pos="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 (ii)(a)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20 basis points less (b) interest accrued to the date of redemption, plus, in either case, accrued and unpaid interest thereon to the date of redemption (subject to the right of Holders on the relevant record date to receive interest due on the relevant interest payment date).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Issuers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Issuers shall select, as applicable: (a) the yield for the Treasury constant maturity on H.15 exactly equal to the period from the redemption date to the Par Call Date (the “Remaining Life”); or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 of Redemption; Selection of Notes</w:t>
      </w:r>
      <w:r>
        <w:rPr>
          <w:rFonts w:ascii="Times New Roman" w:cs="Times New Roman" w:eastAsia="Times New Roman" w:hAnsi="Times New Roman"/>
          <w:sz w:val="18"/>
          <w:szCs w:val="18"/>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Defaults and Remedies</w:t>
      </w:r>
      <w:r>
        <w:rPr>
          <w:rFonts w:ascii="Times New Roman" w:cs="Times New Roman" w:eastAsia="Times New Roman" w:hAnsi="Times New Roman"/>
          <w:sz w:val="18"/>
          <w:szCs w:val="18"/>
          <w:color w:val="auto"/>
        </w:rPr>
        <w:t>.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Authentication</w:t>
      </w:r>
      <w:r>
        <w:rPr>
          <w:rFonts w:ascii="Times New Roman" w:cs="Times New Roman" w:eastAsia="Times New Roman" w:hAnsi="Times New Roman"/>
          <w:sz w:val="18"/>
          <w:szCs w:val="18"/>
          <w:color w:val="auto"/>
        </w:rPr>
        <w:t>. This Note shall not be valid until authenticated by the manual signature of the Trustee or an authenticating agent.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Issuers shall furnish to any Holder upon written request and without charge a copy of the Indenture. Requests may be made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49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_____________________________________________________ agent to transfer this Note on the books of the Issuers.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 exactly as your name appears on the face of this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jc w:val="both"/>
        <w:ind w:left="170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29"/>
          <w:szCs w:val="29"/>
          <w:b w:val="1"/>
          <w:bCs w:val="1"/>
          <w:color w:val="auto"/>
          <w:vertAlign w:val="superscript"/>
        </w:rPr>
        <w:t>3</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original principal amount of this Global Note is $_________. The following increases or decreases in this Global Note have been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91"/>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1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signatory of</w:t>
            </w:r>
          </w:p>
        </w:tc>
      </w:tr>
      <w:tr>
        <w:trPr>
          <w:trHeight w:val="216"/>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Trustee or Note</w:t>
            </w: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1783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 ___________________, among Plains All American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(or its successor), a Delaware limited partnership (the “Partnership”), and U.S. Bank Trust Company, National Association, as trustee under the indenture referred to below (the “Trustee”).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Thirty-Fourth Supplemental Indenture (the “Thirty-Fourth Supplemental Indenture” and, together with the Original Indenture, the “Indenture”) dated as of January 15, 2025, among the Issuers and the Trustee, providing for the issuance of the Issuers’ 5.950% Senior Notes due 2035 (the “Notes”);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Section 5.05 of the Thirty-Fourth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76" w:lineRule="exact"/>
        <w:rPr>
          <w:sz w:val="20"/>
          <w:szCs w:val="20"/>
          <w:color w:val="auto"/>
        </w:rPr>
      </w:pPr>
    </w:p>
    <w:p>
      <w:pPr>
        <w:ind w:left="1480" w:hanging="176"/>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Capitalized terms used herein without definition shall have the meanings assigned to them in the Indenture.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80" w:lineRule="exact"/>
        <w:rPr>
          <w:sz w:val="20"/>
          <w:szCs w:val="20"/>
          <w:color w:val="auto"/>
        </w:rPr>
      </w:pPr>
    </w:p>
    <w:p>
      <w:pPr>
        <w:jc w:val="both"/>
        <w:ind w:right="20" w:firstLine="1296"/>
        <w:spacing w:after="0" w:line="277"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Agreement to Guarantee.</w:t>
      </w:r>
      <w:r>
        <w:rPr>
          <w:rFonts w:ascii="Times New Roman" w:cs="Times New Roman" w:eastAsia="Times New Roman" w:hAnsi="Times New Roman"/>
          <w:sz w:val="17"/>
          <w:szCs w:val="17"/>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Thirty-Fourth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firstLine="1296"/>
        <w:spacing w:after="0" w:line="317"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THIS SUPPLEMENTAL INDENTURE SHALL BE DEEMED TO BE A NEW YORK 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FOR ALL PURPOSES SHALL BE CONSTRUED IN ACCORDANCE WITH, THE LAWS OF THE STATE OF NEW YORK.</w:t>
      </w:r>
    </w:p>
    <w:p>
      <w:pPr>
        <w:spacing w:after="0" w:line="13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4573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to Plains All American Pipeline,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PAA Finance Corp., a Delaware corporation and wholly owned subsidiary of the Partnership (“</w:t>
      </w:r>
      <w:r>
        <w:rPr>
          <w:rFonts w:ascii="Times New Roman" w:cs="Times New Roman" w:eastAsia="Times New Roman" w:hAnsi="Times New Roman"/>
          <w:sz w:val="18"/>
          <w:szCs w:val="18"/>
          <w:b w:val="1"/>
          <w:bCs w:val="1"/>
          <w:color w:val="auto"/>
        </w:rPr>
        <w:t>PAA 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with respect to certain legal matters in connection with the registration by the Issuers,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and sale by the Issuers of $1 billion aggregate principal amount of 5.950% Senior Notes due 2035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 be issued and sold pursuant to the Underwriting Agreement dated January 13, 2025, by and among the Issuers and the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are being offered and sold pursuant to a prospectus supplement dated January 13,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Rule 424(b)(5) on January 14, 2025, to the prospectus dated September 6, 2024, (such prospectus, as amended and supplemented by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included in and forming part of the Registration Statement on Form S-3 (Registration No. 333-281967)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became automatically effective upon filing with the Commission on September 6, 2024. Capitalized terms used but not defined herein shall have the meanings given such terms in the Underwriting Agreement. This opinion is being furnished in connection with the requirements of Item 601(b)(5) of Regulation S-K under the Securities Act, and no opinion is expressed herein as to any matter pertaining to the contents of the Registration Statement or Prospectus, other than as expressly stated herein with respect to the issuance of the Notes.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Notes are to be issued as securities pursuant to that certain Indenture, dated as of September 25, 2002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among the Issuers and U.S. Bank Trust Company, National Association, as successor in interest,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Thirty-Fourth Supplemental Indenture thereto, to be dated as of January 15, 2025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by and among the Issuers and the Trustee (the Base Indenture, as so supplemented by the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Vinson &amp; Elkins LLP Attorneys at Law</w:t>
            </w:r>
          </w:p>
        </w:tc>
        <w:tc>
          <w:tcPr>
            <w:tcW w:w="6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845 Texas Avenue, Suite 4700</w:t>
            </w: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Austin Dallas Denver Dubai Dublin Houston London Los Angeles</w:t>
            </w:r>
          </w:p>
        </w:tc>
        <w:tc>
          <w:tcPr>
            <w:tcW w:w="6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New York Richmond San Francisco Tokyo Washington</w:t>
            </w:r>
          </w:p>
        </w:tc>
        <w:tc>
          <w:tcPr>
            <w:tcW w:w="6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+1.713.758.2222</w:t>
            </w:r>
            <w:r>
              <w:rPr>
                <w:rFonts w:ascii="Times New Roman" w:cs="Times New Roman" w:eastAsia="Times New Roman" w:hAnsi="Times New Roman"/>
                <w:sz w:val="18"/>
                <w:szCs w:val="18"/>
                <w:b w:val="1"/>
                <w:bCs w:val="1"/>
                <w:color w:val="auto"/>
              </w:rPr>
              <w:t xml:space="preserve"> Fax </w:t>
            </w:r>
            <w:r>
              <w:rPr>
                <w:rFonts w:ascii="Times New Roman" w:cs="Times New Roman" w:eastAsia="Times New Roman" w:hAnsi="Times New Roman"/>
                <w:sz w:val="18"/>
                <w:szCs w:val="18"/>
                <w:color w:val="auto"/>
              </w:rPr>
              <w:t>+1.713.758.2346 velaw.com</w:t>
            </w:r>
          </w:p>
        </w:tc>
      </w:tr>
      <w:tr>
        <w:trPr>
          <w:trHeight w:val="675"/>
        </w:trPr>
        <w:tc>
          <w:tcPr>
            <w:tcW w:w="52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92" w:name="page93"/>
    <w:bookmarkEnd w:id="92"/>
    <w:p>
      <w:pPr>
        <w:ind w:left="674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January 15, 2025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44577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5770" cy="1714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which is the general partner of the Partnership, of Plains AAP, L.P., a Delaware limited partnership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AAP</w:t>
      </w:r>
      <w:r>
        <w:rPr>
          <w:rFonts w:ascii="Times New Roman" w:cs="Times New Roman" w:eastAsia="Times New Roman" w:hAnsi="Times New Roman"/>
          <w:sz w:val="18"/>
          <w:szCs w:val="18"/>
          <w:color w:val="auto"/>
        </w:rPr>
        <w:t>”), which owns a 100% membership interest in the General Partner, of Plains All American GP LLC, a Delaware limited liability company (“</w:t>
      </w:r>
      <w:r>
        <w:rPr>
          <w:rFonts w:ascii="Times New Roman" w:cs="Times New Roman" w:eastAsia="Times New Roman" w:hAnsi="Times New Roman"/>
          <w:sz w:val="18"/>
          <w:szCs w:val="18"/>
          <w:b w:val="1"/>
          <w:bCs w:val="1"/>
          <w:color w:val="auto"/>
        </w:rPr>
        <w:t>GP LLC</w:t>
      </w:r>
      <w:r>
        <w:rPr>
          <w:rFonts w:ascii="Times New Roman" w:cs="Times New Roman" w:eastAsia="Times New Roman" w:hAnsi="Times New Roman"/>
          <w:sz w:val="18"/>
          <w:szCs w:val="18"/>
          <w:color w:val="auto"/>
        </w:rPr>
        <w:t>”), which is the general partner of Plains AAP, of Plains GP Holdings, L.P., a Delaware limited partnership (“</w:t>
      </w:r>
      <w:r>
        <w:rPr>
          <w:rFonts w:ascii="Times New Roman" w:cs="Times New Roman" w:eastAsia="Times New Roman" w:hAnsi="Times New Roman"/>
          <w:sz w:val="18"/>
          <w:szCs w:val="18"/>
          <w:b w:val="1"/>
          <w:bCs w:val="1"/>
          <w:color w:val="auto"/>
        </w:rPr>
        <w:t>PAGP</w:t>
      </w:r>
      <w:r>
        <w:rPr>
          <w:rFonts w:ascii="Times New Roman" w:cs="Times New Roman" w:eastAsia="Times New Roman" w:hAnsi="Times New Roman"/>
          <w:sz w:val="18"/>
          <w:szCs w:val="18"/>
          <w:color w:val="auto"/>
        </w:rPr>
        <w:t>”), which owns a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 in GP LLC, and of PAA GP Holdings, LLC, a Delaware limited liability company, which is the general partner of PAGP; (iv) the bylaws and certificate of incorporation of PAA Finance; (v) the Underwriting Agreement, a copy of which is being filed with the Commission, together with this Exhibit 5.1, as an exhibit to the Partnership’s Current Report on Form 8-K in connection with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and the assumptions, limitations and qualifications set forth herein, we are of the opinion that when</w:t>
      </w:r>
    </w:p>
    <w:p>
      <w:pPr>
        <w:spacing w:after="0" w:line="27" w:lineRule="exact"/>
        <w:rPr>
          <w:sz w:val="20"/>
          <w:szCs w:val="20"/>
          <w:color w:val="auto"/>
        </w:rPr>
      </w:pPr>
    </w:p>
    <w:p>
      <w:pPr>
        <w:jc w:val="both"/>
        <w:ind w:firstLine="8"/>
        <w:spacing w:after="0" w:line="253"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have been duly authorized by all necessary limited partnership or corporate action of the Issuers, as applicable, and will constitute valid and legally binding obligations of the Issuers, enforceable against the Issuers in accordance with their terms.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jc w:val="both"/>
        <w:ind w:firstLine="8"/>
        <w:spacing w:after="0" w:line="253" w:lineRule="auto"/>
        <w:tabs>
          <w:tab w:leader="none" w:pos="3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This opinion is limited in all respects to the laws of the State of New York, the Delaware General Corporation Law, the Delaware Revised Uniform Limited Partnership Act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3" w:name="page94"/>
    <w:bookmarkEnd w:id="93"/>
    <w:p>
      <w:pPr>
        <w:ind w:left="674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January 15, 2025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44577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5770" cy="1714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of the Partnership dated on or about the date hereof, and to the reference to our Firm under the heading “Legal Matters” in the Registration Statement,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5"/>
    </w:lvl>
  </w:abstractNum>
  <w:abstractNum w:abstractNumId="5">
    <w:nsid w:val="12200854"/>
    <w:multiLevelType w:val="hybridMultilevel"/>
    <w:lvl w:ilvl="0">
      <w:lvlJc w:val="left"/>
      <w:lvlText w:val="(%1)"/>
      <w:numFmt w:val="lowerRoman"/>
      <w:start w:val="6"/>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2025-01-15T15:40:58Z</dcterms:created>
  <dcterms:modified xsi:type="dcterms:W3CDTF">2025-01-15T15:40:58Z</dcterms:modified>
</cp:coreProperties>
</file>