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-648335</wp:posOffset>
            </wp:positionV>
            <wp:extent cx="59055" cy="6616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4137660</wp:posOffset>
            </wp:positionH>
            <wp:positionV relativeFrom="paragraph">
              <wp:posOffset>-648335</wp:posOffset>
            </wp:positionV>
            <wp:extent cx="59055" cy="6616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49733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3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ST.,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7" w:right="660" w:hanging="7"/>
        <w:spacing w:after="0" w:line="254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Executive. VP &amp; CFO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3" w:space="720"/>
            <w:col w:w="3467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8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Shares representing limited partner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433,620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1,351,839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433,620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433,620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shares/GP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Units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8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Pursuant to the limited partnership agreement of Plains AAP, L.P. ("AAP"), a holder of Class A Units of AAP (the "Class A Units") and Class B shares (the "Class B shares") of Plains GP Holdings, L.P. (the "Issuer"), has the right at any time (without expiration) to exchange its Class A Units, together with a like number of associated Class B shares and GP Units in PAA GP Holdings LLC, for an equal number of Class A shares of the Issuer (the "Class A shares"). On 5/26/2017, the Reporting Person elected to exchange 433,620 Class A Units, Class B shares and GP Units for 433,620 Class A shares.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Al Swanson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05/26/2017</w:t>
            </w: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2020-01-16T02:54:16Z</dcterms:created>
  <dcterms:modified xsi:type="dcterms:W3CDTF">2020-01-16T02:54:16Z</dcterms:modified>
</cp:coreProperties>
</file>