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18">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333-207140</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144145</wp:posOffset>
            </wp:positionV>
            <wp:extent cx="195516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Plains All American Pipeline, L.P.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Units Representing Limited Partner Interests Having an Aggregate</w:t>
      </w:r>
    </w:p>
    <w:p>
      <w:pPr>
        <w:jc w:val="center"/>
        <w:spacing w:after="0"/>
        <w:rPr>
          <w:sz w:val="20"/>
          <w:szCs w:val="20"/>
          <w:color w:val="auto"/>
        </w:rPr>
      </w:pPr>
      <w:r>
        <w:rPr>
          <w:rFonts w:ascii="Times New Roman" w:cs="Times New Roman" w:eastAsia="Times New Roman" w:hAnsi="Times New Roman"/>
          <w:sz w:val="22"/>
          <w:szCs w:val="22"/>
          <w:b w:val="1"/>
          <w:bCs w:val="1"/>
          <w:color w:val="auto"/>
        </w:rPr>
        <w:t>Offering Price of Up to $750,000,000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right="200" w:firstLine="392"/>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relate to the issuance and sale from time to time of common units representing limited partner interests in Plains All American Pipeline, L.P. having an aggregate offering price of up to $750,000,000 through one or more of our sales agents. These sales, if any, will be made pursuant to the terms of the equity distribution agreement dated November 30, 2016 between us and the sales agents, which will be filed as an exhibit to a Current Report on Form 8-K that we will file with the Securities and Exchange Commission.</w:t>
      </w:r>
    </w:p>
    <w:p>
      <w:pPr>
        <w:spacing w:after="0" w:line="190" w:lineRule="exact"/>
        <w:rPr>
          <w:sz w:val="24"/>
          <w:szCs w:val="24"/>
          <w:color w:val="auto"/>
        </w:rPr>
      </w:pPr>
    </w:p>
    <w:p>
      <w:pPr>
        <w:ind w:right="120" w:firstLine="395"/>
        <w:spacing w:after="0" w:line="262" w:lineRule="auto"/>
        <w:rPr>
          <w:sz w:val="20"/>
          <w:szCs w:val="20"/>
          <w:color w:val="auto"/>
        </w:rPr>
      </w:pPr>
      <w:r>
        <w:rPr>
          <w:rFonts w:ascii="Times New Roman" w:cs="Times New Roman" w:eastAsia="Times New Roman" w:hAnsi="Times New Roman"/>
          <w:sz w:val="18"/>
          <w:szCs w:val="18"/>
          <w:color w:val="auto"/>
        </w:rPr>
        <w:t>Under the terms of the equity distribution agreement, we also may sell common units to any sales agent as principal for its own account at a price agreed upon at the time of the sale. If we sell common units to any such sales agent as principal, we will enter into a separate terms agreement with such sales agent and we will describe that agreement in a separate prospectus supplement or pricing supplement.</w:t>
      </w:r>
    </w:p>
    <w:p>
      <w:pPr>
        <w:spacing w:after="0" w:line="186" w:lineRule="exact"/>
        <w:rPr>
          <w:sz w:val="24"/>
          <w:szCs w:val="24"/>
          <w:color w:val="auto"/>
        </w:rPr>
      </w:pPr>
    </w:p>
    <w:p>
      <w:pPr>
        <w:ind w:right="20" w:firstLine="395"/>
        <w:spacing w:after="0" w:line="310" w:lineRule="auto"/>
        <w:rPr>
          <w:sz w:val="20"/>
          <w:szCs w:val="20"/>
          <w:color w:val="auto"/>
        </w:rPr>
      </w:pPr>
      <w:r>
        <w:rPr>
          <w:rFonts w:ascii="Times New Roman" w:cs="Times New Roman" w:eastAsia="Times New Roman" w:hAnsi="Times New Roman"/>
          <w:sz w:val="16"/>
          <w:szCs w:val="16"/>
          <w:color w:val="auto"/>
        </w:rPr>
        <w:t>Our common units trade on the New York Stock Exchange (the "NYSE") under the symbol "PAA." On November 29, 2016, the last reported sale price of our common units on the NYSE was $29.66 per unit. Sales of common units under this prospectus supplement, if any, will be made by means of ordinary brokers' transactions through the facilities of the NYSE at market prices, in block transactions or as otherwise agreed between us and one or more of the sales agents.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105410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both"/>
        <w:ind w:right="200" w:firstLine="395"/>
        <w:spacing w:after="0" w:line="264" w:lineRule="auto"/>
        <w:rPr>
          <w:sz w:val="20"/>
          <w:szCs w:val="20"/>
          <w:color w:val="auto"/>
        </w:rPr>
      </w:pPr>
      <w:r>
        <w:rPr>
          <w:rFonts w:ascii="Times New Roman" w:cs="Times New Roman" w:eastAsia="Times New Roman" w:hAnsi="Times New Roman"/>
          <w:sz w:val="18"/>
          <w:szCs w:val="18"/>
          <w:b w:val="1"/>
          <w:bCs w:val="1"/>
          <w:color w:val="auto"/>
        </w:rPr>
        <w:t>Investing in our common units involves risks. Limited partnerships are inherently different from corporations. You should carefully consider the risks relating to investing in our common units and each of the risk factors described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on page S-4 of this prospectus supplement before you make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125730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firstLine="392"/>
        <w:spacing w:after="0" w:line="262" w:lineRule="auto"/>
        <w:rPr>
          <w:sz w:val="20"/>
          <w:szCs w:val="20"/>
          <w:color w:val="auto"/>
        </w:rPr>
      </w:pPr>
      <w:r>
        <w:rPr>
          <w:rFonts w:ascii="Times New Roman" w:cs="Times New Roman" w:eastAsia="Times New Roman" w:hAnsi="Times New Roman"/>
          <w:sz w:val="18"/>
          <w:szCs w:val="18"/>
          <w:color w:val="auto"/>
        </w:rPr>
        <w:t>The compensation of the sales agents for sales of units shall be at a fixed commission rate of up to 2.0% of the gross sales price per common unit, depending upon the number of common units sold. The net proceeds from any sales under this prospectus supplement will be used as described under "Use of Proceeds" in this prospectus supplement.</w:t>
      </w:r>
    </w:p>
    <w:p>
      <w:pPr>
        <w:spacing w:after="0" w:line="186" w:lineRule="exact"/>
        <w:rPr>
          <w:sz w:val="24"/>
          <w:szCs w:val="24"/>
          <w:color w:val="auto"/>
        </w:rPr>
      </w:pPr>
    </w:p>
    <w:p>
      <w:pPr>
        <w:ind w:right="340" w:firstLine="395"/>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19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5"/>
              </w:rPr>
              <w:t>Wells Fargo Securities</w:t>
            </w: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Barclays</w:t>
            </w:r>
          </w:p>
        </w:tc>
        <w:tc>
          <w:tcPr>
            <w:tcW w:w="2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BB&amp;T Capital Markets</w:t>
            </w:r>
          </w:p>
        </w:tc>
        <w:tc>
          <w:tcPr>
            <w:tcW w:w="200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BMO Capital Markets</w:t>
            </w:r>
          </w:p>
        </w:tc>
      </w:tr>
      <w:tr>
        <w:trPr>
          <w:trHeight w:val="216"/>
        </w:trPr>
        <w:tc>
          <w:tcPr>
            <w:tcW w:w="19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5"/>
              </w:rPr>
              <w:t>BNP PARIBAS</w:t>
            </w: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Citigroup</w:t>
            </w:r>
          </w:p>
        </w:tc>
        <w:tc>
          <w:tcPr>
            <w:tcW w:w="2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Deutsche Bank Securities</w:t>
            </w:r>
          </w:p>
        </w:tc>
        <w:tc>
          <w:tcPr>
            <w:tcW w:w="200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DNB Markets</w:t>
            </w:r>
          </w:p>
        </w:tc>
      </w:tr>
      <w:tr>
        <w:trPr>
          <w:trHeight w:val="216"/>
        </w:trPr>
        <w:tc>
          <w:tcPr>
            <w:tcW w:w="19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6"/>
              </w:rPr>
              <w:t>Fifth Third Securities</w:t>
            </w: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4"/>
              </w:rPr>
              <w:t>J.P. Morgan</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Jefferies</w:t>
            </w:r>
          </w:p>
        </w:tc>
        <w:tc>
          <w:tcPr>
            <w:tcW w:w="200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BofA Merrill Lynch</w:t>
            </w:r>
          </w:p>
        </w:tc>
      </w:tr>
      <w:tr>
        <w:trPr>
          <w:trHeight w:val="216"/>
        </w:trPr>
        <w:tc>
          <w:tcPr>
            <w:tcW w:w="19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8"/>
              </w:rPr>
              <w:t>MUFG</w:t>
            </w: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Mizuho Securities</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Morgan Stanley</w:t>
            </w:r>
          </w:p>
        </w:tc>
        <w:tc>
          <w:tcPr>
            <w:tcW w:w="200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7"/>
              </w:rPr>
              <w:t>Raymond James</w:t>
            </w:r>
          </w:p>
        </w:tc>
      </w:tr>
      <w:tr>
        <w:trPr>
          <w:trHeight w:val="230"/>
        </w:trPr>
        <w:tc>
          <w:tcPr>
            <w:tcW w:w="19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6"/>
              </w:rPr>
              <w:t>Scotia Howard Weil</w:t>
            </w: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SMBC Nikko</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SunTrust Robinson Humphrey</w:t>
            </w:r>
          </w:p>
        </w:tc>
        <w:tc>
          <w:tcPr>
            <w:tcW w:w="200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UBS Investment Bank</w:t>
            </w:r>
          </w:p>
        </w:tc>
      </w:tr>
      <w:tr>
        <w:trPr>
          <w:trHeight w:val="218"/>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0" w:lineRule="exact"/>
        <w:rPr>
          <w:sz w:val="24"/>
          <w:szCs w:val="24"/>
          <w:color w:val="auto"/>
        </w:rPr>
      </w:pPr>
    </w:p>
    <w:p>
      <w:pPr>
        <w:sectPr>
          <w:pgSz w:w="11900" w:h="16838" w:orient="portrait"/>
          <w:cols w:equalWidth="0" w:num="1">
            <w:col w:w="11420"/>
          </w:cols>
          <w:pgMar w:left="240" w:top="679" w:right="239" w:bottom="1440" w:gutter="0" w:footer="0" w:header="0"/>
        </w:sectPr>
      </w:pP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November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167005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516255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85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6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8"/>
        </w:trPr>
        <w:tc>
          <w:tcPr>
            <w:tcW w:w="8520" w:type="dxa"/>
            <w:vAlign w:val="bottom"/>
            <w:gridSpan w:val="16"/>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52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Important Notice About Information in this Prospectus Supplement and the Accompanying Base Prospectus</w:t>
              </w:r>
            </w:hyperlink>
          </w:p>
        </w:tc>
        <w:tc>
          <w:tcPr>
            <w:tcW w:w="120" w:type="dxa"/>
            <w:vAlign w:val="bottom"/>
          </w:tcPr>
          <w:p>
            <w:pPr>
              <w:spacing w:after="0"/>
              <w:rPr>
                <w:sz w:val="24"/>
                <w:szCs w:val="24"/>
                <w:color w:val="auto"/>
              </w:rPr>
            </w:pPr>
          </w:p>
        </w:tc>
        <w:tc>
          <w:tcPr>
            <w:tcW w:w="340" w:type="dxa"/>
            <w:vAlign w:val="bottom"/>
            <w:gridSpan w:val="4"/>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Forward-Looking Statements</w:t>
              </w:r>
            </w:hyperlink>
          </w:p>
        </w:tc>
        <w:tc>
          <w:tcPr>
            <w:tcW w:w="5520" w:type="dxa"/>
            <w:vAlign w:val="bottom"/>
            <w:tcBorders>
              <w:top w:val="single" w:sz="8" w:color="0000EE"/>
            </w:tcBorders>
            <w:gridSpan w:val="7"/>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2"/>
              </w:rPr>
            </w:pPr>
            <w:hyperlink w:anchor="page3">
              <w:r>
                <w:rPr>
                  <w:rFonts w:ascii="Times New Roman" w:cs="Times New Roman" w:eastAsia="Times New Roman" w:hAnsi="Times New Roman"/>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Prospectus Supplement Summary</w:t>
              </w:r>
            </w:hyperlink>
          </w:p>
        </w:tc>
        <w:tc>
          <w:tcPr>
            <w:tcW w:w="61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71"/>
              </w:rPr>
            </w:pPr>
            <w:hyperlink w:anchor="page6">
              <w:r>
                <w:rPr>
                  <w:rFonts w:ascii="Times New Roman" w:cs="Times New Roman" w:eastAsia="Times New Roman" w:hAnsi="Times New Roman"/>
                  <w:sz w:val="16"/>
                  <w:szCs w:val="16"/>
                  <w:color w:val="0000EE"/>
                  <w:w w:val="71"/>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Risk Factors</w:t>
              </w:r>
            </w:hyperlink>
          </w:p>
        </w:tc>
        <w:tc>
          <w:tcPr>
            <w:tcW w:w="762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71"/>
              </w:rPr>
            </w:pPr>
            <w:hyperlink w:anchor="page9">
              <w:r>
                <w:rPr>
                  <w:rFonts w:ascii="Times New Roman" w:cs="Times New Roman" w:eastAsia="Times New Roman" w:hAnsi="Times New Roman"/>
                  <w:sz w:val="16"/>
                  <w:szCs w:val="16"/>
                  <w:color w:val="0000EE"/>
                  <w:w w:val="71"/>
                </w:rPr>
                <w:t>S-4</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Use of Proceeds</w:t>
              </w:r>
            </w:hyperlink>
          </w:p>
        </w:tc>
        <w:tc>
          <w:tcPr>
            <w:tcW w:w="736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71"/>
              </w:rPr>
            </w:pPr>
            <w:hyperlink w:anchor="page10">
              <w:r>
                <w:rPr>
                  <w:rFonts w:ascii="Times New Roman" w:cs="Times New Roman" w:eastAsia="Times New Roman" w:hAnsi="Times New Roman"/>
                  <w:sz w:val="16"/>
                  <w:szCs w:val="16"/>
                  <w:color w:val="0000EE"/>
                  <w:w w:val="71"/>
                </w:rPr>
                <w:t>S-5</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Material U.S. Federal Income Tax Consequences</w:t>
              </w:r>
            </w:hyperlink>
          </w:p>
        </w:tc>
        <w:tc>
          <w:tcPr>
            <w:tcW w:w="50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71"/>
              </w:rPr>
            </w:pPr>
            <w:hyperlink w:anchor="page11">
              <w:r>
                <w:rPr>
                  <w:rFonts w:ascii="Times New Roman" w:cs="Times New Roman" w:eastAsia="Times New Roman" w:hAnsi="Times New Roman"/>
                  <w:sz w:val="16"/>
                  <w:szCs w:val="16"/>
                  <w:color w:val="0000EE"/>
                  <w:w w:val="71"/>
                </w:rPr>
                <w:t>S-6</w:t>
              </w:r>
            </w:hyperlink>
          </w:p>
        </w:tc>
        <w:tc>
          <w:tcPr>
            <w:tcW w:w="0" w:type="dxa"/>
            <w:vAlign w:val="bottom"/>
          </w:tcPr>
          <w:p>
            <w:pPr>
              <w:spacing w:after="0"/>
              <w:rPr>
                <w:sz w:val="1"/>
                <w:szCs w:val="1"/>
                <w:color w:val="auto"/>
              </w:rPr>
            </w:pPr>
          </w:p>
        </w:tc>
      </w:tr>
      <w:tr>
        <w:trPr>
          <w:trHeight w:val="196"/>
        </w:trPr>
        <w:tc>
          <w:tcPr>
            <w:tcW w:w="8520" w:type="dxa"/>
            <w:vAlign w:val="bottom"/>
            <w:gridSpan w:val="1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Plan of Distribution</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rFonts w:ascii="Times New Roman" w:cs="Times New Roman" w:eastAsia="Times New Roman" w:hAnsi="Times New Roman"/>
                <w:sz w:val="16"/>
                <w:szCs w:val="16"/>
                <w:color w:val="0000EE"/>
                <w:w w:val="71"/>
              </w:rPr>
            </w:pPr>
            <w:hyperlink w:anchor="page13">
              <w:r>
                <w:rPr>
                  <w:rFonts w:ascii="Times New Roman" w:cs="Times New Roman" w:eastAsia="Times New Roman" w:hAnsi="Times New Roman"/>
                  <w:sz w:val="16"/>
                  <w:szCs w:val="16"/>
                  <w:color w:val="0000EE"/>
                  <w:w w:val="71"/>
                </w:rPr>
                <w:t>S-8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Legal Matters</w:t>
              </w:r>
            </w:hyperlink>
          </w:p>
        </w:tc>
        <w:tc>
          <w:tcPr>
            <w:tcW w:w="712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w w:val="93"/>
              </w:rPr>
            </w:pPr>
            <w:hyperlink w:anchor="page15">
              <w:r>
                <w:rPr>
                  <w:rFonts w:ascii="Times New Roman" w:cs="Times New Roman" w:eastAsia="Times New Roman" w:hAnsi="Times New Roman"/>
                  <w:sz w:val="18"/>
                  <w:szCs w:val="18"/>
                  <w:color w:val="0000EE"/>
                  <w:w w:val="93"/>
                </w:rPr>
                <w:t>S-10</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Experts</w:t>
              </w:r>
            </w:hyperlink>
          </w:p>
        </w:tc>
        <w:tc>
          <w:tcPr>
            <w:tcW w:w="75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15">
              <w:r>
                <w:rPr>
                  <w:rFonts w:ascii="Times New Roman" w:cs="Times New Roman" w:eastAsia="Times New Roman" w:hAnsi="Times New Roman"/>
                  <w:sz w:val="18"/>
                  <w:szCs w:val="18"/>
                  <w:color w:val="0000EE"/>
                  <w:w w:val="93"/>
                </w:rPr>
                <w:t>S-10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6"/>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w w:val="93"/>
              </w:rPr>
            </w:pPr>
            <w:hyperlink w:anchor="page15">
              <w:r>
                <w:rPr>
                  <w:rFonts w:ascii="Times New Roman" w:cs="Times New Roman" w:eastAsia="Times New Roman" w:hAnsi="Times New Roman"/>
                  <w:sz w:val="18"/>
                  <w:szCs w:val="18"/>
                  <w:color w:val="0000EE"/>
                  <w:w w:val="93"/>
                </w:rPr>
                <w:t>S-10</w:t>
              </w:r>
            </w:hyperlink>
          </w:p>
        </w:tc>
        <w:tc>
          <w:tcPr>
            <w:tcW w:w="0" w:type="dxa"/>
            <w:vAlign w:val="bottom"/>
          </w:tcPr>
          <w:p>
            <w:pPr>
              <w:spacing w:after="0"/>
              <w:rPr>
                <w:sz w:val="1"/>
                <w:szCs w:val="1"/>
                <w:color w:val="auto"/>
              </w:rPr>
            </w:pPr>
          </w:p>
        </w:tc>
      </w:tr>
      <w:tr>
        <w:trPr>
          <w:trHeight w:val="451"/>
        </w:trPr>
        <w:tc>
          <w:tcPr>
            <w:tcW w:w="28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7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520" w:type="dxa"/>
            <w:vAlign w:val="bottom"/>
            <w:gridSpan w:val="16"/>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About This Prospectus</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w:t>
              </w:r>
            </w:hyperlink>
          </w:p>
        </w:tc>
        <w:tc>
          <w:tcPr>
            <w:tcW w:w="0" w:type="dxa"/>
            <w:vAlign w:val="bottom"/>
          </w:tcPr>
          <w:p>
            <w:pPr>
              <w:spacing w:after="0"/>
              <w:rPr>
                <w:sz w:val="1"/>
                <w:szCs w:val="1"/>
                <w:color w:val="auto"/>
              </w:rPr>
            </w:pPr>
          </w:p>
        </w:tc>
      </w:tr>
      <w:tr>
        <w:trPr>
          <w:trHeight w:val="20"/>
        </w:trPr>
        <w:tc>
          <w:tcPr>
            <w:tcW w:w="160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6"/>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Where You Can Find More Information</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57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ii</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12"/>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About Plains All American Pipeline, L.P.</w:t>
              </w:r>
            </w:hyperlink>
          </w:p>
        </w:tc>
        <w:tc>
          <w:tcPr>
            <w:tcW w:w="5580" w:type="dxa"/>
            <w:vAlign w:val="bottom"/>
            <w:gridSpan w:val="4"/>
          </w:tcPr>
          <w:p>
            <w:pPr>
              <w:spacing w:after="0"/>
              <w:rPr>
                <w:sz w:val="17"/>
                <w:szCs w:val="17"/>
                <w:color w:val="auto"/>
              </w:rPr>
            </w:pPr>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Risk Factors</w:t>
              </w:r>
            </w:hyperlink>
          </w:p>
        </w:tc>
        <w:tc>
          <w:tcPr>
            <w:tcW w:w="2040" w:type="dxa"/>
            <w:vAlign w:val="bottom"/>
            <w:gridSpan w:val="10"/>
          </w:tcPr>
          <w:p>
            <w:pPr>
              <w:spacing w:after="0"/>
              <w:rPr>
                <w:sz w:val="17"/>
                <w:szCs w:val="17"/>
                <w:color w:val="auto"/>
              </w:rPr>
            </w:pPr>
          </w:p>
        </w:tc>
        <w:tc>
          <w:tcPr>
            <w:tcW w:w="5580" w:type="dxa"/>
            <w:vAlign w:val="bottom"/>
            <w:gridSpan w:val="4"/>
          </w:tcPr>
          <w:p>
            <w:pPr>
              <w:spacing w:after="0"/>
              <w:rPr>
                <w:sz w:val="17"/>
                <w:szCs w:val="17"/>
                <w:color w:val="auto"/>
              </w:rPr>
            </w:pPr>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Use of Proceeds</w:t>
              </w:r>
            </w:hyperlink>
          </w:p>
        </w:tc>
        <w:tc>
          <w:tcPr>
            <w:tcW w:w="7360" w:type="dxa"/>
            <w:vAlign w:val="bottom"/>
            <w:gridSpan w:val="12"/>
          </w:tcPr>
          <w:p>
            <w:pPr>
              <w:spacing w:after="0"/>
              <w:rPr>
                <w:sz w:val="17"/>
                <w:szCs w:val="17"/>
                <w:color w:val="auto"/>
              </w:rPr>
            </w:pPr>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6"/>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Ratio of Earnings to Fixed Charges</w:t>
              </w:r>
            </w:hyperlink>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0"/>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Description of Our Debt Securities</w:t>
              </w:r>
            </w:hyperlink>
          </w:p>
        </w:tc>
        <w:tc>
          <w:tcPr>
            <w:tcW w:w="6060" w:type="dxa"/>
            <w:vAlign w:val="bottom"/>
            <w:gridSpan w:val="6"/>
          </w:tcPr>
          <w:p>
            <w:pPr>
              <w:spacing w:after="0"/>
              <w:rPr>
                <w:sz w:val="17"/>
                <w:szCs w:val="17"/>
                <w:color w:val="auto"/>
              </w:rPr>
            </w:pPr>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36">
              <w:r>
                <w:rPr>
                  <w:rFonts w:ascii="Times New Roman" w:cs="Times New Roman" w:eastAsia="Times New Roman" w:hAnsi="Times New Roman"/>
                  <w:sz w:val="18"/>
                  <w:szCs w:val="18"/>
                  <w:color w:val="0000EE"/>
                  <w:w w:val="96"/>
                </w:rPr>
                <w:t>Description of Our Common Units</w:t>
              </w:r>
            </w:hyperlink>
          </w:p>
        </w:tc>
        <w:tc>
          <w:tcPr>
            <w:tcW w:w="6060" w:type="dxa"/>
            <w:vAlign w:val="bottom"/>
            <w:gridSpan w:val="6"/>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15</w:t>
              </w:r>
            </w:hyperlink>
          </w:p>
        </w:tc>
        <w:tc>
          <w:tcPr>
            <w:tcW w:w="0" w:type="dxa"/>
            <w:vAlign w:val="bottom"/>
          </w:tcPr>
          <w:p>
            <w:pPr>
              <w:spacing w:after="0"/>
              <w:rPr>
                <w:sz w:val="1"/>
                <w:szCs w:val="1"/>
                <w:color w:val="auto"/>
              </w:rPr>
            </w:pPr>
          </w:p>
        </w:tc>
      </w:tr>
      <w:tr>
        <w:trPr>
          <w:trHeight w:val="196"/>
        </w:trPr>
        <w:tc>
          <w:tcPr>
            <w:tcW w:w="8520" w:type="dxa"/>
            <w:vAlign w:val="bottom"/>
            <w:gridSpan w:val="16"/>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Cash Distribution Policy</w:t>
              </w:r>
            </w:hyperlink>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17</w:t>
              </w:r>
            </w:hyperlink>
          </w:p>
        </w:tc>
        <w:tc>
          <w:tcPr>
            <w:tcW w:w="0" w:type="dxa"/>
            <w:vAlign w:val="bottom"/>
          </w:tcPr>
          <w:p>
            <w:pPr>
              <w:spacing w:after="0"/>
              <w:rPr>
                <w:sz w:val="1"/>
                <w:szCs w:val="1"/>
                <w:color w:val="auto"/>
              </w:rPr>
            </w:pPr>
          </w:p>
        </w:tc>
      </w:tr>
      <w:tr>
        <w:trPr>
          <w:trHeight w:val="20"/>
        </w:trPr>
        <w:tc>
          <w:tcPr>
            <w:tcW w:w="1740" w:type="dxa"/>
            <w:vAlign w:val="bottom"/>
            <w:gridSpan w:val="7"/>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6"/>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Description of Our Partnership Agreement</w:t>
              </w:r>
            </w:hyperlink>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20"/>
        </w:trPr>
        <w:tc>
          <w:tcPr>
            <w:tcW w:w="3000" w:type="dxa"/>
            <w:vAlign w:val="bottom"/>
            <w:gridSpan w:val="13"/>
            <w:shd w:val="clear" w:color="auto" w:fill="0000EE"/>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Material U.S. Federal Income Tax Consequences</w:t>
              </w:r>
            </w:hyperlink>
          </w:p>
        </w:tc>
        <w:tc>
          <w:tcPr>
            <w:tcW w:w="5060" w:type="dxa"/>
            <w:vAlign w:val="bottom"/>
            <w:gridSpan w:val="2"/>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24</w:t>
              </w:r>
            </w:hyperlink>
          </w:p>
        </w:tc>
        <w:tc>
          <w:tcPr>
            <w:tcW w:w="0" w:type="dxa"/>
            <w:vAlign w:val="bottom"/>
          </w:tcPr>
          <w:p>
            <w:pPr>
              <w:spacing w:after="0"/>
              <w:rPr>
                <w:sz w:val="1"/>
                <w:szCs w:val="1"/>
                <w:color w:val="auto"/>
              </w:rPr>
            </w:pPr>
          </w:p>
        </w:tc>
      </w:tr>
      <w:tr>
        <w:trPr>
          <w:trHeight w:val="196"/>
        </w:trPr>
        <w:tc>
          <w:tcPr>
            <w:tcW w:w="8520" w:type="dxa"/>
            <w:vAlign w:val="bottom"/>
            <w:gridSpan w:val="16"/>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Plan of Distribution</w:t>
              </w:r>
            </w:hyperlink>
          </w:p>
        </w:tc>
        <w:tc>
          <w:tcPr>
            <w:tcW w:w="4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38</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Legal Matters</w:t>
              </w:r>
            </w:hyperlink>
          </w:p>
        </w:tc>
        <w:tc>
          <w:tcPr>
            <w:tcW w:w="7120" w:type="dxa"/>
            <w:vAlign w:val="bottom"/>
            <w:gridSpan w:val="11"/>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1">
              <w:r>
                <w:rPr>
                  <w:rFonts w:ascii="Times New Roman" w:cs="Times New Roman" w:eastAsia="Times New Roman" w:hAnsi="Times New Roman"/>
                  <w:sz w:val="18"/>
                  <w:szCs w:val="18"/>
                  <w:color w:val="0000EE"/>
                  <w:w w:val="88"/>
                </w:rPr>
                <w:t>40</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Experts</w:t>
              </w:r>
            </w:hyperlink>
          </w:p>
        </w:tc>
        <w:tc>
          <w:tcPr>
            <w:tcW w:w="7540" w:type="dxa"/>
            <w:vAlign w:val="bottom"/>
            <w:gridSpan w:val="13"/>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2">
              <w:r>
                <w:rPr>
                  <w:rFonts w:ascii="Times New Roman" w:cs="Times New Roman" w:eastAsia="Times New Roman" w:hAnsi="Times New Roman"/>
                  <w:sz w:val="18"/>
                  <w:szCs w:val="18"/>
                  <w:color w:val="0000EE"/>
                  <w:w w:val="88"/>
                </w:rPr>
                <w:t>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IMPORTANT NOTICE ABOUT INFORMATION IN THIS PROSPECTUS SUPPLEMENT AND THE ACCOMPANYING BASE PROSPECTUS</w:t>
      </w:r>
    </w:p>
    <w:p>
      <w:pPr>
        <w:spacing w:after="0" w:line="250"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common units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93"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contain and incorporate by reference information that you should consider when making your investment decision. Neither we nor any of the sales agents or their affiliates and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are not making an offer to sell our common units in any jurisdiction where the offer is not permitted.</w:t>
      </w:r>
    </w:p>
    <w:p>
      <w:pPr>
        <w:spacing w:after="0" w:line="22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86"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None of Plains All American Pipeline, L.P., the sales agents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80" w:firstLine="341"/>
        <w:spacing w:after="0" w:line="254" w:lineRule="auto"/>
        <w:rPr>
          <w:sz w:val="20"/>
          <w:szCs w:val="20"/>
          <w:color w:val="auto"/>
        </w:rPr>
      </w:pPr>
      <w:r>
        <w:rPr>
          <w:rFonts w:ascii="Times New Roman" w:cs="Times New Roman" w:eastAsia="Times New Roman" w:hAnsi="Times New Roman"/>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9" w:lineRule="exact"/>
        <w:rPr>
          <w:sz w:val="20"/>
          <w:szCs w:val="20"/>
          <w:color w:val="auto"/>
        </w:rPr>
      </w:pPr>
    </w:p>
    <w:p>
      <w:pPr>
        <w:ind w:left="1080" w:right="60" w:hanging="532"/>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natural gas liquids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expansion projects;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38"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38" w:lineRule="exact"/>
        <w:rPr>
          <w:rFonts w:ascii="Times New Roman" w:cs="Times New Roman" w:eastAsia="Times New Roman" w:hAnsi="Times New Roman"/>
          <w:sz w:val="18"/>
          <w:szCs w:val="18"/>
          <w:color w:val="auto"/>
        </w:rPr>
      </w:pPr>
    </w:p>
    <w:p>
      <w:pPr>
        <w:ind w:left="1080" w:right="280" w:hanging="532"/>
        <w:spacing w:after="0" w:line="339" w:lineRule="auto"/>
        <w:tabs>
          <w:tab w:leader="none" w:pos="10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including our ability to satisfy our contractual obligations to our customers;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200"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NGLs.</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Other factors described or incorporated by reference herein, as well as factors that are unknown or unpredictable, could also have a material adverse effect on future results. Please read "Risk Factors" on page S-4 of this prospectus supplement and in Item 1A. "Risk Factors" in our Annual Report on Form 10-K for the fiscal year ended December 31, 2015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675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ind w:left="240"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included or incorporated by reference in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common units. Please read "Risk Factors" on page S-4 of this prospectus supplement and in our Annual Report on Form 10-K for the fiscal year ended December 31, 2015, which is incorporated by reference herein, for information regarding risks you should consider before investing in our common units.</w:t>
      </w:r>
    </w:p>
    <w:p>
      <w:pPr>
        <w:spacing w:after="0" w:line="193" w:lineRule="exact"/>
        <w:rPr>
          <w:sz w:val="20"/>
          <w:szCs w:val="20"/>
          <w:color w:val="auto"/>
        </w:rPr>
      </w:pPr>
    </w:p>
    <w:p>
      <w:pPr>
        <w:ind w:left="240" w:right="10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For purposes of this prospectus supplement and the accompanying base prospectus,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not to any of its subsidiaries. References to our "general partner," as the context requires, include any or all of PAA GP LLC, Plains AAP, L.P., Plains All American GP LLC, Plains GP Holdings, L.P. and PAA GP Holdings LLC.</w:t>
      </w: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7" w:lineRule="exact"/>
        <w:rPr>
          <w:sz w:val="20"/>
          <w:szCs w:val="20"/>
          <w:color w:val="auto"/>
        </w:rPr>
      </w:pPr>
    </w:p>
    <w:p>
      <w:pPr>
        <w:ind w:left="240" w:right="340" w:firstLine="348"/>
        <w:spacing w:after="0" w:line="339" w:lineRule="auto"/>
        <w:rPr>
          <w:sz w:val="20"/>
          <w:szCs w:val="20"/>
          <w:color w:val="auto"/>
        </w:rPr>
      </w:pPr>
      <w:r>
        <w:rPr>
          <w:rFonts w:ascii="Times New Roman" w:cs="Times New Roman" w:eastAsia="Times New Roman" w:hAnsi="Times New Roman"/>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NGLs, natural gas and refined products.</w:t>
      </w:r>
    </w:p>
    <w:p>
      <w:pPr>
        <w:spacing w:after="0" w:line="128" w:lineRule="exact"/>
        <w:rPr>
          <w:sz w:val="20"/>
          <w:szCs w:val="20"/>
          <w:color w:val="auto"/>
        </w:rPr>
      </w:pPr>
    </w:p>
    <w:p>
      <w:pPr>
        <w:ind w:left="240" w:firstLine="348"/>
        <w:spacing w:after="0" w:line="262" w:lineRule="auto"/>
        <w:rPr>
          <w:sz w:val="20"/>
          <w:szCs w:val="20"/>
          <w:color w:val="auto"/>
        </w:rPr>
      </w:pPr>
      <w:r>
        <w:rPr>
          <w:rFonts w:ascii="Times New Roman" w:cs="Times New Roman" w:eastAsia="Times New Roman" w:hAnsi="Times New Roman"/>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Ongoing Acquisition and Investment Activities</w:t>
      </w:r>
    </w:p>
    <w:p>
      <w:pPr>
        <w:spacing w:after="0" w:line="227" w:lineRule="exact"/>
        <w:rPr>
          <w:sz w:val="20"/>
          <w:szCs w:val="20"/>
          <w:color w:val="auto"/>
        </w:rPr>
      </w:pPr>
    </w:p>
    <w:p>
      <w:pPr>
        <w:ind w:left="240" w:right="20" w:firstLine="351"/>
        <w:spacing w:after="0" w:line="290" w:lineRule="auto"/>
        <w:rPr>
          <w:sz w:val="20"/>
          <w:szCs w:val="20"/>
          <w:color w:val="auto"/>
        </w:rPr>
      </w:pPr>
      <w:r>
        <w:rPr>
          <w:rFonts w:ascii="Times New Roman" w:cs="Times New Roman" w:eastAsia="Times New Roman" w:hAnsi="Times New Roman"/>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66" w:lineRule="exact"/>
        <w:rPr>
          <w:sz w:val="20"/>
          <w:szCs w:val="20"/>
          <w:color w:val="auto"/>
        </w:rPr>
      </w:pPr>
    </w:p>
    <w:p>
      <w:pPr>
        <w:ind w:left="240" w:firstLine="351"/>
        <w:spacing w:after="0" w:line="275" w:lineRule="auto"/>
        <w:rPr>
          <w:sz w:val="20"/>
          <w:szCs w:val="20"/>
          <w:color w:val="auto"/>
        </w:rPr>
      </w:pPr>
      <w:r>
        <w:rPr>
          <w:rFonts w:ascii="Times New Roman" w:cs="Times New Roman" w:eastAsia="Times New Roman" w:hAnsi="Times New Roman"/>
          <w:sz w:val="18"/>
          <w:szCs w:val="18"/>
          <w:color w:val="auto"/>
        </w:rPr>
        <w:t>From time to time, we may also sell assets that we regard as non-core or that we believe might be a better fit with the business and/or assets of a third-party buyer.</w:t>
      </w:r>
    </w:p>
    <w:p>
      <w:pPr>
        <w:spacing w:after="0" w:line="174" w:lineRule="exact"/>
        <w:rPr>
          <w:sz w:val="20"/>
          <w:szCs w:val="20"/>
          <w:color w:val="auto"/>
        </w:rPr>
      </w:pPr>
    </w:p>
    <w:p>
      <w:pPr>
        <w:ind w:left="240" w:right="180" w:firstLine="348"/>
        <w:spacing w:after="0" w:line="258"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11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20"/>
        <w:spacing w:after="0" w:line="262" w:lineRule="auto"/>
        <w:rPr>
          <w:sz w:val="20"/>
          <w:szCs w:val="20"/>
          <w:color w:val="auto"/>
        </w:rPr>
      </w:pPr>
      <w:r>
        <w:rPr>
          <w:rFonts w:ascii="Times New Roman" w:cs="Times New Roman" w:eastAsia="Times New Roman" w:hAnsi="Times New Roman"/>
          <w:sz w:val="18"/>
          <w:szCs w:val="18"/>
          <w:color w:val="auto"/>
        </w:rPr>
        <w:t>agreement may be subject to customary and other closing conditions, which may not ultimately be satisfied or waived. Accordingly, we can give no assurance that our current or future acquisition, divestiture or investment efforts will be successful. Although we expect the acquisitions and investments we make to be accretive in the long term, we can provide no assurance that our expectations will ultimately be realized.</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227" w:lineRule="exact"/>
        <w:rPr>
          <w:sz w:val="20"/>
          <w:szCs w:val="20"/>
          <w:color w:val="auto"/>
        </w:rPr>
      </w:pPr>
    </w:p>
    <w:p>
      <w:pPr>
        <w:jc w:val="both"/>
        <w:ind w:left="240" w:right="3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Our executive offices are located at 333 Clay Street, Suite 1600, Houston, Texas 77002. Our telephone number is (713) 646-4100. We maintain a website at </w:t>
      </w:r>
      <w:r>
        <w:rPr>
          <w:rFonts w:ascii="Times New Roman" w:cs="Times New Roman" w:eastAsia="Times New Roman" w:hAnsi="Times New Roman"/>
          <w:sz w:val="18"/>
          <w:szCs w:val="18"/>
          <w:i w:val="1"/>
          <w:iCs w:val="1"/>
          <w:color w:val="auto"/>
        </w:rPr>
        <w:t>www.plainsallamerican.com</w:t>
      </w:r>
      <w:r>
        <w:rPr>
          <w:rFonts w:ascii="Times New Roman" w:cs="Times New Roman" w:eastAsia="Times New Roman" w:hAnsi="Times New Roman"/>
          <w:sz w:val="18"/>
          <w:szCs w:val="18"/>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7" w:lineRule="exact"/>
        <w:rPr>
          <w:sz w:val="20"/>
          <w:szCs w:val="20"/>
          <w:color w:val="auto"/>
        </w:rPr>
      </w:pPr>
    </w:p>
    <w:p>
      <w:pPr>
        <w:ind w:left="240" w:firstLine="351"/>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2015 and our Quarterly Reports on Form 10-Q for the quarterly periods ended March 31, 2016, June 30, 2016 and September 30, 2016,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37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376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Common Units Offered</w:t>
            </w: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Common units having an aggregate offering price of up to $750,000,000.</w:t>
            </w:r>
          </w:p>
        </w:tc>
      </w:tr>
      <w:tr>
        <w:trPr>
          <w:trHeight w:val="420"/>
        </w:trPr>
        <w:tc>
          <w:tcPr>
            <w:tcW w:w="376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Use of Proceeds</w:t>
            </w: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We intend to use the net proceeds from this offering, after deducting the sales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agents' commissions and our offering expenses, for general partnership</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purposes, which may include, among other things, repayment of indebtedness,</w:t>
            </w:r>
          </w:p>
        </w:tc>
      </w:tr>
      <w:tr>
        <w:trPr>
          <w:trHeight w:val="228"/>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acquisitions, capital expenditures and additions to working capital.</w:t>
            </w:r>
          </w:p>
        </w:tc>
      </w:tr>
      <w:tr>
        <w:trPr>
          <w:trHeight w:val="420"/>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Amounts repaid under our credit facilities or commercial paper program may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be reborrowed to fund our ongoing expansion capital program, future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acquisitions and investments or for general partnership purposes. Please read</w:t>
            </w:r>
          </w:p>
        </w:tc>
      </w:tr>
      <w:tr>
        <w:trPr>
          <w:trHeight w:val="228"/>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"Use of Proceeds" in this prospectus supplement for further information.</w:t>
            </w:r>
          </w:p>
        </w:tc>
      </w:tr>
      <w:tr>
        <w:trPr>
          <w:trHeight w:val="432"/>
        </w:trPr>
        <w:tc>
          <w:tcPr>
            <w:tcW w:w="376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Exchange Listing</w:t>
            </w: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Our common units are traded on the NYSE under the symbol "PAA."</w:t>
            </w:r>
          </w:p>
        </w:tc>
      </w:tr>
      <w:tr>
        <w:trPr>
          <w:trHeight w:val="420"/>
        </w:trPr>
        <w:tc>
          <w:tcPr>
            <w:tcW w:w="376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Conflicts of Interest</w:t>
            </w: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Affiliates of certain of the sales agents are lenders under our credit facilities 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dealers under our commercial paper program and may hold commercial paper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notes thereunder. To the extent we use proceeds from this offering to repay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indebtedness under our credit facilities or commercial paper program, such</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affiliates may receive proceeds from this offering. Please read "Plan of</w:t>
            </w:r>
          </w:p>
        </w:tc>
      </w:tr>
      <w:tr>
        <w:trPr>
          <w:trHeight w:val="228"/>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Distribution" in this prospectus supplement for further information.</w:t>
            </w:r>
          </w:p>
        </w:tc>
      </w:tr>
      <w:tr>
        <w:trPr>
          <w:trHeight w:val="420"/>
        </w:trPr>
        <w:tc>
          <w:tcPr>
            <w:tcW w:w="376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Risk Factors</w:t>
            </w: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There are risks associated with this offering and our business. You should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consider carefully the risk factors on page S-4 of this prospectus supplement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and the other risks identified in the documents incorporated by reference herein</w:t>
            </w:r>
          </w:p>
        </w:tc>
      </w:tr>
      <w:tr>
        <w:trPr>
          <w:trHeight w:val="228"/>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before making an investment in the common units offered hereby.</w:t>
            </w:r>
          </w:p>
        </w:tc>
      </w:tr>
      <w:tr>
        <w:trPr>
          <w:trHeight w:val="228"/>
        </w:trPr>
        <w:tc>
          <w:tcPr>
            <w:tcW w:w="3760" w:type="dxa"/>
            <w:vAlign w:val="bottom"/>
            <w:tcBorders>
              <w:left w:val="single" w:sz="8" w:color="auto"/>
              <w:bottom w:val="single" w:sz="8" w:color="auto"/>
            </w:tcBorders>
          </w:tcPr>
          <w:p>
            <w:pPr>
              <w:spacing w:after="0"/>
              <w:rPr>
                <w:sz w:val="19"/>
                <w:szCs w:val="19"/>
                <w:color w:val="auto"/>
              </w:rPr>
            </w:pPr>
          </w:p>
        </w:tc>
        <w:tc>
          <w:tcPr>
            <w:tcW w:w="7660" w:type="dxa"/>
            <w:vAlign w:val="bottom"/>
            <w:tcBorders>
              <w:bottom w:val="single" w:sz="8" w:color="auto"/>
              <w:right w:val="single" w:sz="8" w:color="auto"/>
            </w:tcBorders>
          </w:tcPr>
          <w:p>
            <w:pPr>
              <w:spacing w:after="0"/>
              <w:rPr>
                <w:sz w:val="19"/>
                <w:szCs w:val="19"/>
                <w:color w:val="auto"/>
              </w:rPr>
            </w:pPr>
          </w:p>
        </w:tc>
      </w:tr>
      <w:tr>
        <w:trPr>
          <w:trHeight w:val="427"/>
        </w:trPr>
        <w:tc>
          <w:tcPr>
            <w:tcW w:w="3760" w:type="dxa"/>
            <w:vAlign w:val="bottom"/>
          </w:tcPr>
          <w:p>
            <w:pPr>
              <w:spacing w:after="0"/>
              <w:rPr>
                <w:sz w:val="24"/>
                <w:szCs w:val="24"/>
                <w:color w:val="auto"/>
              </w:rPr>
            </w:pPr>
          </w:p>
        </w:tc>
        <w:tc>
          <w:tcPr>
            <w:tcW w:w="76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S-3</w:t>
            </w:r>
          </w:p>
        </w:tc>
      </w:tr>
      <w:tr>
        <w:trPr>
          <w:trHeight w:val="228"/>
        </w:trPr>
        <w:tc>
          <w:tcPr>
            <w:tcW w:w="37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Before making an investment in the common units offered hereby, you should carefully consider the risk factors included in Item 1A. "Risk Factors" of our Annual Report on Form 10-K for the fiscal year ended December 31, 2015 (File No. 001-14569), which is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of this offering, after deducting the sales agents' commissions and our offering expenses, for general partnership purposes, which may include, among other things, repayment of indebtedness, acquisitions, capital expenditures and additions to working capital. Amounts repaid under our credit facilities or commercial paper program may be reborrowed to fund our ongoing expansion capital program, future acquisitions and investments or for general partnership purposes.</w:t>
      </w:r>
    </w:p>
    <w:p>
      <w:pPr>
        <w:spacing w:after="0" w:line="190" w:lineRule="exact"/>
        <w:rPr>
          <w:sz w:val="20"/>
          <w:szCs w:val="20"/>
          <w:color w:val="auto"/>
        </w:rPr>
      </w:pPr>
    </w:p>
    <w:p>
      <w:pPr>
        <w:ind w:firstLine="341"/>
        <w:spacing w:after="0" w:line="310" w:lineRule="auto"/>
        <w:rPr>
          <w:sz w:val="20"/>
          <w:szCs w:val="20"/>
          <w:color w:val="auto"/>
        </w:rPr>
      </w:pPr>
      <w:r>
        <w:rPr>
          <w:rFonts w:ascii="Times New Roman" w:cs="Times New Roman" w:eastAsia="Times New Roman" w:hAnsi="Times New Roman"/>
          <w:sz w:val="16"/>
          <w:szCs w:val="16"/>
          <w:color w:val="auto"/>
        </w:rPr>
        <w:t>Affiliates of certain of the sales agents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a portion of the net proceeds from this offering. Please read "Plan of Distribution" in this prospectus supplement for further information.</w:t>
      </w:r>
    </w:p>
    <w:p>
      <w:pPr>
        <w:spacing w:after="0" w:line="151"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As of November 29, 2016, there were no borrowings outstanding under our senior unsecured revolving credit facility, which bears interest at a variable rate and matures in August 2021. As of November 29, 2016, we had approximately $750 million of borrowings outstanding under our senior secured hedged inventory facility with a weighted average interest rate of 1.60%. Our senior secured hedged inventory facility matures in August 2019. Borrowings from such facility are primarily used to finance purchased or stored hedged inventory, including New York Mercantile Exchange ("NYMEX") and Intercontinental Exchange ("ICE") margin deposits. As of November 29, 2016 there were no borrowings outstanding under our senior unsecured 364-day revolving credit facility, which bears interest at a variable rate and matures in August 2017. As of November 29, 2016, we had approximately $864 million of borrowings outstanding under our commercial paper program with a weighted average interest rate of approximately 1.42%. The outstanding borrowings under our commercial paper program have maturity dates of three months or less. Our commercial paper program is backstopped by our senior secured hedged inventory facility and our senior unsecured revolving credit facility. Borrowings from our commercial paper program are primarily used to fund hedged NGL and crude oil inventory and NYMEX and ICE margin deposits, capital investments and for other general partnership purposes.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tax consequences to you of an investment in our common units will depend in part on your own tax circumstances. Although this section updates and adds information related to certain tax considerations, it should be read in conjunction with the risk factors included under the caption "Tax Risks to Common Unitholders" in our most recent Annual Report on Form 10-K, and with "Material U.S. Federal Income Tax Consequences" in the accompanying base prospectus, which provides a discussion of the principal federal income tax consequences associated with our operations and the purchase, ownership and disposition of our common units. The following discussion is limited as described under the caption "Material U.S. Federal Income Tax Consequences" in the accompanying base prospectus.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229" w:lineRule="exact"/>
        <w:rPr>
          <w:sz w:val="20"/>
          <w:szCs w:val="20"/>
          <w:color w:val="auto"/>
        </w:rPr>
      </w:pPr>
    </w:p>
    <w:p>
      <w:pPr>
        <w:ind w:right="320" w:firstLine="348"/>
        <w:spacing w:after="0" w:line="258" w:lineRule="auto"/>
        <w:rPr>
          <w:sz w:val="20"/>
          <w:szCs w:val="20"/>
          <w:color w:val="auto"/>
        </w:rPr>
      </w:pPr>
      <w:r>
        <w:rPr>
          <w:rFonts w:ascii="Times New Roman" w:cs="Times New Roman" w:eastAsia="Times New Roman" w:hAnsi="Times New Roman"/>
          <w:sz w:val="18"/>
          <w:szCs w:val="18"/>
          <w:color w:val="auto"/>
        </w:rPr>
        <w:t>The IRS has issued proposed regulations regarding qualifying income under Section 7704(d)(1)(E) of the Code (the "Proposed Regulations"). We do not believe the Proposed Regulations affect our ability to qualify as a publicly traded partnership. However, there are no assurances that final regulations will not include changes that interpret Section 7704(d)(1)(E) in a manner that is contrary to the Proposed Regulations, which could modify the amount of our gross income that we are able to treat as qualifying income for the purposes of the Qualifying Income Exception.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229"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In general, if we have a net profit, our items of income, gain, loss and deduction will be allocated among our unitholders (other than the preferred unitholders) in accordance with their percentage interests in us. If we have a net loss, our items of income, gain, loss and deduction will be allocated first among our unitholders (other than the preferred unitholders) in accordance with their percentage interests in us to the extent of their positive capital accounts, second among our preferred unitholders in accordance with their percentage interests in us to the extent of their positive capital accounts, and thereafter to our general partner. At any time that distributions are made with respect to the preferred units, gross income will be allocated to the holders of preferred units to the extent of such distributions.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Tax-Exempt Organizations and Other Investors</w:t>
      </w:r>
    </w:p>
    <w:p>
      <w:pPr>
        <w:spacing w:after="0" w:line="227"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Ownership of common units by employee benefit plans and other tax-exempt organizations as well as by non-resident alien individuals, non-U.S. corporations and other non-U.S. persons raises issues unique to those investors. Please read "Material U.S. Federal Income Tax Consequences—Tax-Exempt Organizations and Other Investors" in the accompanying base prospectus.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Audit Rules for Tax Years Beginning After December 31, 2017</w:t>
      </w:r>
    </w:p>
    <w:p>
      <w:pPr>
        <w:spacing w:after="0" w:line="22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Recently enacted legislation, for taxable years beginning after December 31, 2017, changes the audit procedures for large partnerships and in certain circumstances would permit the IRS to assess and collect taxes (including any applicable penalties and interest) resulting from partnership-level federal income tax audits directly from us in the year in which the audit is completed. If we are required to make payments of taxes, penalties and interest resulting from audit adjustments, our cash available for distribution to our unitholders might be substantially reduced. Pursuant to this new legislation, we are required to designate an eligible person to act as the "Partnership Representative"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with exclusive authority to act on our behalf in connection with federal income tax audits, requests by us for administrative adjustments, and any judicial proceedings arising in connection with those matters. Actions taken by the Partnership Representative will be binding on us and all of our unitholders. We anticipate that our general partner or its designee will act as the Partnership Representative.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 owned agency or instrumentality of either of the foregoing; or</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174"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Brokers and financial institutions are required to furnish additional information, including whether they are U.S. persons and specific information on units they acquire, hold or transfer for their own account. A penalty of $250 per failure, up to a maximum of $3 million per calendar year, is imposed by the Code for failure to report that information to us. The nominee is required to supply the beneficial owner of the units with the information furnished to us.</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right="20" w:firstLine="348"/>
        <w:spacing w:after="0" w:line="289" w:lineRule="auto"/>
        <w:rPr>
          <w:sz w:val="20"/>
          <w:szCs w:val="20"/>
          <w:color w:val="auto"/>
        </w:rPr>
      </w:pPr>
      <w:r>
        <w:rPr>
          <w:rFonts w:ascii="Times New Roman" w:cs="Times New Roman" w:eastAsia="Times New Roman" w:hAnsi="Times New Roman"/>
          <w:sz w:val="16"/>
          <w:szCs w:val="16"/>
          <w:color w:val="auto"/>
        </w:rPr>
        <w:t>We have entered into an equity distribution agreement with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 Securities USA Inc., Morgan Stanley &amp; Co. LLC, Raymond James &amp; Associates, Inc., Scotia Capital (USA) Inc., SMBC Nikko Securities America, Inc., SunTrust Robinson Humphrey, Inc. and UBS Securities LLC, as sales agents, under which we are permitted to offer and sell common units having an aggregate offering price of up to $750,000,000 from time to time. We have filed the equity distribution agreement as an exhibit to a Current Report on Form 8-K, which is incorporated by reference in this prospectus supplement. The sales, if any, of common units made under the equity distribution agreement will be made by means of ordinary brokers' transactions on the New York Stock Exchange at market prices, in block transactions, or as otherwise as agreed upon by one or more of the sales agents and us. The sales agents will not engage in any transactions that stabilize the price of our common units.</w:t>
      </w:r>
    </w:p>
    <w:p>
      <w:pPr>
        <w:spacing w:after="0" w:line="16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Under the terms of the equity distribution agreement, we also may sell common units to one or more of our sales agents as principal for its own account at a price agreed upon at the time of sale. If we sell common units to one or more of our sales agents as principal, we will enter into a separate agreement with the sales agent and we will describe this agreement in a separate prospectus supplement or pricing supplement.</w:t>
      </w:r>
    </w:p>
    <w:p>
      <w:pPr>
        <w:spacing w:after="0" w:line="186"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We will designate the maximum amount of common units to be sold through the sales agents on a daily basis or otherwise as we and the sales agents agree and the minimum price per common unit at which such common units may be sold. Subject to the terms and conditions of the equity distribution agreement, the sales agents will use their reasonable efforts to sell on our behalf all of the designated common units. We may instruct the sales agents not to sell any common units if the sales cannot be effected at or above the price designated by us in any such instruction. We or the sales agents may suspend the offering of common units at any time and from time to time by notifying the other party.</w:t>
      </w:r>
    </w:p>
    <w:p>
      <w:pPr>
        <w:spacing w:after="0" w:line="19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sales agents will provide to us written confirmation following the close of trading on the New York Stock Exchange each day in which common units are sold under the equity distribution agreement. Each confirmation will include the number of common units sold on that day, the gross sales proceeds and the net proceeds to us (after regulatory transaction fees, if any, but before other expenses). We will report at least quarterly the number of common units sold through the sales agents under the equity distribution agreement, the net proceeds to us (before expenses) and the commissions of the sales agents in connection with the sales of the common units.</w:t>
      </w:r>
    </w:p>
    <w:p>
      <w:pPr>
        <w:spacing w:after="0" w:line="193"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We will pay each sales agent a commission of up to 2.0% of the gross sales price per common unit sold through it as our agent under the equity distribution agreement. We have agreed to reimburse the sales agents for certain of their expenses.</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Settlement for sales of common units will occur on the third business day following the date on which any sales were made in return for payment of the net proceeds to us. There is no arrangement for funds to be received in an escrow, trust or similar arrangement.</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we or any of the sales agents have reason to believe that our common units are no longer an "actively-traded security" as defined under Rule 101(c)(l) of Regulation M under the Securities Exchange Act of 1934, as amended, that party will promptly notify the others and sales of common units pursuant to the equity distribution agreement or any terms agreement will be suspended until in our collective judgment Rule 101(c)(1) or another exemptive provision has been satisfied.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offering of common units pursuant to the equity distribution agreement will terminate upon the earlier of (1) the sale of all common units subject to the equity distribution agreement or (2) the termination of the equity distribution agreement by us or by the sales agents.</w:t>
      </w:r>
    </w:p>
    <w:p>
      <w:pPr>
        <w:spacing w:after="0" w:line="174"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In connection with the sale of the common units on our behalf, each of the sales agents will be deemed to be an "underwriter" within the meaning of the Securities Act of 1933, as amended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7"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sales agents and/or affiliates of each of the sales agents have, from time to time, performed, and may in the future perform, various financial advisory and commercial and investment banking services for us and our affiliates, for which they have received and in the future will receive customary compensation and expense reimbursement.</w:t>
      </w:r>
    </w:p>
    <w:p>
      <w:pPr>
        <w:spacing w:after="0" w:line="186"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Affiliates of certain of the sales agents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w:t>
      </w:r>
    </w:p>
    <w:p>
      <w:pPr>
        <w:spacing w:after="0" w:line="1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sales agents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sales agents or their affiliates have a lending relationship with us, they may hedge their credit exposure to us consistent with their customary risk management policies. The sales agents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FINRA</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maximum discount or commission to be received by any FINRA member or independent broker-dealer may not exceed 8% of the aggregate offering price of the common units offered pursuant to this prospectus supplement. Because FINRA views the common units offered hereby as interests in a direct participation program, this offering is being made in compliance with Rule 2310 of the FINRA Rules.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validity of the common units offered in this prospectus supplement will be passed upon for us by Vinson &amp; Elkins L.L.P., Houston, Texas. Certain legal matters will be passed upon for the sales agents by Baker Botts L.L.P., Houston, Texas.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jc w:val="both"/>
        <w:ind w:right="80" w:firstLine="348"/>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2015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w:t>
      </w:r>
    </w:p>
    <w:p>
      <w:pPr>
        <w:spacing w:after="0" w:line="207"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2015;</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quarterly periods ended March 31, 2016, June 30, 2016 and September 30, 2016; and</w:t>
      </w:r>
    </w:p>
    <w:p>
      <w:pPr>
        <w:spacing w:after="0" w:line="238" w:lineRule="exact"/>
        <w:rPr>
          <w:rFonts w:ascii="Times New Roman" w:cs="Times New Roman" w:eastAsia="Times New Roman" w:hAnsi="Times New Roman"/>
          <w:sz w:val="18"/>
          <w:szCs w:val="18"/>
          <w:color w:val="auto"/>
        </w:rPr>
      </w:pPr>
    </w:p>
    <w:p>
      <w:pPr>
        <w:ind w:left="1080" w:right="20" w:hanging="532"/>
        <w:spacing w:after="0" w:line="296" w:lineRule="auto"/>
        <w:tabs>
          <w:tab w:leader="none" w:pos="10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Reports on Form 8-K filed with the SEC on January 19, 2016 (Series A preferred unit purchase agreement), February 2, 2016 (closing of Series A preferred unit offering), May 18, 2016 (indictment related to Santa Barbara County crude oil release), July 14, 2016 (simplification agreement), August 9, 2016 (recommencement of at-the-market offering program), August 17, 2016 (amendments to credit facilities), August 31, 2016 (compensatory arrangements for certain officers), November 18, 2016 (documentation related to debt offering), November 21, 2016 (closing of the transactions contemplated by the simplification agreement) and November 29, 2016 (documentation related to debt offering).</w:t>
      </w:r>
    </w:p>
    <w:p>
      <w:pPr>
        <w:spacing w:after="0" w:line="162"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213"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regarding us. The SEC's website address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firstLine="345"/>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the accompanying base prospectus. We have not, and the sales agents and their affiliates and agents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18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4"/>
          <w:szCs w:val="24"/>
          <w:b w:val="1"/>
          <w:bCs w:val="1"/>
          <w:color w:val="auto"/>
        </w:rPr>
        <w:t>Common Units</w:t>
      </w:r>
    </w:p>
    <w:p>
      <w:pPr>
        <w:spacing w:after="0" w:line="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210" w:lineRule="exact"/>
        <w:rPr>
          <w:sz w:val="20"/>
          <w:szCs w:val="20"/>
          <w:color w:val="auto"/>
        </w:rPr>
      </w:pPr>
    </w:p>
    <w:p>
      <w:pPr>
        <w:jc w:val="both"/>
        <w:ind w:right="340" w:firstLine="348"/>
        <w:spacing w:after="0" w:line="262" w:lineRule="auto"/>
        <w:rPr>
          <w:sz w:val="20"/>
          <w:szCs w:val="20"/>
          <w:color w:val="auto"/>
        </w:rPr>
      </w:pPr>
      <w:r>
        <w:rPr>
          <w:rFonts w:ascii="Times New Roman" w:cs="Times New Roman" w:eastAsia="Times New Roman" w:hAnsi="Times New Roman"/>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86"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73" w:lineRule="exact"/>
        <w:rPr>
          <w:sz w:val="20"/>
          <w:szCs w:val="20"/>
          <w:color w:val="auto"/>
        </w:rPr>
      </w:pPr>
    </w:p>
    <w:p>
      <w:pPr>
        <w:ind w:right="20" w:firstLine="351"/>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units and the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8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72"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680" w:type="dxa"/>
            <w:vAlign w:val="bottom"/>
            <w:gridSpan w:val="16"/>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Table of Contents</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5"/>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About This Prospectus</w:t>
              </w:r>
            </w:hyperlink>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Where You Can Find More Information</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About Plains All American Pipeline, L.P.</w:t>
              </w:r>
            </w:hyperlink>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Risk Factors</w:t>
              </w:r>
            </w:hyperlink>
          </w:p>
        </w:tc>
        <w:tc>
          <w:tcPr>
            <w:tcW w:w="2040" w:type="dxa"/>
            <w:vAlign w:val="bottom"/>
            <w:gridSpan w:val="9"/>
          </w:tcPr>
          <w:p>
            <w:pPr>
              <w:spacing w:after="0"/>
              <w:rPr>
                <w:sz w:val="17"/>
                <w:szCs w:val="17"/>
                <w:color w:val="auto"/>
              </w:rPr>
            </w:pPr>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Use of Proceeds</w:t>
              </w:r>
            </w:hyperlink>
          </w:p>
        </w:tc>
        <w:tc>
          <w:tcPr>
            <w:tcW w:w="2380" w:type="dxa"/>
            <w:vAlign w:val="bottom"/>
            <w:gridSpan w:val="10"/>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Ratio of Earnings to Fixed Charges</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Description of Our Debt Securities</w:t>
              </w:r>
            </w:hyperlink>
          </w:p>
        </w:tc>
        <w:tc>
          <w:tcPr>
            <w:tcW w:w="1080" w:type="dxa"/>
            <w:vAlign w:val="bottom"/>
            <w:gridSpan w:val="5"/>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36">
              <w:r>
                <w:rPr>
                  <w:rFonts w:ascii="Times New Roman" w:cs="Times New Roman" w:eastAsia="Times New Roman" w:hAnsi="Times New Roman"/>
                  <w:sz w:val="18"/>
                  <w:szCs w:val="18"/>
                  <w:color w:val="0000EE"/>
                  <w:w w:val="96"/>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15</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Cash Distribution Policy</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Description of Our Partnership Agreement</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24</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Plan of Distribution</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1">
              <w:r>
                <w:rPr>
                  <w:rFonts w:ascii="Times New Roman" w:cs="Times New Roman" w:eastAsia="Times New Roman" w:hAnsi="Times New Roman"/>
                  <w:sz w:val="18"/>
                  <w:szCs w:val="18"/>
                  <w:color w:val="0000EE"/>
                  <w:w w:val="88"/>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Experts</w:t>
              </w:r>
            </w:hyperlink>
          </w:p>
        </w:tc>
        <w:tc>
          <w:tcPr>
            <w:tcW w:w="256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2">
              <w:r>
                <w:rPr>
                  <w:rFonts w:ascii="Times New Roman" w:cs="Times New Roman" w:eastAsia="Times New Roman" w:hAnsi="Times New Roman"/>
                  <w:sz w:val="18"/>
                  <w:szCs w:val="18"/>
                  <w:color w:val="0000EE"/>
                  <w:w w:val="88"/>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7" w:lineRule="exact"/>
        <w:rPr>
          <w:sz w:val="20"/>
          <w:szCs w:val="20"/>
          <w:color w:val="auto"/>
        </w:rPr>
      </w:pPr>
    </w:p>
    <w:p>
      <w:pPr>
        <w:ind w:right="2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In making your investment decision, you should rely only on the information contained or incorporated by reference in this prospectus. We have not authorized anyone to provide you with additional or different information. If any other person provides you with additional, different or inconsistent information, you should not rely on it.</w:t>
      </w:r>
    </w:p>
    <w:p>
      <w:pPr>
        <w:spacing w:after="0" w:line="181"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4"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04"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2014;</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quarterly periods ended March 31, 2015 and June 30, 2015;</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on January 9, 2015, January 20, 2015, March 2, 2015, May 15, 2015, May 26, 2015, June 11, 2015, August 14, 2015, August 19, 2015 and August 26, 2015; and</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units contained in our Form 8-A/A dated November 3, 1998 and any subsequent amendment thereto filed for the purpose of updating such description.</w:t>
      </w:r>
    </w:p>
    <w:p>
      <w:pPr>
        <w:spacing w:after="0" w:line="174" w:lineRule="exact"/>
        <w:rPr>
          <w:sz w:val="20"/>
          <w:szCs w:val="20"/>
          <w:color w:val="auto"/>
        </w:rPr>
      </w:pPr>
    </w:p>
    <w:p>
      <w:pPr>
        <w:ind w:right="580" w:firstLine="345"/>
        <w:spacing w:after="0" w:line="275" w:lineRule="auto"/>
        <w:rPr>
          <w:sz w:val="20"/>
          <w:szCs w:val="20"/>
          <w:color w:val="auto"/>
        </w:rPr>
      </w:pPr>
      <w:r>
        <w:rPr>
          <w:rFonts w:ascii="Times New Roman" w:cs="Times New Roman" w:eastAsia="Times New Roman" w:hAnsi="Times New Roman"/>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213" w:lineRule="exact"/>
        <w:rPr>
          <w:sz w:val="20"/>
          <w:szCs w:val="20"/>
          <w:color w:val="auto"/>
        </w:rPr>
      </w:pPr>
    </w:p>
    <w:p>
      <w:pPr>
        <w:ind w:right="200" w:firstLine="341"/>
        <w:spacing w:after="0" w:line="262" w:lineRule="auto"/>
        <w:rPr>
          <w:sz w:val="20"/>
          <w:szCs w:val="20"/>
          <w:color w:val="auto"/>
        </w:rPr>
      </w:pPr>
      <w:r>
        <w:rPr>
          <w:rFonts w:ascii="Times New Roman" w:cs="Times New Roman" w:eastAsia="Times New Roman" w:hAnsi="Times New Roman"/>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8"/>
          <w:szCs w:val="18"/>
          <w:color w:val="auto"/>
        </w:rPr>
        <w:t xml:space="preserve">We also make available free of charge on our website at </w:t>
      </w:r>
      <w:r>
        <w:rPr>
          <w:rFonts w:ascii="Times New Roman" w:cs="Times New Roman" w:eastAsia="Times New Roman" w:hAnsi="Times New Roman"/>
          <w:sz w:val="18"/>
          <w:szCs w:val="18"/>
          <w:i w:val="1"/>
          <w:iCs w:val="1"/>
          <w:color w:val="auto"/>
        </w:rPr>
        <w:t>ir.paalp.com</w:t>
      </w:r>
      <w:r>
        <w:rPr>
          <w:rFonts w:ascii="Times New Roman" w:cs="Times New Roman" w:eastAsia="Times New Roman" w:hAnsi="Times New Roman"/>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341"/>
        <w:spacing w:after="0" w:line="296" w:lineRule="auto"/>
        <w:rPr>
          <w:sz w:val="20"/>
          <w:szCs w:val="20"/>
          <w:color w:val="auto"/>
        </w:rPr>
      </w:pPr>
      <w:r>
        <w:rPr>
          <w:rFonts w:ascii="Times New Roman" w:cs="Times New Roman" w:eastAsia="Times New Roman" w:hAnsi="Times New Roman"/>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results or outcomes anticipated in the forward-looking statements. The most important of these factors include, but are not limited to:</w:t>
      </w:r>
    </w:p>
    <w:p>
      <w:pPr>
        <w:spacing w:after="0" w:line="23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growth projects;</w:t>
      </w:r>
    </w:p>
    <w:p>
      <w:pPr>
        <w:spacing w:after="0" w:line="252" w:lineRule="exact"/>
        <w:rPr>
          <w:rFonts w:ascii="Times New Roman" w:cs="Times New Roman" w:eastAsia="Times New Roman" w:hAnsi="Times New Roman"/>
          <w:sz w:val="18"/>
          <w:szCs w:val="18"/>
          <w:color w:val="auto"/>
        </w:rPr>
      </w:pPr>
    </w:p>
    <w:p>
      <w:pPr>
        <w:ind w:left="1080" w:hanging="532"/>
        <w:spacing w:after="0" w:line="310" w:lineRule="auto"/>
        <w:tabs>
          <w:tab w:leader="none" w:pos="10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52"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52" w:lineRule="exact"/>
        <w:rPr>
          <w:rFonts w:ascii="Times New Roman" w:cs="Times New Roman" w:eastAsia="Times New Roman" w:hAnsi="Times New Roman"/>
          <w:sz w:val="18"/>
          <w:szCs w:val="18"/>
          <w:color w:val="auto"/>
        </w:rPr>
      </w:pPr>
    </w:p>
    <w:p>
      <w:pPr>
        <w:ind w:left="1080" w:right="360" w:hanging="532"/>
        <w:spacing w:after="0" w:line="339" w:lineRule="auto"/>
        <w:tabs>
          <w:tab w:leader="none" w:pos="10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4"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in Item 1A. of our 2014 Annual Report on Form 10-K for the fiscal year ended December 31, 2014 (File No. 001-14569). Except as required by applicable securities laws, we do not intend to update these forward-looking statements and information.</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360" w:firstLine="348"/>
        <w:spacing w:after="0" w:line="262" w:lineRule="auto"/>
        <w:rPr>
          <w:sz w:val="20"/>
          <w:szCs w:val="20"/>
          <w:color w:val="auto"/>
        </w:rPr>
      </w:pPr>
      <w:r>
        <w:rPr>
          <w:rFonts w:ascii="Times New Roman" w:cs="Times New Roman" w:eastAsia="Times New Roman" w:hAnsi="Times New Roman"/>
          <w:sz w:val="18"/>
          <w:szCs w:val="18"/>
          <w:color w:val="auto"/>
        </w:rPr>
        <w:t>We are a Delaware limited partnership formed in 1998.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w:t>
      </w:r>
    </w:p>
    <w:p>
      <w:pPr>
        <w:spacing w:after="0" w:line="186"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We are one of the largest publicly 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6" w:lineRule="exact"/>
        <w:rPr>
          <w:sz w:val="20"/>
          <w:szCs w:val="20"/>
          <w:color w:val="auto"/>
        </w:rPr>
      </w:pPr>
    </w:p>
    <w:p>
      <w:pPr>
        <w:jc w:val="both"/>
        <w:ind w:right="220" w:firstLine="351"/>
        <w:spacing w:after="0" w:line="262"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86"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LLC, Plains AAP, L.P. and Plains All American GP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Acquisition and Investment Activities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92" w:lineRule="exact"/>
        <w:rPr>
          <w:sz w:val="20"/>
          <w:szCs w:val="20"/>
          <w:color w:val="auto"/>
        </w:rPr>
      </w:pPr>
    </w:p>
    <w:p>
      <w:pPr>
        <w:ind w:right="140" w:firstLine="348"/>
        <w:spacing w:after="0" w:line="293" w:lineRule="auto"/>
        <w:rPr>
          <w:sz w:val="20"/>
          <w:szCs w:val="20"/>
          <w:color w:val="auto"/>
        </w:rPr>
      </w:pPr>
      <w:r>
        <w:rPr>
          <w:rFonts w:ascii="Times New Roman" w:cs="Times New Roman" w:eastAsia="Times New Roman" w:hAnsi="Times New Roman"/>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Offices and Internet Address</w:t>
      </w:r>
    </w:p>
    <w:p>
      <w:pPr>
        <w:spacing w:after="0" w:line="227"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 xml:space="preserve">Our principal executive offices are located at 333 Clay Street, Suite 1600, Houston, Texas 77002 and our telephone number is (713) 646-4100. Our website is located at </w:t>
      </w:r>
      <w:r>
        <w:rPr>
          <w:rFonts w:ascii="Times New Roman" w:cs="Times New Roman" w:eastAsia="Times New Roman" w:hAnsi="Times New Roman"/>
          <w:sz w:val="16"/>
          <w:szCs w:val="16"/>
          <w:i w:val="1"/>
          <w:iCs w:val="1"/>
          <w:color w:val="auto"/>
        </w:rPr>
        <w:t>www.plainsallamerican.com</w:t>
      </w:r>
      <w:r>
        <w:rPr>
          <w:rFonts w:ascii="Times New Roman" w:cs="Times New Roman" w:eastAsia="Times New Roman" w:hAnsi="Times New Roman"/>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7" w:lineRule="exact"/>
        <w:rPr>
          <w:sz w:val="20"/>
          <w:szCs w:val="20"/>
          <w:color w:val="auto"/>
        </w:rPr>
      </w:pPr>
    </w:p>
    <w:p>
      <w:pPr>
        <w:jc w:val="both"/>
        <w:ind w:right="140" w:firstLine="351"/>
        <w:spacing w:after="0" w:line="262" w:lineRule="auto"/>
        <w:rPr>
          <w:sz w:val="20"/>
          <w:szCs w:val="20"/>
          <w:color w:val="auto"/>
        </w:rPr>
      </w:pPr>
      <w:r>
        <w:rPr>
          <w:rFonts w:ascii="Times New Roman" w:cs="Times New Roman" w:eastAsia="Times New Roman" w:hAnsi="Times New Roman"/>
          <w:sz w:val="18"/>
          <w:szCs w:val="18"/>
          <w:color w:val="auto"/>
        </w:rPr>
        <w:t>For additional information about us, including our partnership structure and management, please refer to the documents set forth under "Where You Can Find More Information" in this prospectus, including our Annual Report on Form 10-K for the fiscal year ended December 31, 2014, which is incorporated by reference herein.</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2014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86"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a prospectus supplement.</w:t>
      </w:r>
    </w:p>
    <w:p>
      <w:pPr>
        <w:spacing w:after="0" w:line="1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2.67x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4.41x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4.03x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4.13x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2.57x</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15" w:lineRule="exact"/>
        <w:rPr>
          <w:sz w:val="20"/>
          <w:szCs w:val="20"/>
          <w:color w:val="auto"/>
        </w:rPr>
      </w:pPr>
    </w:p>
    <w:p>
      <w:pPr>
        <w:jc w:val="both"/>
        <w:ind w:left="1680" w:right="240" w:hanging="531"/>
        <w:spacing w:after="0" w:line="262" w:lineRule="auto"/>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National Association, as successor Trustee.</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227"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8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238"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225"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22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86"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3" w:lineRule="exact"/>
        <w:rPr>
          <w:sz w:val="20"/>
          <w:szCs w:val="20"/>
          <w:color w:val="auto"/>
        </w:rPr>
      </w:pPr>
    </w:p>
    <w:p>
      <w:pPr>
        <w:ind w:right="40" w:firstLine="341"/>
        <w:spacing w:after="0" w:line="339" w:lineRule="auto"/>
        <w:rPr>
          <w:sz w:val="20"/>
          <w:szCs w:val="20"/>
          <w:color w:val="auto"/>
        </w:rPr>
      </w:pPr>
      <w:r>
        <w:rPr>
          <w:rFonts w:ascii="Times New Roman" w:cs="Times New Roman" w:eastAsia="Times New Roman" w:hAnsi="Times New Roman"/>
          <w:sz w:val="16"/>
          <w:szCs w:val="16"/>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0"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87" w:lineRule="exact"/>
        <w:rPr>
          <w:sz w:val="20"/>
          <w:szCs w:val="20"/>
          <w:color w:val="auto"/>
        </w:rPr>
      </w:pPr>
    </w:p>
    <w:p>
      <w:pPr>
        <w:jc w:val="both"/>
        <w:ind w:left="1080" w:right="120" w:hanging="532"/>
        <w:spacing w:after="0" w:line="26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252"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under "—Events of Default and Remedies" below) may exist.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7" w:lineRule="exact"/>
        <w:rPr>
          <w:sz w:val="20"/>
          <w:szCs w:val="20"/>
          <w:color w:val="auto"/>
        </w:rPr>
      </w:pPr>
    </w:p>
    <w:p>
      <w:pPr>
        <w:ind w:right="220" w:firstLine="351"/>
        <w:spacing w:after="0" w:line="339" w:lineRule="auto"/>
        <w:rPr>
          <w:sz w:val="20"/>
          <w:szCs w:val="20"/>
          <w:color w:val="auto"/>
        </w:rPr>
      </w:pPr>
      <w:r>
        <w:rPr>
          <w:rFonts w:ascii="Times New Roman" w:cs="Times New Roman" w:eastAsia="Times New Roman" w:hAnsi="Times New Roman"/>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227"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07"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238"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187"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252"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360" w:right="780" w:firstLine="188"/>
        <w:spacing w:after="0" w:line="563" w:lineRule="auto"/>
        <w:tabs>
          <w:tab w:leader="none" w:pos="109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28"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87"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pacing w:after="0" w:line="252"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239"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"—Consolidation, Merger or Asset Sale;"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225" w:lineRule="exact"/>
        <w:rPr>
          <w:sz w:val="20"/>
          <w:szCs w:val="20"/>
          <w:color w:val="auto"/>
        </w:rPr>
      </w:pPr>
    </w:p>
    <w:p>
      <w:pPr>
        <w:ind w:right="100" w:firstLine="341"/>
        <w:spacing w:after="0" w:line="275"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if any, or interest) if it considers such withholding of notice to be in the best interests of the holders.</w:t>
      </w:r>
    </w:p>
    <w:p>
      <w:pPr>
        <w:spacing w:after="0" w:line="225"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0"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227"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227"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74"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227"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239" w:lineRule="exact"/>
        <w:rPr>
          <w:sz w:val="20"/>
          <w:szCs w:val="20"/>
          <w:color w:val="auto"/>
        </w:rPr>
      </w:pPr>
    </w:p>
    <w:p>
      <w:pPr>
        <w:ind w:left="1080" w:right="20" w:hanging="532"/>
        <w:spacing w:after="0" w:line="26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13"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227"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229"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229"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subordinated indenture will provide that no payment of principal, interest and any premium on the subordinated debt securities may be made in the event:</w:t>
      </w:r>
    </w:p>
    <w:p>
      <w:pPr>
        <w:spacing w:after="0" w:line="187"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238"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213"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229"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17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9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74"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174"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86"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187" w:lineRule="exact"/>
        <w:rPr>
          <w:sz w:val="20"/>
          <w:szCs w:val="20"/>
          <w:color w:val="auto"/>
        </w:rPr>
      </w:pPr>
    </w:p>
    <w:p>
      <w:pPr>
        <w:ind w:left="1080" w:right="26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225" w:lineRule="exact"/>
        <w:rPr>
          <w:sz w:val="20"/>
          <w:szCs w:val="20"/>
          <w:color w:val="auto"/>
        </w:rPr>
      </w:pPr>
    </w:p>
    <w:p>
      <w:pPr>
        <w:ind w:left="1220" w:hanging="321"/>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080" w:right="180" w:firstLine="360"/>
        <w:spacing w:after="0" w:line="262" w:lineRule="auto"/>
        <w:tabs>
          <w:tab w:leader="none" w:pos="17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86" w:lineRule="exact"/>
        <w:rPr>
          <w:rFonts w:ascii="Times New Roman" w:cs="Times New Roman" w:eastAsia="Times New Roman" w:hAnsi="Times New Roman"/>
          <w:sz w:val="18"/>
          <w:szCs w:val="18"/>
          <w:color w:val="auto"/>
        </w:rPr>
      </w:pPr>
    </w:p>
    <w:p>
      <w:pPr>
        <w:ind w:left="1080" w:firstLine="360"/>
        <w:spacing w:after="0" w:line="254" w:lineRule="auto"/>
        <w:tabs>
          <w:tab w:leader="none" w:pos="17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9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225" w:lineRule="exact"/>
        <w:rPr>
          <w:rFonts w:ascii="Times New Roman" w:cs="Times New Roman" w:eastAsia="Times New Roman" w:hAnsi="Times New Roman"/>
          <w:sz w:val="18"/>
          <w:szCs w:val="18"/>
          <w:color w:val="auto"/>
        </w:rPr>
      </w:pPr>
    </w:p>
    <w:p>
      <w:pPr>
        <w:ind w:left="540" w:right="640" w:firstLine="359"/>
        <w:spacing w:after="0" w:line="275" w:lineRule="auto"/>
        <w:tabs>
          <w:tab w:leader="none" w:pos="1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174"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7"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229"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229" w:lineRule="exact"/>
        <w:rPr>
          <w:sz w:val="20"/>
          <w:szCs w:val="20"/>
          <w:color w:val="auto"/>
        </w:rPr>
      </w:pPr>
    </w:p>
    <w:p>
      <w:pPr>
        <w:jc w:val="both"/>
        <w:ind w:right="240" w:firstLine="351"/>
        <w:spacing w:after="0" w:line="262"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227"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American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unitholders.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Except as described below under "—Limited Liability," the common units will be fully paid, and unitholders will not be required to make additional capital contributions to us.</w:t>
      </w:r>
    </w:p>
    <w:p>
      <w:pPr>
        <w:spacing w:after="0" w:line="174"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0" w:lineRule="exact"/>
        <w:rPr>
          <w:sz w:val="20"/>
          <w:szCs w:val="20"/>
          <w:color w:val="auto"/>
        </w:rPr>
      </w:pPr>
    </w:p>
    <w:p>
      <w:pPr>
        <w:ind w:right="40" w:firstLine="341"/>
        <w:spacing w:after="0" w:line="301" w:lineRule="auto"/>
        <w:rPr>
          <w:sz w:val="20"/>
          <w:szCs w:val="20"/>
          <w:color w:val="auto"/>
        </w:rPr>
      </w:pPr>
      <w:r>
        <w:rPr>
          <w:rFonts w:ascii="Times New Roman" w:cs="Times New Roman" w:eastAsia="Times New Roman" w:hAnsi="Times New Roman"/>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Records</w:t>
      </w:r>
    </w:p>
    <w:p>
      <w:pPr>
        <w:spacing w:after="0" w:line="227"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93"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0"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 limited partner can, for a purpose reasonably related to the limited partner's interest as a limited partner, upon reasonable demand and at his own expense, have furnished to him:</w:t>
      </w:r>
    </w:p>
    <w:p>
      <w:pPr>
        <w:spacing w:after="0" w:line="187"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name and last known address of each partner;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our tax returns;</w:t>
      </w:r>
    </w:p>
    <w:p>
      <w:pPr>
        <w:spacing w:after="0" w:line="238"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our partnership agreement, our certificate of limited partnership, amendments to either of them and powers of attorney which have been executed under our partnership agreement;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status of our business and financial condition;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225"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i w:val="1"/>
          <w:iCs w:val="1"/>
          <w:color w:val="auto"/>
        </w:rPr>
        <w:t>General.</w:t>
      </w:r>
      <w:r>
        <w:rPr>
          <w:sz w:val="20"/>
          <w:szCs w:val="20"/>
          <w:color w:val="auto"/>
        </w:rPr>
        <w:tab/>
      </w:r>
      <w:r>
        <w:rPr>
          <w:rFonts w:ascii="Times New Roman" w:cs="Times New Roman" w:eastAsia="Times New Roman" w:hAnsi="Times New Roman"/>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Definition of Available Cash. </w:t>
      </w:r>
      <w:r>
        <w:rPr>
          <w:rFonts w:ascii="Times New Roman" w:cs="Times New Roman" w:eastAsia="Times New Roman" w:hAnsi="Times New Roman"/>
          <w:sz w:val="18"/>
          <w:szCs w:val="18"/>
          <w:color w:val="auto"/>
        </w:rPr>
        <w:t>Available cash generally means, for any quarter ending prior to liquidation, all cash on hand at the end of that quarter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cash reserves that are necessary or appropriate in the reasonable discretion of the general partner to:</w:t>
      </w:r>
    </w:p>
    <w:p>
      <w:pPr>
        <w:spacing w:after="0" w:line="186"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partnership debt instrument or other agreement;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unitholders and the general partner in respect of any one or more of the next four quarters.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225" w:lineRule="exact"/>
        <w:rPr>
          <w:sz w:val="20"/>
          <w:szCs w:val="20"/>
          <w:color w:val="auto"/>
        </w:rPr>
      </w:pPr>
    </w:p>
    <w:p>
      <w:pPr>
        <w:ind w:right="6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Cash distributions to our unitholders will be characterized as either operating surplus or capital surplus. We distribute available cash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surplus differently than available cash from capital surplus. See "—Quarterly Distributions of Available Cash."</w:t>
      </w:r>
    </w:p>
    <w:p>
      <w:pPr>
        <w:spacing w:after="0" w:line="170" w:lineRule="exact"/>
        <w:rPr>
          <w:sz w:val="20"/>
          <w:szCs w:val="20"/>
          <w:color w:val="auto"/>
        </w:rPr>
      </w:pPr>
    </w:p>
    <w:p>
      <w:pPr>
        <w:ind w:left="360"/>
        <w:spacing w:after="0"/>
        <w:tabs>
          <w:tab w:leader="none" w:pos="2800" w:val="left"/>
        </w:tabs>
        <w:rPr>
          <w:sz w:val="20"/>
          <w:szCs w:val="20"/>
          <w:color w:val="auto"/>
        </w:rPr>
      </w:pPr>
      <w:r>
        <w:rPr>
          <w:rFonts w:ascii="Times New Roman" w:cs="Times New Roman" w:eastAsia="Times New Roman" w:hAnsi="Times New Roman"/>
          <w:sz w:val="18"/>
          <w:szCs w:val="18"/>
          <w:i w:val="1"/>
          <w:iCs w:val="1"/>
          <w:color w:val="auto"/>
        </w:rPr>
        <w:t>Definition of Operating Surplus.</w:t>
      </w:r>
      <w:r>
        <w:rPr>
          <w:sz w:val="20"/>
          <w:szCs w:val="20"/>
          <w:color w:val="auto"/>
        </w:rPr>
        <w:tab/>
      </w:r>
      <w:r>
        <w:rPr>
          <w:rFonts w:ascii="Times New Roman" w:cs="Times New Roman" w:eastAsia="Times New Roman" w:hAnsi="Times New Roman"/>
          <w:sz w:val="16"/>
          <w:szCs w:val="16"/>
          <w:color w:val="auto"/>
        </w:rPr>
        <w:t>Operating surplus refers generally to:</w:t>
      </w:r>
    </w:p>
    <w:p>
      <w:pPr>
        <w:spacing w:after="0" w:line="24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238"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72" w:lineRule="exact"/>
        <w:rPr>
          <w:sz w:val="20"/>
          <w:szCs w:val="20"/>
          <w:color w:val="auto"/>
        </w:rPr>
      </w:pPr>
    </w:p>
    <w:p>
      <w:pPr>
        <w:ind w:left="360"/>
        <w:spacing w:after="0"/>
        <w:tabs>
          <w:tab w:leader="none" w:pos="2600" w:val="left"/>
        </w:tabs>
        <w:rPr>
          <w:sz w:val="20"/>
          <w:szCs w:val="20"/>
          <w:color w:val="auto"/>
        </w:rPr>
      </w:pPr>
      <w:r>
        <w:rPr>
          <w:rFonts w:ascii="Times New Roman" w:cs="Times New Roman" w:eastAsia="Times New Roman" w:hAnsi="Times New Roman"/>
          <w:sz w:val="18"/>
          <w:szCs w:val="18"/>
          <w:i w:val="1"/>
          <w:iCs w:val="1"/>
          <w:color w:val="auto"/>
        </w:rPr>
        <w:t>Definition of Capital Surplus.</w:t>
      </w:r>
      <w:r>
        <w:rPr>
          <w:sz w:val="20"/>
          <w:szCs w:val="20"/>
          <w:color w:val="auto"/>
        </w:rPr>
        <w:tab/>
      </w:r>
      <w:r>
        <w:rPr>
          <w:rFonts w:ascii="Times New Roman" w:cs="Times New Roman" w:eastAsia="Times New Roman" w:hAnsi="Times New Roman"/>
          <w:sz w:val="16"/>
          <w:szCs w:val="16"/>
          <w:color w:val="auto"/>
        </w:rPr>
        <w:t>Capital surplus will generally be generated only by:</w:t>
      </w:r>
    </w:p>
    <w:p>
      <w:pPr>
        <w:spacing w:after="0" w:line="254"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225"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86"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unit an amount equal to the minimum quarterly distribution for that quarter;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the manner described in "—Incentive Distribution Rights"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227" w:lineRule="exact"/>
        <w:rPr>
          <w:sz w:val="20"/>
          <w:szCs w:val="20"/>
          <w:color w:val="auto"/>
        </w:rPr>
      </w:pPr>
    </w:p>
    <w:p>
      <w:pPr>
        <w:ind w:right="40" w:firstLine="351"/>
        <w:spacing w:after="0" w:line="310" w:lineRule="auto"/>
        <w:rPr>
          <w:sz w:val="20"/>
          <w:szCs w:val="20"/>
          <w:color w:val="auto"/>
        </w:rPr>
      </w:pPr>
      <w:r>
        <w:rPr>
          <w:rFonts w:ascii="Times New Roman" w:cs="Times New Roman" w:eastAsia="Times New Roman" w:hAnsi="Times New Roman"/>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that exceed the minimum quarterly distribution, if any, and the related 2% distribution to the general partner.</w:t>
      </w:r>
    </w:p>
    <w:p>
      <w:pPr>
        <w:spacing w:after="0" w:line="151"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0" w:lineRule="exact"/>
        <w:rPr>
          <w:sz w:val="20"/>
          <w:szCs w:val="20"/>
          <w:color w:val="auto"/>
        </w:rPr>
      </w:pPr>
    </w:p>
    <w:p>
      <w:pPr>
        <w:ind w:left="1080" w:right="3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85% to all unitholders, pro rata, and 15% to the general partner, until each unitholder receives a total of $0.2475 for that quarter for each outstanding unit (the "first target distribution");</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75% to all unitholders, pro rata, and 25% to the general partner, until each unitholder receives a total of $0.3375 for that quarter for each outstanding unit (the "second target distribution");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Incentive Distribution Rights</w:t>
      </w:r>
    </w:p>
    <w:p>
      <w:pPr>
        <w:spacing w:after="0" w:line="227"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225" w:lineRule="exact"/>
        <w:rPr>
          <w:sz w:val="20"/>
          <w:szCs w:val="20"/>
          <w:color w:val="auto"/>
        </w:rPr>
      </w:pPr>
    </w:p>
    <w:p>
      <w:pPr>
        <w:ind w:left="360"/>
        <w:spacing w:after="0"/>
        <w:tabs>
          <w:tab w:leader="none" w:pos="4380" w:val="left"/>
        </w:tabs>
        <w:rPr>
          <w:sz w:val="20"/>
          <w:szCs w:val="20"/>
          <w:color w:val="auto"/>
        </w:rPr>
      </w:pPr>
      <w:r>
        <w:rPr>
          <w:rFonts w:ascii="Times New Roman" w:cs="Times New Roman" w:eastAsia="Times New Roman" w:hAnsi="Times New Roman"/>
          <w:sz w:val="18"/>
          <w:szCs w:val="18"/>
          <w:i w:val="1"/>
          <w:iCs w:val="1"/>
          <w:color w:val="auto"/>
        </w:rPr>
        <w:t>How Distributions from Capital Surplus Will Be Made.</w:t>
      </w:r>
      <w:r>
        <w:rPr>
          <w:sz w:val="20"/>
          <w:szCs w:val="20"/>
          <w:color w:val="auto"/>
        </w:rPr>
        <w:tab/>
      </w:r>
      <w:r>
        <w:rPr>
          <w:rFonts w:ascii="Times New Roman" w:cs="Times New Roman" w:eastAsia="Times New Roman" w:hAnsi="Times New Roman"/>
          <w:sz w:val="16"/>
          <w:szCs w:val="16"/>
          <w:color w:val="auto"/>
        </w:rPr>
        <w:t>We will make distributions of available cash from capital surplus in the following manner:</w:t>
      </w:r>
    </w:p>
    <w:p>
      <w:pPr>
        <w:spacing w:after="0" w:line="241" w:lineRule="exact"/>
        <w:rPr>
          <w:sz w:val="20"/>
          <w:szCs w:val="20"/>
          <w:color w:val="auto"/>
        </w:rPr>
      </w:pPr>
    </w:p>
    <w:p>
      <w:pPr>
        <w:ind w:left="1080" w:right="26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we will make all distributions of available cash from capital surplus as if they were from operating surplus.</w:t>
      </w:r>
    </w:p>
    <w:p>
      <w:pPr>
        <w:spacing w:after="0" w:line="223"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Effect of a Distribution from Capital Surplus. </w:t>
      </w:r>
      <w:r>
        <w:rPr>
          <w:rFonts w:ascii="Times New Roman" w:cs="Times New Roman" w:eastAsia="Times New Roman" w:hAnsi="Times New Roman"/>
          <w:sz w:val="18"/>
          <w:szCs w:val="18"/>
          <w:color w:val="auto"/>
        </w:rPr>
        <w:t>Our partnership agreement treats a distribution of available cash from capital surplus as the repayment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87" w:lineRule="exact"/>
        <w:rPr>
          <w:sz w:val="20"/>
          <w:szCs w:val="20"/>
          <w:color w:val="auto"/>
        </w:rPr>
      </w:pPr>
    </w:p>
    <w:p>
      <w:pPr>
        <w:ind w:left="360"/>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When Payback Occurs.</w:t>
      </w:r>
      <w:r>
        <w:rPr>
          <w:sz w:val="20"/>
          <w:szCs w:val="20"/>
          <w:color w:val="auto"/>
        </w:rPr>
        <w:tab/>
      </w:r>
      <w:r>
        <w:rPr>
          <w:rFonts w:ascii="Times New Roman" w:cs="Times New Roman" w:eastAsia="Times New Roman" w:hAnsi="Times New Roman"/>
          <w:sz w:val="16"/>
          <w:szCs w:val="16"/>
          <w:color w:val="auto"/>
        </w:rPr>
        <w:t>When "payback" of the reduced initial unit price has occurred, i.e., when the unrecovered capital of the common units is zero, then</w:t>
      </w:r>
    </w:p>
    <w:p>
      <w:pPr>
        <w:spacing w:after="0" w:line="24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 and the target distribution levels will be reduced to zero for subsequent quarters;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of available cash will be treated as operating surplus; and</w:t>
      </w:r>
    </w:p>
    <w:p>
      <w:pPr>
        <w:spacing w:after="0" w:line="252"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will be entitled to receive 50% of distributions of available cash in its capacities as general partner and as holder of the incentive distribution rights.</w:t>
      </w:r>
    </w:p>
    <w:p>
      <w:pPr>
        <w:spacing w:after="0" w:line="174"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Distributions of available cash from capital surplus will not reduce the minimum quarterly distribution or target distribution levels for the quarter in which they are distributed.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the Minimum Quarterly Distribution and Target Distribution Levels</w:t>
      </w:r>
    </w:p>
    <w:p>
      <w:pPr>
        <w:spacing w:after="0" w:line="225"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How We Adjust the Minimum Quarterly Distribution and Target Distribution Levels. </w:t>
      </w:r>
      <w:r>
        <w:rPr>
          <w:rFonts w:ascii="Times New Roman" w:cs="Times New Roman" w:eastAsia="Times New Roman" w:hAnsi="Times New Roman"/>
          <w:sz w:val="18"/>
          <w:szCs w:val="18"/>
          <w:color w:val="auto"/>
        </w:rPr>
        <w:t>In addition to adjusting the minimum quarterly distribution and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19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distribution levels;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unrecovered capital;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amounts calculated on a per unit basis.</w:t>
      </w:r>
    </w:p>
    <w:p>
      <w:pPr>
        <w:spacing w:after="0" w:line="225"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For example, in the event of a two-for-one split of the common units, the minimum quarterly distribution, each of the target distribution levels and the unrecovered capital of the common units would each be reduced to 50% of its pre-split level.</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If We Became Subject to Taxation. </w:t>
      </w:r>
      <w:r>
        <w:rPr>
          <w:rFonts w:ascii="Times New Roman" w:cs="Times New Roman" w:eastAsia="Times New Roman" w:hAnsi="Times New Roman"/>
          <w:sz w:val="18"/>
          <w:szCs w:val="18"/>
          <w:color w:val="auto"/>
        </w:rPr>
        <w:t>If legislation is enacted or if existing law is modified or interpreted by the relevant governmental authority so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97" w:lineRule="exact"/>
        <w:rPr>
          <w:sz w:val="20"/>
          <w:szCs w:val="20"/>
          <w:color w:val="auto"/>
        </w:rPr>
      </w:pPr>
    </w:p>
    <w:p>
      <w:pPr>
        <w:jc w:val="both"/>
        <w:ind w:left="1080" w:right="220" w:hanging="532"/>
        <w:spacing w:after="0" w:line="26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86"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225" w:lineRule="exact"/>
        <w:rPr>
          <w:sz w:val="20"/>
          <w:szCs w:val="20"/>
          <w:color w:val="auto"/>
        </w:rPr>
      </w:pPr>
    </w:p>
    <w:p>
      <w:pPr>
        <w:jc w:val="both"/>
        <w:ind w:right="12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General. </w:t>
      </w:r>
      <w:r>
        <w:rPr>
          <w:rFonts w:ascii="Times New Roman" w:cs="Times New Roman" w:eastAsia="Times New Roman" w:hAnsi="Times New Roman"/>
          <w:sz w:val="16"/>
          <w:szCs w:val="16"/>
          <w:color w:val="auto"/>
        </w:rPr>
        <w:t>If we dissolve and liquidate, we will sell our assets or otherwise dispose of our assets and we will adjust the partners' capital account balances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47" w:lineRule="exact"/>
        <w:rPr>
          <w:sz w:val="20"/>
          <w:szCs w:val="20"/>
          <w:color w:val="auto"/>
        </w:rPr>
      </w:pPr>
    </w:p>
    <w:p>
      <w:pPr>
        <w:ind w:left="360"/>
        <w:spacing w:after="0"/>
        <w:tabs>
          <w:tab w:leader="none" w:pos="2120" w:val="left"/>
        </w:tabs>
        <w:rPr>
          <w:sz w:val="20"/>
          <w:szCs w:val="20"/>
          <w:color w:val="auto"/>
        </w:rPr>
      </w:pPr>
      <w:r>
        <w:rPr>
          <w:rFonts w:ascii="Times New Roman" w:cs="Times New Roman" w:eastAsia="Times New Roman" w:hAnsi="Times New Roman"/>
          <w:sz w:val="18"/>
          <w:szCs w:val="18"/>
          <w:i w:val="1"/>
          <w:iCs w:val="1"/>
          <w:color w:val="auto"/>
        </w:rPr>
        <w:t>Manner of Adjustment.</w:t>
      </w:r>
      <w:r>
        <w:rPr>
          <w:sz w:val="20"/>
          <w:szCs w:val="20"/>
          <w:color w:val="auto"/>
        </w:rPr>
        <w:tab/>
      </w:r>
      <w:r>
        <w:rPr>
          <w:rFonts w:ascii="Times New Roman" w:cs="Times New Roman" w:eastAsia="Times New Roman" w:hAnsi="Times New Roman"/>
          <w:sz w:val="16"/>
          <w:szCs w:val="16"/>
          <w:color w:val="auto"/>
        </w:rPr>
        <w:t>If we liquidate, we would allocate any loss to the general partner and each unitholder as follows:</w:t>
      </w:r>
    </w:p>
    <w:p>
      <w:pPr>
        <w:spacing w:after="0" w:line="254" w:lineRule="exact"/>
        <w:rPr>
          <w:sz w:val="20"/>
          <w:szCs w:val="20"/>
          <w:color w:val="auto"/>
        </w:rPr>
      </w:pPr>
    </w:p>
    <w:p>
      <w:pPr>
        <w:ind w:left="1080" w:right="12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100% to the general partner.</w:t>
      </w:r>
    </w:p>
    <w:p>
      <w:pPr>
        <w:spacing w:after="0" w:line="22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Interim Adjustments to Capital Accounts. </w:t>
      </w:r>
      <w:r>
        <w:rPr>
          <w:rFonts w:ascii="Times New Roman" w:cs="Times New Roman" w:eastAsia="Times New Roman" w:hAnsi="Times New Roman"/>
          <w:sz w:val="18"/>
          <w:szCs w:val="18"/>
          <w:color w:val="auto"/>
        </w:rPr>
        <w:t>If we issued additional security interests or made distributions of property, interim adjustments to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partnership agreement. The following provisions of our partnership agreement are summarized elsewhere in this prospectus:</w:t>
      </w:r>
    </w:p>
    <w:p>
      <w:pPr>
        <w:spacing w:after="0" w:line="18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U.S. Federal Income Tax Consequences;"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common units are described under "Description of Our Common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Reimbursements of Our General Partner</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227" w:lineRule="exact"/>
        <w:rPr>
          <w:sz w:val="20"/>
          <w:szCs w:val="20"/>
          <w:color w:val="auto"/>
        </w:rPr>
      </w:pPr>
    </w:p>
    <w:p>
      <w:pPr>
        <w:ind w:firstLine="351"/>
        <w:spacing w:after="0" w:line="339" w:lineRule="auto"/>
        <w:rPr>
          <w:sz w:val="20"/>
          <w:szCs w:val="20"/>
          <w:color w:val="auto"/>
        </w:rPr>
      </w:pPr>
      <w:r>
        <w:rPr>
          <w:rFonts w:ascii="Times New Roman" w:cs="Times New Roman" w:eastAsia="Times New Roman" w:hAnsi="Times New Roman"/>
          <w:sz w:val="16"/>
          <w:szCs w:val="16"/>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28"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86"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227"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0"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3"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0"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227"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0"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all partners in accordance with the positive balance in the respective capital accounts.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Under some circumstances and subject to some limitations, the liquidator may defer liquidation or distribution of our assets for a reasonable period of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the liquidator determines that a sale would be impractical or would cause a loss to our partners, our general partner may distribute assets in kind to our partners.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227"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87" w:lineRule="exact"/>
        <w:rPr>
          <w:sz w:val="20"/>
          <w:szCs w:val="20"/>
          <w:color w:val="auto"/>
        </w:rPr>
      </w:pPr>
    </w:p>
    <w:p>
      <w:pPr>
        <w:ind w:left="1080" w:right="32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00"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227" w:lineRule="exact"/>
        <w:rPr>
          <w:sz w:val="20"/>
          <w:szCs w:val="20"/>
          <w:color w:val="auto"/>
        </w:rPr>
      </w:pPr>
    </w:p>
    <w:p>
      <w:pPr>
        <w:ind w:right="60" w:firstLine="351"/>
        <w:spacing w:after="0" w:line="285" w:lineRule="auto"/>
        <w:rPr>
          <w:sz w:val="20"/>
          <w:szCs w:val="20"/>
          <w:color w:val="auto"/>
        </w:rPr>
      </w:pPr>
      <w:r>
        <w:rPr>
          <w:rFonts w:ascii="Times New Roman" w:cs="Times New Roman" w:eastAsia="Times New Roman" w:hAnsi="Times New Roman"/>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ind w:right="20" w:firstLine="8"/>
        <w:spacing w:after="0" w:line="261" w:lineRule="auto"/>
        <w:tabs>
          <w:tab w:leader="none" w:pos="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7"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93"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ind w:right="260" w:firstLine="348"/>
        <w:spacing w:after="0" w:line="256"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93"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cs="Times New Roman" w:eastAsia="Times New Roman" w:hAnsi="Times New Roman"/>
          <w:sz w:val="18"/>
          <w:szCs w:val="18"/>
          <w:b w:val="1"/>
          <w:bCs w:val="1"/>
          <w:i w:val="1"/>
          <w:iCs w:val="1"/>
          <w:color w:val="auto"/>
        </w:rPr>
        <w:t>Accordingly, we encourage each unitholder to consult the unitholder's own tax advisor in analyzing the federal,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local and non-U.S. tax consequences particular to that unitholder resulting from ownership or disposition of units and potential changes in applicable tax laws.</w:t>
      </w:r>
    </w:p>
    <w:p>
      <w:pPr>
        <w:spacing w:after="0" w:line="19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93"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229"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74"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95" w:lineRule="exact"/>
        <w:rPr>
          <w:sz w:val="20"/>
          <w:szCs w:val="20"/>
          <w:color w:val="auto"/>
        </w:rPr>
      </w:pPr>
    </w:p>
    <w:p>
      <w:pPr>
        <w:jc w:val="both"/>
        <w:ind w:right="460" w:firstLine="351"/>
        <w:spacing w:after="0" w:line="258" w:lineRule="auto"/>
        <w:rPr>
          <w:sz w:val="20"/>
          <w:szCs w:val="20"/>
          <w:color w:val="auto"/>
        </w:rPr>
      </w:pPr>
      <w:r>
        <w:rPr>
          <w:rFonts w:ascii="Times New Roman" w:cs="Times New Roman" w:eastAsia="Times New Roman" w:hAnsi="Times New Roman"/>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0" w:lineRule="exact"/>
        <w:rPr>
          <w:sz w:val="20"/>
          <w:szCs w:val="20"/>
          <w:color w:val="auto"/>
        </w:rPr>
      </w:pPr>
    </w:p>
    <w:p>
      <w:pPr>
        <w:ind w:left="1220" w:hanging="321"/>
        <w:spacing w:after="0"/>
        <w:tabs>
          <w:tab w:leader="none" w:pos="12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we nor any of our partnership or limited liability company subsidiaries has elected to be treated as a corporation for federal income tax</w:t>
      </w:r>
    </w:p>
    <w:p>
      <w:pPr>
        <w:spacing w:after="0" w:line="44"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purposes;</w:t>
      </w:r>
    </w:p>
    <w:p>
      <w:pPr>
        <w:spacing w:after="0" w:line="212" w:lineRule="exact"/>
        <w:rPr>
          <w:rFonts w:ascii="Times New Roman" w:cs="Times New Roman" w:eastAsia="Times New Roman" w:hAnsi="Times New Roman"/>
          <w:sz w:val="16"/>
          <w:szCs w:val="16"/>
          <w:color w:val="auto"/>
        </w:rPr>
      </w:pPr>
    </w:p>
    <w:p>
      <w:pPr>
        <w:ind w:left="540" w:firstLine="359"/>
        <w:spacing w:after="0" w:line="275" w:lineRule="auto"/>
        <w:tabs>
          <w:tab w:leader="none" w:pos="12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73" w:lineRule="exact"/>
        <w:rPr>
          <w:rFonts w:ascii="Times New Roman" w:cs="Times New Roman" w:eastAsia="Times New Roman" w:hAnsi="Times New Roman"/>
          <w:sz w:val="18"/>
          <w:szCs w:val="18"/>
          <w:color w:val="auto"/>
        </w:rPr>
      </w:pPr>
    </w:p>
    <w:p>
      <w:pPr>
        <w:ind w:left="540" w:right="220" w:firstLine="359"/>
        <w:spacing w:after="0" w:line="262" w:lineRule="auto"/>
        <w:tabs>
          <w:tab w:leader="none" w:pos="12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93"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 traded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partnerships as corporations upon which we rely for our treatment as a partnership for U.S. federal income tax purposes.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remainder of this discussion is based on the opinion of Vinson &amp; Elkins L.L.P. that we will be treated as a partnership for federal income tax purposes.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229"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0"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assignees who have executed and delivered transfer applications, and are awaiting admission as limited partners, and</w:t>
      </w:r>
    </w:p>
    <w:p>
      <w:pPr>
        <w:spacing w:after="0" w:line="252"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3"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229"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40"/>
        <w:spacing w:after="0" w:line="310" w:lineRule="auto"/>
        <w:rPr>
          <w:sz w:val="20"/>
          <w:szCs w:val="20"/>
          <w:color w:val="auto"/>
        </w:rPr>
      </w:pPr>
      <w:r>
        <w:rPr>
          <w:rFonts w:ascii="Times New Roman" w:cs="Times New Roman" w:eastAsia="Times New Roman" w:hAnsi="Times New Roman"/>
          <w:sz w:val="16"/>
          <w:szCs w:val="16"/>
          <w:color w:val="auto"/>
        </w:rPr>
        <w:t>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229" w:lineRule="exact"/>
        <w:rPr>
          <w:sz w:val="20"/>
          <w:szCs w:val="20"/>
          <w:color w:val="auto"/>
        </w:rPr>
      </w:pPr>
    </w:p>
    <w:p>
      <w:pPr>
        <w:ind w:right="40" w:firstLine="341"/>
        <w:spacing w:after="0" w:line="301" w:lineRule="auto"/>
        <w:rPr>
          <w:sz w:val="20"/>
          <w:szCs w:val="20"/>
          <w:color w:val="auto"/>
        </w:rPr>
      </w:pPr>
      <w:r>
        <w:rPr>
          <w:rFonts w:ascii="Times New Roman" w:cs="Times New Roman" w:eastAsia="Times New Roman" w:hAnsi="Times New Roman"/>
          <w:sz w:val="16"/>
          <w:szCs w:val="16"/>
          <w:color w:val="auto"/>
        </w:rPr>
        <w:t>A unitholder's tax basis in its units initially will be the amount it paid for those units plus the unitholder's initial share of our liabilities. That basis generally will be (i) increased by the unitholder's share of our income and any increases in such unitholder's share of our "nonrecourse liabilities" (liabilities for which no partner, including our general partner, bears the economic risk of loss), and (ii) decreased, but not below zero, by distributions to it, by its share of our losses, and any decreases in its share of our nonrecourse liabilities and its share of our expenditures that are neither deductible nor required to be capitalized.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74" w:lineRule="exact"/>
        <w:rPr>
          <w:sz w:val="20"/>
          <w:szCs w:val="20"/>
          <w:color w:val="auto"/>
        </w:rPr>
      </w:pPr>
    </w:p>
    <w:p>
      <w:pPr>
        <w:ind w:right="20" w:firstLine="341"/>
        <w:spacing w:after="0" w:line="301" w:lineRule="auto"/>
        <w:rPr>
          <w:sz w:val="20"/>
          <w:szCs w:val="20"/>
          <w:color w:val="auto"/>
        </w:rPr>
      </w:pPr>
      <w:r>
        <w:rPr>
          <w:rFonts w:ascii="Times New Roman" w:cs="Times New Roman" w:eastAsia="Times New Roman" w:hAnsi="Times New Roman"/>
          <w:sz w:val="16"/>
          <w:szCs w:val="16"/>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57" w:lineRule="exact"/>
        <w:rPr>
          <w:sz w:val="20"/>
          <w:szCs w:val="20"/>
          <w:color w:val="auto"/>
        </w:rPr>
      </w:pPr>
    </w:p>
    <w:p>
      <w:pPr>
        <w:ind w:right="40" w:firstLine="341"/>
        <w:spacing w:after="0" w:line="285" w:lineRule="auto"/>
        <w:rPr>
          <w:sz w:val="20"/>
          <w:szCs w:val="20"/>
          <w:color w:val="auto"/>
        </w:rPr>
      </w:pPr>
      <w:r>
        <w:rPr>
          <w:rFonts w:ascii="Times New Roman" w:cs="Times New Roman" w:eastAsia="Times New Roman" w:hAnsi="Times New Roman"/>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w:t>
      </w:r>
    </w:p>
    <w:p>
      <w:pPr>
        <w:ind w:right="400" w:firstLine="8"/>
        <w:spacing w:after="0" w:line="261"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non-pro rata portion of that distribution over (2) the unitholder's tax basis (generally zero) in the Section 751 Assets deemed to be relinquished in the exchange.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229" w:lineRule="exact"/>
        <w:rPr>
          <w:sz w:val="20"/>
          <w:szCs w:val="20"/>
          <w:color w:val="auto"/>
        </w:rPr>
      </w:pP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4"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3"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or your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deductibility of a non-corporate taxpayer's "investment interest expense" generally is limited to the amount of that taxpayer's "net investment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interest expense includes:</w:t>
      </w:r>
    </w:p>
    <w:p>
      <w:pPr>
        <w:spacing w:after="0" w:line="226"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225"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229"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If we are required or elect under applicable law to pay any federal, state, local or non-U.S. tax on behalf of any current or former unitholder or our general partner, we are authorized to pay those taxes and treat the payment as a distribution of cash to the relevant unitholder or general partner.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nearly as is practicable.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229"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5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0"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An allocation of items of our income, gain, loss or deduction, generally must have "substantial economic effect" as determined under Treasury Regulations. If an allocation does not have substantial economic effect, it will be reallocated to our common unitholders the basis of their interests in us, which will be determined by taking into account all the facts and circumstances, including:</w:t>
      </w:r>
    </w:p>
    <w:p>
      <w:pPr>
        <w:spacing w:after="0" w:line="200"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relative contributions to 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all the partners in profits and losses;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all the partners in cash flow;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all the partners to distributions of capital upon liquidation.</w:t>
      </w:r>
    </w:p>
    <w:p>
      <w:pPr>
        <w:spacing w:after="0" w:line="225"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Vinson &amp; Elkins L.L.P. is of the opinion that, with the exception of the issues described in "—Section 754 Election" and "—Disposition of Units— Allocations Between Transferors and Transferees," allocations under our partnership agreement will have substantial economic effect.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229" w:lineRule="exact"/>
        <w:rPr>
          <w:sz w:val="20"/>
          <w:szCs w:val="20"/>
          <w:color w:val="auto"/>
        </w:rPr>
      </w:pPr>
    </w:p>
    <w:p>
      <w:pPr>
        <w:jc w:val="both"/>
        <w:ind w:right="120" w:firstLine="341"/>
        <w:spacing w:after="0" w:line="258" w:lineRule="auto"/>
        <w:rPr>
          <w:sz w:val="20"/>
          <w:szCs w:val="20"/>
          <w:color w:val="auto"/>
        </w:rPr>
      </w:pPr>
      <w:r>
        <w:rPr>
          <w:rFonts w:ascii="Times New Roman" w:cs="Times New Roman" w:eastAsia="Times New Roman" w:hAnsi="Times New Roman"/>
          <w:sz w:val="18"/>
          <w:szCs w:val="18"/>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90"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"—Disposition of Units—Recognition of Gain or Loss."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229"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229" w:lineRule="exact"/>
        <w:rPr>
          <w:sz w:val="20"/>
          <w:szCs w:val="20"/>
          <w:color w:val="auto"/>
        </w:rPr>
      </w:pPr>
    </w:p>
    <w:p>
      <w:pPr>
        <w:ind w:right="120" w:firstLine="348"/>
        <w:spacing w:after="0" w:line="296" w:lineRule="auto"/>
        <w:rPr>
          <w:sz w:val="20"/>
          <w:szCs w:val="20"/>
          <w:color w:val="auto"/>
        </w:rPr>
      </w:pPr>
      <w:r>
        <w:rPr>
          <w:rFonts w:ascii="Times New Roman" w:cs="Times New Roman" w:eastAsia="Times New Roman" w:hAnsi="Times New Roman"/>
          <w:sz w:val="16"/>
          <w:szCs w:val="16"/>
          <w:color w:val="auto"/>
        </w:rPr>
        <w:t>We have made the election permitted by Section 754 of the Code that permits us to adjust the tax basis in our assets as to specific purchased units under Section 743(b) of the Code to reflect the unit purchase price. The Section 743(b) adjustment separately applies to each purchaser of units based upon the values and basis of our assets at the time of the relevant purchase. The Section 743(b) adjustment does not apply to a person who purchases units directly from us. For purposes of this discussion, a common unitholder's basis in our assets will be considered to have two components: (1) its share of the tax basis in our assets as to all common unitholders ("common basis") and (2) its Section 743(b) adjustment to that tax basis (which may be positive or negative).</w:t>
      </w:r>
    </w:p>
    <w:p>
      <w:pPr>
        <w:spacing w:after="0" w:line="16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Under Treasury Regulations, a Section 743(b) adjustment attributable to property depreciable under Section 168 of the Code, such as our storage assets, may be amortizable over the remaining cost recovery period for such property, while a Section 743(b) adjustment attributable to properties subject to depreciation under Section 167 of the Code, must be amortized straight-line or using the 150% declining balance method. As a result, if we owned any assets subject to depreciation under Section 167 of the Code, the amortization rates could give rise to differences in the taxation of common unitholders purchasing units from us and common unitholders purchasing from other common unitholders.</w:t>
      </w:r>
    </w:p>
    <w:p>
      <w:pPr>
        <w:spacing w:after="0" w:line="193"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Under our partnership agreement, we are authorized to take a position to preserve the uniformity of units even if that position is not consistent with these or any other Treasury Regulations. Please read "—Uniformity of Units." Consistent with this authority, we intend to treat properties depreciable under Section 167, if any, in the same manner as properties depreciable under Section 168 for this purpose. These positions are consistent with the methods employed by other publicly traded partnerships but are inconsistent with the existing Treasury Regulations, and Vinson &amp; Elkins L.L.P. has not opined on the validity of this approach.</w:t>
      </w:r>
    </w:p>
    <w:p>
      <w:pPr>
        <w:spacing w:after="0" w:line="193"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IRS may challenge our positions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Treatment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229"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229"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"—Tax Consequences of Unit Ownership—Allocation of Income, Gain, Loss and Deduction."</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93"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Our Properties</w:t>
      </w:r>
    </w:p>
    <w:p>
      <w:pPr>
        <w:spacing w:after="0" w:line="229"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229"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93" w:lineRule="exact"/>
        <w:rPr>
          <w:sz w:val="20"/>
          <w:szCs w:val="20"/>
          <w:color w:val="auto"/>
        </w:rPr>
      </w:pPr>
    </w:p>
    <w:p>
      <w:pPr>
        <w:jc w:val="both"/>
        <w:ind w:right="100" w:firstLine="348"/>
        <w:spacing w:after="0" w:line="301" w:lineRule="auto"/>
        <w:rPr>
          <w:sz w:val="20"/>
          <w:szCs w:val="20"/>
          <w:color w:val="auto"/>
        </w:rPr>
      </w:pPr>
      <w:r>
        <w:rPr>
          <w:rFonts w:ascii="Times New Roman" w:cs="Times New Roman" w:eastAsia="Times New Roman" w:hAnsi="Times New Roman"/>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5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0"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Transferees</w:t>
      </w:r>
    </w:p>
    <w:p>
      <w:pPr>
        <w:spacing w:after="0" w:line="229" w:lineRule="exact"/>
        <w:rPr>
          <w:sz w:val="20"/>
          <w:szCs w:val="20"/>
          <w:color w:val="auto"/>
        </w:rPr>
      </w:pPr>
    </w:p>
    <w:p>
      <w:pPr>
        <w:ind w:right="100" w:firstLine="351"/>
        <w:spacing w:after="0" w:line="293" w:lineRule="auto"/>
        <w:rPr>
          <w:sz w:val="20"/>
          <w:szCs w:val="20"/>
          <w:color w:val="auto"/>
        </w:rPr>
      </w:pPr>
      <w:r>
        <w:rPr>
          <w:rFonts w:ascii="Times New Roman" w:cs="Times New Roman" w:eastAsia="Times New Roman" w:hAnsi="Times New Roman"/>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65"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Nonetheless, the safe harbor in the proposed regulations differs slightly from the proration method we have adopted because the safe harbor would allocate tax items among the months based upon the relative number of days in each month, and could require certain tax items which our general partner may not consider extraordinary to be allocated to the month in which such items actually occur.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might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95" w:lineRule="exact"/>
        <w:rPr>
          <w:sz w:val="20"/>
          <w:szCs w:val="20"/>
          <w:color w:val="auto"/>
        </w:rPr>
      </w:pPr>
    </w:p>
    <w:p>
      <w:pPr>
        <w:ind w:right="300" w:firstLine="341"/>
        <w:spacing w:after="0" w:line="275"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229" w:lineRule="exact"/>
        <w:rPr>
          <w:sz w:val="20"/>
          <w:szCs w:val="20"/>
          <w:color w:val="auto"/>
        </w:rPr>
      </w:pPr>
    </w:p>
    <w:p>
      <w:pPr>
        <w:ind w:right="140" w:firstLine="341"/>
        <w:spacing w:after="0" w:line="256" w:lineRule="auto"/>
        <w:rPr>
          <w:sz w:val="20"/>
          <w:szCs w:val="20"/>
          <w:color w:val="auto"/>
        </w:rPr>
      </w:pPr>
      <w:r>
        <w:rPr>
          <w:rFonts w:ascii="Times New Roman" w:cs="Times New Roman" w:eastAsia="Times New Roman" w:hAnsi="Times New Roman"/>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Termination</w:t>
      </w:r>
    </w:p>
    <w:p>
      <w:pPr>
        <w:spacing w:after="0" w:line="229"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will be considered to have terminated our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such unitholder's taxable income for the year of termination.</w:t>
      </w:r>
    </w:p>
    <w:p>
      <w:pPr>
        <w:spacing w:after="0" w:line="193" w:lineRule="exact"/>
        <w:rPr>
          <w:sz w:val="20"/>
          <w:szCs w:val="20"/>
          <w:color w:val="auto"/>
        </w:rPr>
      </w:pPr>
    </w:p>
    <w:p>
      <w:pPr>
        <w:ind w:right="140" w:firstLine="341"/>
        <w:spacing w:after="0" w:line="255" w:lineRule="auto"/>
        <w:rPr>
          <w:sz w:val="20"/>
          <w:szCs w:val="20"/>
          <w:color w:val="auto"/>
        </w:rPr>
      </w:pPr>
      <w:r>
        <w:rPr>
          <w:rFonts w:ascii="Times New Roman" w:cs="Times New Roman" w:eastAsia="Times New Roman" w:hAnsi="Times New Roman"/>
          <w:sz w:val="18"/>
          <w:szCs w:val="18"/>
          <w:color w:val="auto"/>
        </w:rPr>
        <w:t>A constructive termination occurring on a date other than December 31 will result in us filing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We would be required to make new tax elections after a termination, including a new election under Section 754 of the Code, and the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22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could result from a literal application of Treasury Regulation Section 1.167(c)-1(a)(6), which is not anticipated to apply to a material portion of our assets. Any non-uniformity could have a negative impact on the value of the units. Please read "—Tax Consequences of Unit Ownership—Section 754 Election."</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necessary to preserve the uniformity of our units, our partnership agreement permits our general partner to take positions in filing our tax returns even when contrary to a literal application of regulations like the one described above. These positions may include reducing for some common unitholders the depreciation, amortization or loss deductions to which they would otherwise be entitled or reporting a slower amortization of Section 743(b) adjustments for some common unitholders than that to which they would otherwise be entitled. The general partner does not anticipate needing to take such positions, but if they were necessary, Vinson &amp; Elkins L.L.P. would be unable to opine as to validity of such filing positions in the absence of direct and controlling authority.</w:t>
      </w:r>
    </w:p>
    <w:p>
      <w:pPr>
        <w:spacing w:after="0" w:line="193" w:lineRule="exact"/>
        <w:rPr>
          <w:sz w:val="20"/>
          <w:szCs w:val="20"/>
          <w:color w:val="auto"/>
        </w:rPr>
      </w:pPr>
    </w:p>
    <w:p>
      <w:pPr>
        <w:ind w:right="120" w:firstLine="341"/>
        <w:spacing w:after="0" w:line="258" w:lineRule="auto"/>
        <w:rPr>
          <w:sz w:val="20"/>
          <w:szCs w:val="20"/>
          <w:color w:val="auto"/>
        </w:rPr>
      </w:pPr>
      <w:r>
        <w:rPr>
          <w:rFonts w:ascii="Times New Roman" w:cs="Times New Roman" w:eastAsia="Times New Roman" w:hAnsi="Times New Roman"/>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—Section 754</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40"/>
        <w:spacing w:after="0" w:line="262" w:lineRule="auto"/>
        <w:rPr>
          <w:sz w:val="20"/>
          <w:szCs w:val="20"/>
          <w:color w:val="auto"/>
        </w:rPr>
      </w:pPr>
      <w:r>
        <w:rPr>
          <w:rFonts w:ascii="Times New Roman" w:cs="Times New Roman" w:eastAsia="Times New Roman" w:hAnsi="Times New Roman"/>
          <w:sz w:val="18"/>
          <w:szCs w:val="18"/>
          <w:color w:val="auto"/>
        </w:rPr>
        <w:t>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Organizations and Other Investors</w:t>
      </w:r>
    </w:p>
    <w:p>
      <w:pPr>
        <w:spacing w:after="0" w:line="229"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6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Non-U.S. Unitholders will be considered to be engaged in business in the United States because of their ownership of our units. Furthermore, it is probable that they will be deemed to conduct such activities through permanent establishments in the U.S.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92"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93" w:lineRule="exact"/>
        <w:rPr>
          <w:sz w:val="20"/>
          <w:szCs w:val="20"/>
          <w:color w:val="auto"/>
        </w:rPr>
      </w:pPr>
    </w:p>
    <w:p>
      <w:pPr>
        <w:ind w:right="20" w:firstLine="341"/>
        <w:spacing w:after="0" w:line="253" w:lineRule="auto"/>
        <w:rPr>
          <w:sz w:val="20"/>
          <w:szCs w:val="20"/>
          <w:color w:val="auto"/>
        </w:rPr>
      </w:pPr>
      <w:r>
        <w:rPr>
          <w:rFonts w:ascii="Times New Roman" w:cs="Times New Roman" w:eastAsia="Times New Roman" w:hAnsi="Times New Roman"/>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Unitholder from the sale of its interest in a partnership that is engaged in a trade or business in the United States will be considered to be "effectively connected" with a U.S. trade or business. Thus, part of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associated personal property, and interests in certain entities holding U.S. real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229"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3"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contend in court that those positions are impermissible,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not related to our returns as well as those related to its returns.</w:t>
      </w:r>
    </w:p>
    <w:p>
      <w:pPr>
        <w:spacing w:after="0" w:line="190"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0"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9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225" w:lineRule="exact"/>
        <w:rPr>
          <w:sz w:val="20"/>
          <w:szCs w:val="20"/>
          <w:color w:val="auto"/>
        </w:rPr>
      </w:pPr>
    </w:p>
    <w:p>
      <w:pPr>
        <w:ind w:left="5620" w:right="3480" w:hanging="4721"/>
        <w:spacing w:after="0" w:line="525" w:lineRule="auto"/>
        <w:tabs>
          <w:tab w:leader="none" w:pos="12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225" w:lineRule="exact"/>
        <w:rPr>
          <w:rFonts w:ascii="Times New Roman" w:cs="Times New Roman" w:eastAsia="Times New Roman" w:hAnsi="Times New Roman"/>
          <w:sz w:val="18"/>
          <w:szCs w:val="18"/>
          <w:color w:val="auto"/>
        </w:rPr>
      </w:pPr>
    </w:p>
    <w:p>
      <w:pPr>
        <w:ind w:left="1760" w:hanging="320"/>
        <w:spacing w:after="0"/>
        <w:tabs>
          <w:tab w:leader="none" w:pos="1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225"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 owned agency or instrumentality of either of the foregoing; or</w:t>
      </w:r>
    </w:p>
    <w:p>
      <w:pPr>
        <w:spacing w:after="0" w:line="225" w:lineRule="exact"/>
        <w:rPr>
          <w:rFonts w:ascii="Times New Roman" w:cs="Times New Roman" w:eastAsia="Times New Roman" w:hAnsi="Times New Roman"/>
          <w:sz w:val="18"/>
          <w:szCs w:val="18"/>
          <w:color w:val="auto"/>
        </w:rPr>
      </w:pPr>
    </w:p>
    <w:p>
      <w:pPr>
        <w:ind w:left="1760" w:hanging="320"/>
        <w:spacing w:after="0"/>
        <w:tabs>
          <w:tab w:leader="none" w:pos="1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225" w:lineRule="exact"/>
        <w:rPr>
          <w:rFonts w:ascii="Times New Roman" w:cs="Times New Roman" w:eastAsia="Times New Roman" w:hAnsi="Times New Roman"/>
          <w:sz w:val="18"/>
          <w:szCs w:val="18"/>
          <w:color w:val="auto"/>
        </w:rPr>
      </w:pPr>
    </w:p>
    <w:p>
      <w:pPr>
        <w:ind w:left="540" w:right="80" w:firstLine="359"/>
        <w:spacing w:after="0" w:line="275" w:lineRule="auto"/>
        <w:tabs>
          <w:tab w:leader="none" w:pos="12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229"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of Debt Securities</w:t>
      </w:r>
    </w:p>
    <w:p>
      <w:pPr>
        <w:spacing w:after="0" w:line="229"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72"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for public offering and sale;</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from time to time: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NYSE;</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or</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0"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62"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86"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74"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74"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621030</wp:posOffset>
            </wp:positionV>
            <wp:extent cx="1955165" cy="574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55165" cy="57467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Common Units Representing Limited Partner Interests</w:t>
      </w:r>
    </w:p>
    <w:p>
      <w:pPr>
        <w:spacing w:after="0" w:line="4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Having an Aggregate Offering Price of Up to $750,000,000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November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153670</wp:posOffset>
            </wp:positionV>
            <wp:extent cx="18954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Wells Fargo Securities</w:t>
      </w:r>
    </w:p>
    <w:p>
      <w:pPr>
        <w:spacing w:after="0" w:line="4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Barclays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BB&amp;T Capital Markets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BMO Capital Markets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BNP PARIBAS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Citigroup</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Deutsche Bank Securities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DNB Markets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Fifth Third Securities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J.P. Morgan</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Jefferies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BofA Merrill Lynch</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MUFG</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Mizuho Securities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Morgan Stanley</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Raymond James</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Scotia Howard Weil</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SMBC Nikko</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SunTrust Robinson Humphrey</w:t>
      </w:r>
    </w:p>
    <w:p>
      <w:pPr>
        <w:spacing w:after="0" w:line="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lvl w:ilvl="1">
      <w:lvlJc w:val="left"/>
      <w:lvlText w:val="(%2)"/>
      <w:numFmt w:val="lowerLetter"/>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1"/>
    </w:lvl>
    <w:lvl w:ilvl="1">
      <w:lvlJc w:val="left"/>
      <w:lvlText w:val="(%2)"/>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2"/>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lvl w:ilvl="1">
      <w:lvlJc w:val="left"/>
      <w:lvlText w:val="(%2)"/>
      <w:numFmt w:val="lowerLetter"/>
      <w:start w:val="1"/>
    </w:lvl>
  </w:abstractNum>
  <w:abstractNum w:abstractNumId="43">
    <w:nsid w:val="2CD89A32"/>
    <w:multiLevelType w:val="hybridMultilevel"/>
    <w:lvl w:ilvl="0">
      <w:lvlJc w:val="left"/>
      <w:lvlText w:val="•"/>
      <w:numFmt w:val="bullet"/>
      <w:start w:val="1"/>
    </w:lvl>
    <w:lvl w:ilvl="1">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2020-01-22T00:43:16Z</dcterms:created>
  <dcterms:modified xsi:type="dcterms:W3CDTF">2020-01-22T00:43:16Z</dcterms:modified>
</cp:coreProperties>
</file>