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8"/>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02/10/2016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1,000,000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5.8637</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1,200,000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9"/>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$5.09 to $6.07, inclusive. The reporting person will provide upon request by the SEC staff, the issuer or any security holder of the issuer, full information regarding the number of shares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Ann F. Gullion, attorney-in- </w:t>
      </w:r>
      <w:r>
        <w:rPr>
          <w:rFonts w:ascii="Arial" w:cs="Arial" w:eastAsia="Arial" w:hAnsi="Arial"/>
          <w:sz w:val="35"/>
          <w:szCs w:val="35"/>
          <w:color w:val="0000FF"/>
          <w:vertAlign w:val="subscript"/>
        </w:rPr>
        <w:t>02/11/2016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2020-01-19T06:00:51Z</dcterms:created>
  <dcterms:modified xsi:type="dcterms:W3CDTF">2020-01-19T06:00:51Z</dcterms:modified>
</cp:coreProperties>
</file>