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40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4027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McGee Richard K.</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09/03/2015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19"/>
        <w:spacing w:after="0"/>
        <w:rPr>
          <w:sz w:val="20"/>
          <w:szCs w:val="20"/>
          <w:color w:val="auto"/>
        </w:rPr>
      </w:pPr>
      <w:r>
        <w:rPr>
          <w:rFonts w:ascii="Arial" w:cs="Arial" w:eastAsia="Arial" w:hAnsi="Arial"/>
          <w:sz w:val="17"/>
          <w:szCs w:val="17"/>
          <w:color w:val="0000FF"/>
        </w:rPr>
        <w:t>EVP, General Counsel &amp; Sec.</w:t>
      </w:r>
    </w:p>
    <w:p>
      <w:pPr>
        <w:spacing w:after="0" w:line="325"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3"/>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Class A</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Class</w:t>
            </w: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vMerge w:val="restart"/>
          </w:tcPr>
          <w:p>
            <w:pPr>
              <w:ind w:left="820"/>
              <w:spacing w:after="0"/>
              <w:rPr>
                <w:sz w:val="20"/>
                <w:szCs w:val="20"/>
                <w:color w:val="auto"/>
              </w:rPr>
            </w:pP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rPr>
              <w:t>Units in</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restart"/>
          </w:tcPr>
          <w:p>
            <w:pPr>
              <w:ind w:left="220"/>
              <w:spacing w:after="0"/>
              <w:rPr>
                <w:sz w:val="20"/>
                <w:szCs w:val="20"/>
                <w:color w:val="auto"/>
              </w:rPr>
            </w:pPr>
            <w:r>
              <w:rPr>
                <w:rFonts w:ascii="Arial" w:cs="Arial" w:eastAsia="Arial" w:hAnsi="Arial"/>
                <w:sz w:val="11"/>
                <w:szCs w:val="11"/>
                <w:color w:val="008000"/>
              </w:rPr>
              <w:t>(1)(2)(3)</w:t>
            </w:r>
          </w:p>
        </w:tc>
        <w:tc>
          <w:tcPr>
            <w:tcW w:w="740" w:type="dxa"/>
            <w:vAlign w:val="bottom"/>
            <w:vMerge w:val="restart"/>
          </w:tcPr>
          <w:p>
            <w:pPr>
              <w:jc w:val="right"/>
              <w:ind w:right="122"/>
              <w:spacing w:after="0"/>
              <w:rPr>
                <w:sz w:val="20"/>
                <w:szCs w:val="20"/>
                <w:color w:val="auto"/>
              </w:rPr>
            </w:pPr>
            <w:r>
              <w:rPr>
                <w:rFonts w:ascii="Arial" w:cs="Arial" w:eastAsia="Arial" w:hAnsi="Arial"/>
                <w:sz w:val="11"/>
                <w:szCs w:val="11"/>
                <w:color w:val="008000"/>
              </w:rPr>
              <w:t>(1)(2)(3)</w:t>
            </w:r>
          </w:p>
        </w:tc>
        <w:tc>
          <w:tcPr>
            <w:tcW w:w="480" w:type="dxa"/>
            <w:vAlign w:val="bottom"/>
            <w:vMerge w:val="continue"/>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39,248</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940" w:type="dxa"/>
            <w:vAlign w:val="bottom"/>
            <w:vMerge w:val="restart"/>
          </w:tcPr>
          <w:p>
            <w:pPr>
              <w:ind w:left="220"/>
              <w:spacing w:after="0" w:line="208" w:lineRule="exact"/>
              <w:rPr>
                <w:sz w:val="20"/>
                <w:szCs w:val="20"/>
                <w:color w:val="auto"/>
              </w:rPr>
            </w:pPr>
            <w:r>
              <w:rPr>
                <w:rFonts w:ascii="Arial" w:cs="Arial" w:eastAsia="Arial" w:hAnsi="Arial"/>
                <w:sz w:val="13"/>
                <w:szCs w:val="13"/>
                <w:color w:val="0000FF"/>
              </w:rPr>
              <w:t>39,248</w:t>
            </w:r>
            <w:r>
              <w:rPr>
                <w:rFonts w:ascii="Arial" w:cs="Arial" w:eastAsia="Arial" w:hAnsi="Arial"/>
                <w:sz w:val="22"/>
                <w:szCs w:val="22"/>
                <w:color w:val="008000"/>
                <w:vertAlign w:val="superscript"/>
              </w:rPr>
              <w:t>(4)</w:t>
            </w:r>
          </w:p>
        </w:tc>
        <w:tc>
          <w:tcPr>
            <w:tcW w:w="7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700" w:type="dxa"/>
            <w:vAlign w:val="bottom"/>
            <w:vMerge w:val="continue"/>
          </w:tcPr>
          <w:p>
            <w:pPr>
              <w:spacing w:after="0"/>
              <w:rPr>
                <w:sz w:val="5"/>
                <w:szCs w:val="5"/>
                <w:color w:val="auto"/>
              </w:rPr>
            </w:pPr>
          </w:p>
        </w:tc>
        <w:tc>
          <w:tcPr>
            <w:tcW w:w="800" w:type="dxa"/>
            <w:vAlign w:val="bottom"/>
            <w:vMerge w:val="restart"/>
          </w:tcPr>
          <w:p>
            <w:pPr>
              <w:ind w:left="3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vMerge w:val="restart"/>
          </w:tcPr>
          <w:p>
            <w:pPr>
              <w:jc w:val="right"/>
              <w:ind w:right="199"/>
              <w:spacing w:after="0" w:line="141" w:lineRule="exact"/>
              <w:rPr>
                <w:sz w:val="20"/>
                <w:szCs w:val="20"/>
                <w:color w:val="auto"/>
              </w:rPr>
            </w:pPr>
            <w:r>
              <w:rPr>
                <w:rFonts w:ascii="Arial" w:cs="Arial" w:eastAsia="Arial" w:hAnsi="Arial"/>
                <w:sz w:val="13"/>
                <w:szCs w:val="13"/>
                <w:color w:val="0000FF"/>
              </w:rPr>
              <w:t>09/03/2015</w:t>
            </w:r>
          </w:p>
        </w:tc>
        <w:tc>
          <w:tcPr>
            <w:tcW w:w="1120" w:type="dxa"/>
            <w:vAlign w:val="bottom"/>
          </w:tcPr>
          <w:p>
            <w:pPr>
              <w:spacing w:after="0"/>
              <w:rPr>
                <w:sz w:val="5"/>
                <w:szCs w:val="5"/>
                <w:color w:val="auto"/>
              </w:rPr>
            </w:pPr>
          </w:p>
        </w:tc>
        <w:tc>
          <w:tcPr>
            <w:tcW w:w="82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P</w:t>
            </w:r>
          </w:p>
        </w:tc>
        <w:tc>
          <w:tcPr>
            <w:tcW w:w="52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39,248</w:t>
            </w: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vMerge w:val="restart"/>
          </w:tcPr>
          <w:p>
            <w:pPr>
              <w:ind w:left="200"/>
              <w:spacing w:after="0" w:line="141" w:lineRule="exact"/>
              <w:rPr>
                <w:sz w:val="20"/>
                <w:szCs w:val="20"/>
                <w:color w:val="auto"/>
              </w:rPr>
            </w:pPr>
            <w:r>
              <w:rPr>
                <w:rFonts w:ascii="Arial" w:cs="Arial" w:eastAsia="Arial" w:hAnsi="Arial"/>
                <w:sz w:val="13"/>
                <w:szCs w:val="13"/>
                <w:color w:val="0000FF"/>
              </w:rPr>
              <w:t>A</w:t>
            </w:r>
          </w:p>
        </w:tc>
        <w:tc>
          <w:tcPr>
            <w:tcW w:w="6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Plains</w:t>
            </w: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ind w:left="80"/>
              <w:spacing w:after="0" w:line="80" w:lineRule="exact"/>
              <w:rPr>
                <w:sz w:val="20"/>
                <w:szCs w:val="20"/>
                <w:color w:val="auto"/>
              </w:rPr>
            </w:pPr>
            <w:r>
              <w:rPr>
                <w:rFonts w:ascii="Arial" w:cs="Arial" w:eastAsia="Arial" w:hAnsi="Arial"/>
                <w:sz w:val="9"/>
                <w:szCs w:val="9"/>
                <w:color w:val="0000FF"/>
              </w:rPr>
              <w:t>See Footnotes</w:t>
            </w:r>
          </w:p>
        </w:tc>
        <w:tc>
          <w:tcPr>
            <w:tcW w:w="0" w:type="dxa"/>
            <w:vAlign w:val="bottom"/>
          </w:tcPr>
          <w:p>
            <w:pPr>
              <w:spacing w:after="0"/>
              <w:rPr>
                <w:sz w:val="1"/>
                <w:szCs w:val="1"/>
                <w:color w:val="auto"/>
              </w:rPr>
            </w:pPr>
          </w:p>
        </w:tc>
      </w:tr>
      <w:tr>
        <w:trPr>
          <w:trHeight w:val="84"/>
        </w:trPr>
        <w:tc>
          <w:tcPr>
            <w:tcW w:w="7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w w:val="97"/>
              </w:rPr>
              <w:t>Shares</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ind w:left="80"/>
              <w:spacing w:after="0" w:line="84" w:lineRule="exact"/>
              <w:rPr>
                <w:sz w:val="20"/>
                <w:szCs w:val="20"/>
                <w:color w:val="auto"/>
              </w:rPr>
            </w:pPr>
            <w:r>
              <w:rPr>
                <w:rFonts w:ascii="Arial" w:cs="Arial" w:eastAsia="Arial" w:hAnsi="Arial"/>
                <w:sz w:val="9"/>
                <w:szCs w:val="9"/>
                <w:color w:val="008000"/>
              </w:rPr>
              <w:t>(2)(3)</w:t>
            </w: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AAP, L.P.</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holds an indirect ownership interest in Plains GP Holdings, L.P. (the "Issuer") through his ownership in PAA Management, L.P. ("PAA Management"). PAA Management owns 21,835,922 Class B shares of the Issuer (the "Class B Shares").</w:t>
      </w:r>
    </w:p>
    <w:p>
      <w:pPr>
        <w:spacing w:after="0" w:line="15" w:lineRule="exact"/>
        <w:rPr>
          <w:rFonts w:ascii="Arial" w:cs="Arial" w:eastAsia="Arial" w:hAnsi="Arial"/>
          <w:sz w:val="13"/>
          <w:szCs w:val="13"/>
          <w:color w:val="008000"/>
        </w:rPr>
      </w:pPr>
    </w:p>
    <w:p>
      <w:pPr>
        <w:ind w:left="40" w:right="180" w:firstLine="6"/>
        <w:spacing w:after="0" w:line="241"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limited partnership agreement of Plains AAP, L.P. ("AAP") provides that each limited partner of AAP, including PAA Management, has the right, at any time and from time to time, to immediately exchange (the "Exchange Right") its Class A Units in AAP (the "AAP Units"), together with a like number of Class B shares and units of the Issuer's general partner (the "GP Units"), for Class A shares of the Issuer (the "Class A Shares") on a one-for-one basis. 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owned by PAA Management that are exchangeable for an equivalent number of Class A shares.</w:t>
      </w:r>
    </w:p>
    <w:p>
      <w:pPr>
        <w:spacing w:after="0" w:line="31" w:lineRule="exact"/>
        <w:rPr>
          <w:rFonts w:ascii="Arial" w:cs="Arial" w:eastAsia="Arial" w:hAnsi="Arial"/>
          <w:sz w:val="13"/>
          <w:szCs w:val="13"/>
          <w:color w:val="008000"/>
        </w:rPr>
      </w:pPr>
    </w:p>
    <w:p>
      <w:pPr>
        <w:ind w:left="40" w:right="180" w:firstLine="6"/>
        <w:spacing w:after="0" w:line="299"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September 3, 2015, the Reporting Person purchased a 0.179742% membership interest in PAA Management LLC, the general partner of PAA Management, and a 0.17794458% limited partnership interest in PAA Management, for an aggregate purchase price of $527,869. As a member of PAA Management LLC, Reporting Person may be deemed to be a beneficial owner of the interests held by PAA Management.</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PAA Management, except to the extent of his pecuniary interest therein.</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Arial" w:cs="Arial" w:eastAsia="Arial" w:hAnsi="Arial"/>
                <w:sz w:val="17"/>
                <w:szCs w:val="17"/>
                <w:color w:val="0000FF"/>
                <w:w w:val="92"/>
              </w:rPr>
              <w:t>/s/ Richard K. McGee</w:t>
            </w:r>
          </w:p>
        </w:tc>
        <w:tc>
          <w:tcPr>
            <w:tcW w:w="58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09/03/2015</w:t>
            </w:r>
          </w:p>
        </w:tc>
      </w:tr>
      <w:tr>
        <w:trPr>
          <w:trHeight w:val="20"/>
        </w:trPr>
        <w:tc>
          <w:tcPr>
            <w:tcW w:w="1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0023"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2020-01-22T10:07:29Z</dcterms:created>
  <dcterms:modified xsi:type="dcterms:W3CDTF">2020-01-22T10:07:29Z</dcterms:modified>
</cp:coreProperties>
</file>