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89165" cy="5111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11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20"/>
          </w:cols>
          <w:pgMar w:left="240" w:top="220" w:right="21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Burk Victor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4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83"/>
          </w:cols>
          <w:pgMar w:left="240" w:top="220" w:right="21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60"/>
          </w:cols>
          <w:pgMar w:left="240" w:top="220" w:right="21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32,000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 Class A Shares for Phantom Class A Shares upon vesting, for each Phantom Class A Share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25% vest annually, with automatic re-grant of equivalent amount.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Ann F. Gullion, attorney-in-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4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 for Victor Burk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820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40"/>
      </w:cols>
      <w:pgMar w:left="240" w:top="220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2020-01-26T03:05:41Z</dcterms:created>
  <dcterms:modified xsi:type="dcterms:W3CDTF">2020-01-26T03:05:41Z</dcterms:modified>
</cp:coreProperties>
</file>