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19,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80" w:space="720"/>
            <w:col w:w="2460"/>
          </w:cols>
          <w:pgMar w:left="320" w:top="760" w:right="339" w:bottom="1440" w:gutter="0" w:footer="0" w:header="0"/>
          <w:type w:val="continuous"/>
        </w:sectPr>
      </w:pPr>
    </w:p>
    <w:p>
      <w:pPr>
        <w:spacing w:after="0" w:line="223"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2021 annual meeting of common unitholders and Series A Convertible Preferred unitholders (collectively, the “Unitholders”) of Plains All American Pipeline, L.P. (“PAA” or the “Partnership”) was held on May 19, 2021. At the annual meeting, the Unitholders (other than Plains AAP, L.P.) considered and voted on how to instruct PAA to vote the Class C shares of Plains GP Holdings, L.P. (“PAGP”) that PAA owns at PAGP’s annual meeting with respect to the following matters, each of which is described in greater detail in PAA’s Proxy Statement dated April 12, 2021 (the “Proxy Statement”):</w:t>
      </w:r>
    </w:p>
    <w:p>
      <w:pPr>
        <w:spacing w:after="0" w:line="1" w:lineRule="exact"/>
        <w:rPr>
          <w:sz w:val="20"/>
          <w:szCs w:val="20"/>
          <w:color w:val="auto"/>
        </w:rPr>
      </w:pPr>
    </w:p>
    <w:p>
      <w:pPr>
        <w:ind w:right="100" w:firstLine="8"/>
        <w:spacing w:after="0" w:line="253"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four Class III directors to serve on the board of directors of PAA GP Holdings LLC until the 2024 annual meeting; (ii) the ratification of the appointment of PricewaterhouseCoopers LLP as PAGP’s and PAA’s independent registered public accounting firm for the fiscal year ending December 31, 2021; and (iii) the approval, on a non-binding advisory basis, of our named executive officer compensation. In addition, at the annual meeting, all Unitholders (including Plains AAP, L.P.) considered and voted on the approval of the Plains All American 2021 Long-Term Incentive Plan, as described in the Proxy Statement.</w:t>
      </w:r>
    </w:p>
    <w:p>
      <w:pPr>
        <w:spacing w:after="0" w:line="19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voting results for each matter presented at the PAA annual meeting were as follows (Note, for Items 1, 3 and 4 below, which are considered non-routine matters, broker non-votes are not considered votes cast and have no impact on the outcome. Out of the 547,590,593 common units and Series A Preferred units eligible to vote on Items 1, 2 and 3, approximately 83%, or 454,208,228 units, were represented in person or by proxy at the PAA annual meeting.):</w:t>
      </w:r>
    </w:p>
    <w:p>
      <w:pPr>
        <w:spacing w:after="0" w:line="187" w:lineRule="exact"/>
        <w:rPr>
          <w:sz w:val="20"/>
          <w:szCs w:val="20"/>
          <w:color w:val="auto"/>
        </w:rPr>
      </w:pPr>
    </w:p>
    <w:p>
      <w:pPr>
        <w:jc w:val="both"/>
        <w:ind w:left="1020" w:right="60" w:hanging="337"/>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Unitholders (other than Plains AAP, L.P.) voted to instruct PAA to vote the PAGP Class C shares that it owns at the PAGP annual meeting on the election of four Class III directors to serve on the board of directors of PAA GP Holdings LLC until the 2024 annual meeting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 Votes Cast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Nominees</w:t>
            </w:r>
          </w:p>
        </w:tc>
        <w:tc>
          <w:tcPr>
            <w:tcW w:w="1420" w:type="dxa"/>
            <w:vAlign w:val="bottom"/>
            <w:gridSpan w:val="2"/>
          </w:tcPr>
          <w:p>
            <w:pPr>
              <w:ind w:left="460"/>
              <w:spacing w:after="0"/>
              <w:rPr>
                <w:sz w:val="20"/>
                <w:szCs w:val="20"/>
                <w:color w:val="auto"/>
              </w:rPr>
            </w:pPr>
            <w:r>
              <w:rPr>
                <w:rFonts w:ascii="Arial" w:cs="Arial" w:eastAsia="Arial" w:hAnsi="Arial"/>
                <w:sz w:val="18"/>
                <w:szCs w:val="18"/>
                <w:b w:val="1"/>
                <w:bCs w:val="1"/>
                <w:color w:val="auto"/>
              </w:rPr>
              <w:t>For</w:t>
            </w: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Withheld</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FOR*</w:t>
            </w: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5"/>
              </w:rPr>
              <w:t>Broker Non-Votes</w:t>
            </w:r>
          </w:p>
        </w:tc>
      </w:tr>
      <w:tr>
        <w:trPr>
          <w:trHeight w:val="210"/>
        </w:trPr>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Greg L. Armstrong</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341,646,685</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10,501,696</w:t>
            </w:r>
          </w:p>
        </w:tc>
        <w:tc>
          <w:tcPr>
            <w:tcW w:w="2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97.0 %</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102,059,847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4780" w:type="dxa"/>
            <w:vAlign w:val="bottom"/>
          </w:tcPr>
          <w:p>
            <w:pPr>
              <w:ind w:left="20"/>
              <w:spacing w:after="0"/>
              <w:rPr>
                <w:sz w:val="20"/>
                <w:szCs w:val="20"/>
                <w:color w:val="auto"/>
              </w:rPr>
            </w:pPr>
            <w:r>
              <w:rPr>
                <w:rFonts w:ascii="Arial" w:cs="Arial" w:eastAsia="Arial" w:hAnsi="Arial"/>
                <w:sz w:val="18"/>
                <w:szCs w:val="18"/>
                <w:color w:val="auto"/>
              </w:rPr>
              <w:t>John T. Raymond</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342,615,065</w:t>
            </w:r>
          </w:p>
        </w:tc>
        <w:tc>
          <w:tcPr>
            <w:tcW w:w="220" w:type="dxa"/>
            <w:vAlign w:val="bottom"/>
          </w:tcPr>
          <w:p>
            <w:pPr>
              <w:spacing w:after="0"/>
              <w:rPr>
                <w:sz w:val="18"/>
                <w:szCs w:val="18"/>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89"/>
              </w:rPr>
              <w:t>9,533,316</w:t>
            </w:r>
          </w:p>
        </w:tc>
        <w:tc>
          <w:tcPr>
            <w:tcW w:w="220" w:type="dxa"/>
            <w:vAlign w:val="bottom"/>
          </w:tcPr>
          <w:p>
            <w:pPr>
              <w:spacing w:after="0"/>
              <w:rPr>
                <w:sz w:val="18"/>
                <w:szCs w:val="18"/>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97.3 %</w:t>
            </w:r>
          </w:p>
        </w:tc>
        <w:tc>
          <w:tcPr>
            <w:tcW w:w="12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102,059,847</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3.</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Bobby S. Shackouls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327,429,721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24,718,660</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93.0 %</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102,059,847</w:t>
            </w:r>
          </w:p>
        </w:tc>
        <w:tc>
          <w:tcPr>
            <w:tcW w:w="100" w:type="dxa"/>
            <w:vAlign w:val="bottom"/>
            <w:shd w:val="clear" w:color="auto" w:fill="CCEEFF"/>
          </w:tcPr>
          <w:p>
            <w:pPr>
              <w:spacing w:after="0"/>
              <w:rPr>
                <w:sz w:val="18"/>
                <w:szCs w:val="18"/>
                <w:color w:val="auto"/>
              </w:rPr>
            </w:pP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4780" w:type="dxa"/>
            <w:vAlign w:val="bottom"/>
          </w:tcPr>
          <w:p>
            <w:pPr>
              <w:ind w:left="20"/>
              <w:spacing w:after="0"/>
              <w:rPr>
                <w:sz w:val="20"/>
                <w:szCs w:val="20"/>
                <w:color w:val="auto"/>
              </w:rPr>
            </w:pPr>
            <w:r>
              <w:rPr>
                <w:rFonts w:ascii="Arial" w:cs="Arial" w:eastAsia="Arial" w:hAnsi="Arial"/>
                <w:sz w:val="18"/>
                <w:szCs w:val="18"/>
                <w:color w:val="auto"/>
              </w:rPr>
              <w:t>Christopher M. Temple</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338,304,998</w:t>
            </w:r>
          </w:p>
        </w:tc>
        <w:tc>
          <w:tcPr>
            <w:tcW w:w="220" w:type="dxa"/>
            <w:vAlign w:val="bottom"/>
          </w:tcPr>
          <w:p>
            <w:pPr>
              <w:spacing w:after="0"/>
              <w:rPr>
                <w:sz w:val="20"/>
                <w:szCs w:val="20"/>
                <w:color w:val="auto"/>
              </w:rPr>
            </w:pPr>
          </w:p>
        </w:tc>
        <w:tc>
          <w:tcPr>
            <w:tcW w:w="1180" w:type="dxa"/>
            <w:vAlign w:val="bottom"/>
          </w:tcPr>
          <w:p>
            <w:pPr>
              <w:jc w:val="center"/>
              <w:ind w:left="10"/>
              <w:spacing w:after="0"/>
              <w:rPr>
                <w:sz w:val="20"/>
                <w:szCs w:val="20"/>
                <w:color w:val="auto"/>
              </w:rPr>
            </w:pPr>
            <w:r>
              <w:rPr>
                <w:rFonts w:ascii="Arial" w:cs="Arial" w:eastAsia="Arial" w:hAnsi="Arial"/>
                <w:sz w:val="18"/>
                <w:szCs w:val="18"/>
                <w:color w:val="auto"/>
                <w:w w:val="88"/>
              </w:rPr>
              <w:t>13,843,383</w:t>
            </w:r>
          </w:p>
        </w:tc>
        <w:tc>
          <w:tcPr>
            <w:tcW w:w="220" w:type="dxa"/>
            <w:vAlign w:val="bottom"/>
          </w:tcPr>
          <w:p>
            <w:pPr>
              <w:spacing w:after="0"/>
              <w:rPr>
                <w:sz w:val="20"/>
                <w:szCs w:val="20"/>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96.1 %</w:t>
            </w:r>
          </w:p>
        </w:tc>
        <w:tc>
          <w:tcPr>
            <w:tcW w:w="12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102,059,847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1020" w:right="60" w:hanging="337"/>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Unitholders (other than Plains AAP, L.P.) voted to instruct PAA to vote the PAGP Class C shares that it owns at the PAGP annual meeting on the ratification of the appointment of PricewaterhouseCoopers LLP as PAGP’s and PAA’s independent registered public accounting firm for the fiscal year ending December 31, 2021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 Votes Cast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gridSpan w:val="2"/>
          </w:tcPr>
          <w:p>
            <w:pPr>
              <w:ind w:left="1000"/>
              <w:spacing w:after="0"/>
              <w:rPr>
                <w:sz w:val="20"/>
                <w:szCs w:val="20"/>
                <w:color w:val="auto"/>
              </w:rPr>
            </w:pPr>
            <w:r>
              <w:rPr>
                <w:rFonts w:ascii="Arial" w:cs="Arial" w:eastAsia="Arial" w:hAnsi="Arial"/>
                <w:sz w:val="18"/>
                <w:szCs w:val="18"/>
                <w:b w:val="1"/>
                <w:bCs w:val="1"/>
                <w:color w:val="auto"/>
              </w:rPr>
              <w:t>For</w:t>
            </w:r>
          </w:p>
        </w:tc>
        <w:tc>
          <w:tcPr>
            <w:tcW w:w="2260" w:type="dxa"/>
            <w:vAlign w:val="bottom"/>
            <w:gridSpan w:val="2"/>
          </w:tcPr>
          <w:p>
            <w:pPr>
              <w:ind w:left="720"/>
              <w:spacing w:after="0"/>
              <w:rPr>
                <w:sz w:val="20"/>
                <w:szCs w:val="20"/>
                <w:color w:val="auto"/>
              </w:rPr>
            </w:pPr>
            <w:r>
              <w:rPr>
                <w:rFonts w:ascii="Arial" w:cs="Arial" w:eastAsia="Arial" w:hAnsi="Arial"/>
                <w:sz w:val="18"/>
                <w:szCs w:val="18"/>
                <w:b w:val="1"/>
                <w:bCs w:val="1"/>
                <w:color w:val="auto"/>
              </w:rPr>
              <w:t>Against</w:t>
            </w:r>
          </w:p>
        </w:tc>
        <w:tc>
          <w:tcPr>
            <w:tcW w:w="2220" w:type="dxa"/>
            <w:vAlign w:val="bottom"/>
            <w:gridSpan w:val="2"/>
          </w:tcPr>
          <w:p>
            <w:pPr>
              <w:ind w:left="600"/>
              <w:spacing w:after="0"/>
              <w:rPr>
                <w:sz w:val="20"/>
                <w:szCs w:val="20"/>
                <w:color w:val="auto"/>
              </w:rPr>
            </w:pPr>
            <w:r>
              <w:rPr>
                <w:rFonts w:ascii="Arial" w:cs="Arial" w:eastAsia="Arial" w:hAnsi="Arial"/>
                <w:sz w:val="18"/>
                <w:szCs w:val="18"/>
                <w:b w:val="1"/>
                <w:bCs w:val="1"/>
                <w:color w:val="auto"/>
              </w:rPr>
              <w:t>Abstained</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FOR*</w:t>
            </w:r>
          </w:p>
        </w:tc>
        <w:tc>
          <w:tcPr>
            <w:tcW w:w="2120" w:type="dxa"/>
            <w:vAlign w:val="bottom"/>
            <w:gridSpan w:val="2"/>
          </w:tcPr>
          <w:p>
            <w:pPr>
              <w:ind w:left="32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433,726,242</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19,353,234</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1,128,752</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95.5 %</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020" w:right="60" w:hanging="337"/>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Unitholders (other than Plains AAP, L.P.) voted to instruct PAA to vote the PAGP Class C shares that it owns at the PAGP annual meeting on the approval, on a non-binding advisory basis, of our named executive officer compensation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 of Votes Cast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00" w:type="dxa"/>
            <w:vAlign w:val="bottom"/>
            <w:gridSpan w:val="2"/>
          </w:tcPr>
          <w:p>
            <w:pPr>
              <w:ind w:left="940"/>
              <w:spacing w:after="0"/>
              <w:rPr>
                <w:sz w:val="20"/>
                <w:szCs w:val="20"/>
                <w:color w:val="auto"/>
              </w:rPr>
            </w:pPr>
            <w:r>
              <w:rPr>
                <w:rFonts w:ascii="Arial" w:cs="Arial" w:eastAsia="Arial" w:hAnsi="Arial"/>
                <w:sz w:val="18"/>
                <w:szCs w:val="18"/>
                <w:b w:val="1"/>
                <w:bCs w:val="1"/>
                <w:color w:val="auto"/>
              </w:rPr>
              <w:t>For</w:t>
            </w:r>
          </w:p>
        </w:tc>
        <w:tc>
          <w:tcPr>
            <w:tcW w:w="2260" w:type="dxa"/>
            <w:vAlign w:val="bottom"/>
            <w:gridSpan w:val="2"/>
          </w:tcPr>
          <w:p>
            <w:pPr>
              <w:ind w:left="720"/>
              <w:spacing w:after="0"/>
              <w:rPr>
                <w:sz w:val="20"/>
                <w:szCs w:val="20"/>
                <w:color w:val="auto"/>
              </w:rPr>
            </w:pPr>
            <w:r>
              <w:rPr>
                <w:rFonts w:ascii="Arial" w:cs="Arial" w:eastAsia="Arial" w:hAnsi="Arial"/>
                <w:sz w:val="18"/>
                <w:szCs w:val="18"/>
                <w:b w:val="1"/>
                <w:bCs w:val="1"/>
                <w:color w:val="auto"/>
              </w:rPr>
              <w:t>Against</w:t>
            </w:r>
          </w:p>
        </w:tc>
        <w:tc>
          <w:tcPr>
            <w:tcW w:w="2240" w:type="dxa"/>
            <w:vAlign w:val="bottom"/>
            <w:gridSpan w:val="2"/>
          </w:tcPr>
          <w:p>
            <w:pPr>
              <w:ind w:left="620"/>
              <w:spacing w:after="0"/>
              <w:rPr>
                <w:sz w:val="20"/>
                <w:szCs w:val="20"/>
                <w:color w:val="auto"/>
              </w:rPr>
            </w:pPr>
            <w:r>
              <w:rPr>
                <w:rFonts w:ascii="Arial" w:cs="Arial" w:eastAsia="Arial" w:hAnsi="Arial"/>
                <w:sz w:val="18"/>
                <w:szCs w:val="18"/>
                <w:b w:val="1"/>
                <w:bCs w:val="1"/>
                <w:color w:val="auto"/>
              </w:rPr>
              <w:t>Abstained</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FOR*</w:t>
            </w:r>
          </w:p>
        </w:tc>
        <w:tc>
          <w:tcPr>
            <w:tcW w:w="2120" w:type="dxa"/>
            <w:vAlign w:val="bottom"/>
            <w:gridSpan w:val="2"/>
          </w:tcPr>
          <w:p>
            <w:pPr>
              <w:ind w:left="32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342,646,565</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7,365,974</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2,135,842</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97.3 %</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102,059,847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020" w:right="120" w:hanging="337"/>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Unitholders (including Plains AAP, L.P.) voted on the approval of the Plains All American 2021 Long-Term Incentive Plan as follows (Note that out of the 793,146,315 common units and Series A Preferred units eligible to vote on this matter, approximately 83%, or 655,144,649 units, were represented in person or by proxy at the PAA annual meeting.):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rPr>
              <w:t>Percentage of Vote Cast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00" w:type="dxa"/>
            <w:vAlign w:val="bottom"/>
            <w:gridSpan w:val="2"/>
          </w:tcPr>
          <w:p>
            <w:pPr>
              <w:ind w:left="940"/>
              <w:spacing w:after="0"/>
              <w:rPr>
                <w:sz w:val="20"/>
                <w:szCs w:val="20"/>
                <w:color w:val="auto"/>
              </w:rPr>
            </w:pPr>
            <w:r>
              <w:rPr>
                <w:rFonts w:ascii="Arial" w:cs="Arial" w:eastAsia="Arial" w:hAnsi="Arial"/>
                <w:sz w:val="18"/>
                <w:szCs w:val="18"/>
                <w:b w:val="1"/>
                <w:bCs w:val="1"/>
                <w:color w:val="auto"/>
              </w:rPr>
              <w:t>For</w:t>
            </w:r>
          </w:p>
        </w:tc>
        <w:tc>
          <w:tcPr>
            <w:tcW w:w="2260" w:type="dxa"/>
            <w:vAlign w:val="bottom"/>
            <w:gridSpan w:val="2"/>
          </w:tcPr>
          <w:p>
            <w:pPr>
              <w:ind w:left="720"/>
              <w:spacing w:after="0"/>
              <w:rPr>
                <w:sz w:val="20"/>
                <w:szCs w:val="20"/>
                <w:color w:val="auto"/>
              </w:rPr>
            </w:pPr>
            <w:r>
              <w:rPr>
                <w:rFonts w:ascii="Arial" w:cs="Arial" w:eastAsia="Arial" w:hAnsi="Arial"/>
                <w:sz w:val="18"/>
                <w:szCs w:val="18"/>
                <w:b w:val="1"/>
                <w:bCs w:val="1"/>
                <w:color w:val="auto"/>
              </w:rPr>
              <w:t>Against</w:t>
            </w:r>
          </w:p>
        </w:tc>
        <w:tc>
          <w:tcPr>
            <w:tcW w:w="2240" w:type="dxa"/>
            <w:vAlign w:val="bottom"/>
            <w:gridSpan w:val="2"/>
          </w:tcPr>
          <w:p>
            <w:pPr>
              <w:ind w:left="620"/>
              <w:spacing w:after="0"/>
              <w:rPr>
                <w:sz w:val="20"/>
                <w:szCs w:val="20"/>
                <w:color w:val="auto"/>
              </w:rPr>
            </w:pPr>
            <w:r>
              <w:rPr>
                <w:rFonts w:ascii="Arial" w:cs="Arial" w:eastAsia="Arial" w:hAnsi="Arial"/>
                <w:sz w:val="18"/>
                <w:szCs w:val="18"/>
                <w:b w:val="1"/>
                <w:bCs w:val="1"/>
                <w:color w:val="auto"/>
              </w:rPr>
              <w:t>Abstained</w:t>
            </w:r>
          </w:p>
        </w:tc>
        <w:tc>
          <w:tcPr>
            <w:tcW w:w="2220" w:type="dxa"/>
            <w:vAlign w:val="bottom"/>
            <w:gridSpan w:val="2"/>
          </w:tcPr>
          <w:p>
            <w:pPr>
              <w:ind w:left="800"/>
              <w:spacing w:after="0"/>
              <w:rPr>
                <w:sz w:val="20"/>
                <w:szCs w:val="20"/>
                <w:color w:val="auto"/>
              </w:rPr>
            </w:pPr>
            <w:r>
              <w:rPr>
                <w:rFonts w:ascii="Arial" w:cs="Arial" w:eastAsia="Arial" w:hAnsi="Arial"/>
                <w:sz w:val="18"/>
                <w:szCs w:val="18"/>
                <w:b w:val="1"/>
                <w:bCs w:val="1"/>
                <w:color w:val="auto"/>
              </w:rPr>
              <w:t>FOR</w:t>
            </w:r>
          </w:p>
        </w:tc>
        <w:tc>
          <w:tcPr>
            <w:tcW w:w="2120" w:type="dxa"/>
            <w:vAlign w:val="bottom"/>
            <w:gridSpan w:val="2"/>
          </w:tcPr>
          <w:p>
            <w:pPr>
              <w:ind w:left="32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509,210,696</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14,300,722</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2,855,387</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96.7 %</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128,777,844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respect to Items 1, 2 and 3, PAA Unitholders (other than Plains AAP, L.P.) voted on a “pass-through” basis by instructing PAA how to vote the PAGP Class C shares that it owns on Items 1, 2 and 3 at the PAGP annual meeting.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25, 2021</w:t>
      </w:r>
      <w:r>
        <w:rPr>
          <w:sz w:val="20"/>
          <w:szCs w:val="20"/>
          <w:color w:val="auto"/>
        </w:rPr>
        <w:tab/>
      </w:r>
      <w:r>
        <w:rPr>
          <w:rFonts w:ascii="Arial" w:cs="Arial" w:eastAsia="Arial" w:hAnsi="Arial"/>
          <w:sz w:val="17"/>
          <w:szCs w:val="17"/>
          <w:color w:val="auto"/>
        </w:rPr>
        <w:t>PLAINS ALL AMERICAN PIPELINE,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Name:Richard McGee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Executive Vice President, General Counsel &amp; Secretary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2021-05-25T15:54:11Z</dcterms:created>
  <dcterms:modified xsi:type="dcterms:W3CDTF">2021-05-25T15:54:11Z</dcterms:modified>
</cp:coreProperties>
</file>