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919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919730"/>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5"/>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60" w:type="dxa"/>
            <w:vAlign w:val="bottom"/>
            <w:gridSpan w:val="4"/>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GOYANES EVERARDO</w:t>
              </w:r>
            </w:hyperlink>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8"/>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PLAINS GP HOLDINGS LP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PAGP</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gridSpan w:val="3"/>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02/12/2016</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960" w:type="dxa"/>
            <w:vAlign w:val="bottom"/>
            <w:gridSpan w:val="4"/>
            <w:vMerge w:val="restart"/>
          </w:tcPr>
          <w:p>
            <w:pPr>
              <w:spacing w:after="0"/>
              <w:rPr>
                <w:sz w:val="20"/>
                <w:szCs w:val="20"/>
                <w:color w:val="auto"/>
              </w:rPr>
            </w:pPr>
            <w:r>
              <w:rPr>
                <w:rFonts w:ascii="Arial" w:cs="Arial" w:eastAsia="Arial" w:hAnsi="Arial"/>
                <w:sz w:val="12"/>
                <w:szCs w:val="12"/>
                <w:color w:val="0000FF"/>
              </w:rPr>
              <w:t>3215 TARRYHOLLOW DRIVE</w:t>
            </w: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960" w:type="dxa"/>
            <w:vAlign w:val="bottom"/>
            <w:gridSpan w:val="4"/>
            <w:vMerge w:val="continue"/>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jc w:val="right"/>
              <w:ind w:right="235"/>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AUSTIN</w:t>
            </w:r>
          </w:p>
        </w:tc>
        <w:tc>
          <w:tcPr>
            <w:tcW w:w="240" w:type="dxa"/>
            <w:vAlign w:val="bottom"/>
            <w:vMerge w:val="restart"/>
          </w:tcPr>
          <w:p>
            <w:pPr>
              <w:ind w:left="100"/>
              <w:spacing w:after="0"/>
              <w:rPr>
                <w:sz w:val="20"/>
                <w:szCs w:val="20"/>
                <w:color w:val="auto"/>
              </w:rPr>
            </w:pPr>
            <w:r>
              <w:rPr>
                <w:rFonts w:ascii="Arial" w:cs="Arial" w:eastAsia="Arial" w:hAnsi="Arial"/>
                <w:sz w:val="12"/>
                <w:szCs w:val="12"/>
                <w:color w:val="0000FF"/>
                <w:w w:val="77"/>
              </w:rPr>
              <w:t>TX</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78703</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gridSpan w:val="3"/>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76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160" w:type="dxa"/>
            <w:vAlign w:val="bottom"/>
          </w:tcPr>
          <w:p>
            <w:pPr>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9"/>
                <w:szCs w:val="9"/>
                <w:color w:val="auto"/>
              </w:rPr>
            </w:pPr>
          </w:p>
        </w:tc>
        <w:tc>
          <w:tcPr>
            <w:tcW w:w="760" w:type="dxa"/>
            <w:vAlign w:val="bottom"/>
          </w:tcPr>
          <w:p>
            <w:pPr>
              <w:ind w:left="30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Class A Shares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4"/>
          </w:tcPr>
          <w:p>
            <w:pPr>
              <w:jc w:val="right"/>
              <w:ind w:right="99"/>
              <w:spacing w:after="0"/>
              <w:rPr>
                <w:sz w:val="20"/>
                <w:szCs w:val="20"/>
                <w:color w:val="auto"/>
              </w:rPr>
            </w:pPr>
            <w:r>
              <w:rPr>
                <w:rFonts w:ascii="Arial" w:cs="Arial" w:eastAsia="Arial" w:hAnsi="Arial"/>
                <w:sz w:val="12"/>
                <w:szCs w:val="12"/>
                <w:color w:val="0000FF"/>
              </w:rPr>
              <w:t>02/12/2016</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9"/>
                <w:szCs w:val="9"/>
                <w:color w:val="0000FF"/>
              </w:rPr>
              <w:t>M</w:t>
            </w:r>
          </w:p>
        </w:tc>
        <w:tc>
          <w:tcPr>
            <w:tcW w:w="160" w:type="dxa"/>
            <w:vAlign w:val="bottom"/>
          </w:tcPr>
          <w:p>
            <w:pPr>
              <w:spacing w:after="0"/>
              <w:rPr>
                <w:sz w:val="15"/>
                <w:szCs w:val="15"/>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2"/>
                <w:szCs w:val="12"/>
                <w:color w:val="0000FF"/>
              </w:rPr>
              <w:t>4,800</w:t>
            </w:r>
          </w:p>
        </w:tc>
        <w:tc>
          <w:tcPr>
            <w:tcW w:w="760" w:type="dxa"/>
            <w:vAlign w:val="bottom"/>
          </w:tcPr>
          <w:p>
            <w:pPr>
              <w:ind w:left="500"/>
              <w:spacing w:after="0"/>
              <w:rPr>
                <w:sz w:val="20"/>
                <w:szCs w:val="20"/>
                <w:color w:val="auto"/>
              </w:rPr>
            </w:pPr>
            <w:r>
              <w:rPr>
                <w:rFonts w:ascii="Arial" w:cs="Arial" w:eastAsia="Arial" w:hAnsi="Arial"/>
                <w:sz w:val="12"/>
                <w:szCs w:val="12"/>
                <w:color w:val="0000FF"/>
              </w:rPr>
              <w:t>A</w:t>
            </w:r>
          </w:p>
        </w:tc>
        <w:tc>
          <w:tcPr>
            <w:tcW w:w="740" w:type="dxa"/>
            <w:vAlign w:val="bottom"/>
            <w:gridSpan w:val="2"/>
          </w:tcPr>
          <w:p>
            <w:pPr>
              <w:jc w:val="right"/>
              <w:ind w:right="250"/>
              <w:spacing w:after="0"/>
              <w:rPr>
                <w:sz w:val="20"/>
                <w:szCs w:val="20"/>
                <w:color w:val="auto"/>
              </w:rPr>
            </w:pPr>
            <w:r>
              <w:rPr>
                <w:rFonts w:ascii="Arial" w:cs="Arial" w:eastAsia="Arial" w:hAnsi="Arial"/>
                <w:sz w:val="8"/>
                <w:szCs w:val="8"/>
                <w:color w:val="008000"/>
              </w:rPr>
              <w:t>(1)</w:t>
            </w:r>
          </w:p>
        </w:tc>
        <w:tc>
          <w:tcPr>
            <w:tcW w:w="20" w:type="dxa"/>
            <w:vAlign w:val="bottom"/>
          </w:tcPr>
          <w:p>
            <w:pPr>
              <w:spacing w:after="0"/>
              <w:rPr>
                <w:sz w:val="15"/>
                <w:szCs w:val="15"/>
                <w:color w:val="auto"/>
              </w:rPr>
            </w:pPr>
          </w:p>
        </w:tc>
        <w:tc>
          <w:tcPr>
            <w:tcW w:w="840" w:type="dxa"/>
            <w:vAlign w:val="bottom"/>
            <w:gridSpan w:val="2"/>
          </w:tcPr>
          <w:p>
            <w:pPr>
              <w:ind w:left="440"/>
              <w:spacing w:after="0"/>
              <w:rPr>
                <w:sz w:val="20"/>
                <w:szCs w:val="20"/>
                <w:color w:val="auto"/>
              </w:rPr>
            </w:pPr>
            <w:r>
              <w:rPr>
                <w:rFonts w:ascii="Arial" w:cs="Arial" w:eastAsia="Arial" w:hAnsi="Arial"/>
                <w:sz w:val="12"/>
                <w:szCs w:val="12"/>
                <w:color w:val="0000FF"/>
              </w:rPr>
              <w:t>54,600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7"/>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jc w:val="center"/>
              <w:ind w:right="233"/>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6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5"/>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240" w:type="dxa"/>
            <w:vAlign w:val="bottom"/>
          </w:tcPr>
          <w:p>
            <w:pPr>
              <w:spacing w:after="0"/>
              <w:rPr>
                <w:sz w:val="7"/>
                <w:szCs w:val="7"/>
                <w:color w:val="auto"/>
              </w:rPr>
            </w:pPr>
          </w:p>
        </w:tc>
        <w:tc>
          <w:tcPr>
            <w:tcW w:w="52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gridSpan w:val="2"/>
          </w:tcPr>
          <w:p>
            <w:pPr>
              <w:ind w:left="2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160" w:type="dxa"/>
            <w:vAlign w:val="bottom"/>
          </w:tcPr>
          <w:p>
            <w:pPr>
              <w:spacing w:after="0"/>
              <w:rPr>
                <w:sz w:val="7"/>
                <w:szCs w:val="7"/>
                <w:color w:val="auto"/>
              </w:rPr>
            </w:pPr>
          </w:p>
        </w:tc>
        <w:tc>
          <w:tcPr>
            <w:tcW w:w="52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760" w:type="dxa"/>
            <w:vAlign w:val="bottom"/>
          </w:tcPr>
          <w:p>
            <w:pPr>
              <w:spacing w:after="0"/>
              <w:rPr>
                <w:sz w:val="9"/>
                <w:szCs w:val="9"/>
                <w:color w:val="auto"/>
              </w:rPr>
            </w:pPr>
          </w:p>
        </w:tc>
        <w:tc>
          <w:tcPr>
            <w:tcW w:w="1600" w:type="dxa"/>
            <w:vAlign w:val="bottom"/>
            <w:gridSpan w:val="5"/>
          </w:tcPr>
          <w:p>
            <w:pPr>
              <w:jc w:val="center"/>
              <w:ind w:right="498"/>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5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520" w:type="dxa"/>
            <w:vAlign w:val="bottom"/>
            <w:gridSpan w:val="3"/>
          </w:tcPr>
          <w:p>
            <w:pPr>
              <w:ind w:left="40"/>
              <w:spacing w:after="0"/>
              <w:rPr>
                <w:sz w:val="20"/>
                <w:szCs w:val="20"/>
                <w:color w:val="auto"/>
              </w:rPr>
            </w:pPr>
            <w:r>
              <w:rPr>
                <w:rFonts w:ascii="Arial" w:cs="Arial" w:eastAsia="Arial" w:hAnsi="Arial"/>
                <w:sz w:val="9"/>
                <w:szCs w:val="9"/>
                <w:color w:val="0000FF"/>
                <w:w w:val="95"/>
              </w:rPr>
              <w:t>Phantom Class A Shares - Long Term</w:t>
            </w:r>
          </w:p>
        </w:tc>
        <w:tc>
          <w:tcPr>
            <w:tcW w:w="520" w:type="dxa"/>
            <w:vAlign w:val="bottom"/>
            <w:gridSpan w:val="2"/>
            <w:vMerge w:val="restart"/>
          </w:tcPr>
          <w:p>
            <w:pPr>
              <w:ind w:left="200"/>
              <w:spacing w:after="0"/>
              <w:rPr>
                <w:sz w:val="20"/>
                <w:szCs w:val="20"/>
                <w:color w:val="auto"/>
              </w:rPr>
            </w:pPr>
            <w:r>
              <w:rPr>
                <w:rFonts w:ascii="Arial" w:cs="Arial" w:eastAsia="Arial" w:hAnsi="Arial"/>
                <w:sz w:val="8"/>
                <w:szCs w:val="8"/>
                <w:color w:val="008000"/>
              </w:rPr>
              <w:t>(1)</w:t>
            </w:r>
          </w:p>
        </w:tc>
        <w:tc>
          <w:tcPr>
            <w:tcW w:w="820" w:type="dxa"/>
            <w:vAlign w:val="bottom"/>
            <w:vMerge w:val="restart"/>
          </w:tcPr>
          <w:p>
            <w:pPr>
              <w:ind w:left="180"/>
              <w:spacing w:after="0"/>
              <w:rPr>
                <w:sz w:val="20"/>
                <w:szCs w:val="20"/>
                <w:color w:val="auto"/>
              </w:rPr>
            </w:pPr>
            <w:r>
              <w:rPr>
                <w:rFonts w:ascii="Arial" w:cs="Arial" w:eastAsia="Arial" w:hAnsi="Arial"/>
                <w:sz w:val="9"/>
                <w:szCs w:val="9"/>
                <w:color w:val="0000FF"/>
              </w:rPr>
              <w:t>02/12/2016</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ind w:left="200"/>
              <w:spacing w:after="0"/>
              <w:rPr>
                <w:sz w:val="20"/>
                <w:szCs w:val="20"/>
                <w:color w:val="auto"/>
              </w:rPr>
            </w:pPr>
            <w:r>
              <w:rPr>
                <w:rFonts w:ascii="Arial" w:cs="Arial" w:eastAsia="Arial" w:hAnsi="Arial"/>
                <w:sz w:val="9"/>
                <w:szCs w:val="9"/>
                <w:color w:val="0000FF"/>
              </w:rPr>
              <w:t>M</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460"/>
              <w:spacing w:after="0"/>
              <w:rPr>
                <w:sz w:val="20"/>
                <w:szCs w:val="20"/>
                <w:color w:val="auto"/>
              </w:rPr>
            </w:pPr>
            <w:r>
              <w:rPr>
                <w:rFonts w:ascii="Arial" w:cs="Arial" w:eastAsia="Arial" w:hAnsi="Arial"/>
                <w:sz w:val="9"/>
                <w:szCs w:val="9"/>
                <w:color w:val="0000FF"/>
              </w:rPr>
              <w:t>4,800</w:t>
            </w:r>
          </w:p>
        </w:tc>
        <w:tc>
          <w:tcPr>
            <w:tcW w:w="20" w:type="dxa"/>
            <w:vAlign w:val="bottom"/>
          </w:tcPr>
          <w:p>
            <w:pPr>
              <w:spacing w:after="0"/>
              <w:rPr>
                <w:sz w:val="10"/>
                <w:szCs w:val="10"/>
                <w:color w:val="auto"/>
              </w:rPr>
            </w:pPr>
          </w:p>
        </w:tc>
        <w:tc>
          <w:tcPr>
            <w:tcW w:w="480" w:type="dxa"/>
            <w:vAlign w:val="bottom"/>
            <w:gridSpan w:val="2"/>
            <w:vMerge w:val="restart"/>
          </w:tcPr>
          <w:p>
            <w:pPr>
              <w:ind w:left="320"/>
              <w:spacing w:after="0"/>
              <w:rPr>
                <w:sz w:val="20"/>
                <w:szCs w:val="20"/>
                <w:color w:val="auto"/>
              </w:rPr>
            </w:pPr>
            <w:r>
              <w:rPr>
                <w:rFonts w:ascii="Arial" w:cs="Arial" w:eastAsia="Arial" w:hAnsi="Arial"/>
                <w:sz w:val="8"/>
                <w:szCs w:val="8"/>
                <w:color w:val="008000"/>
              </w:rPr>
              <w:t>(2)</w:t>
            </w:r>
          </w:p>
        </w:tc>
        <w:tc>
          <w:tcPr>
            <w:tcW w:w="16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(3)</w:t>
            </w:r>
          </w:p>
        </w:tc>
        <w:tc>
          <w:tcPr>
            <w:tcW w:w="24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9"/>
                <w:szCs w:val="9"/>
                <w:color w:val="0000FF"/>
              </w:rPr>
              <w:t>Class A Shares</w:t>
            </w:r>
          </w:p>
        </w:tc>
        <w:tc>
          <w:tcPr>
            <w:tcW w:w="740" w:type="dxa"/>
            <w:vAlign w:val="bottom"/>
            <w:gridSpan w:val="2"/>
            <w:vMerge w:val="restart"/>
          </w:tcPr>
          <w:p>
            <w:pPr>
              <w:jc w:val="center"/>
              <w:ind w:left="274"/>
              <w:spacing w:after="0"/>
              <w:rPr>
                <w:sz w:val="20"/>
                <w:szCs w:val="20"/>
                <w:color w:val="auto"/>
              </w:rPr>
            </w:pPr>
            <w:r>
              <w:rPr>
                <w:rFonts w:ascii="Arial" w:cs="Arial" w:eastAsia="Arial" w:hAnsi="Arial"/>
                <w:sz w:val="12"/>
                <w:szCs w:val="12"/>
                <w:color w:val="0000FF"/>
                <w:w w:val="86"/>
              </w:rPr>
              <w:t>4,800</w:t>
            </w:r>
          </w:p>
        </w:tc>
        <w:tc>
          <w:tcPr>
            <w:tcW w:w="20" w:type="dxa"/>
            <w:vAlign w:val="bottom"/>
          </w:tcPr>
          <w:p>
            <w:pPr>
              <w:spacing w:after="0"/>
              <w:rPr>
                <w:sz w:val="10"/>
                <w:szCs w:val="10"/>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740" w:type="dxa"/>
            <w:vAlign w:val="bottom"/>
            <w:gridSpan w:val="2"/>
            <w:vMerge w:val="restart"/>
          </w:tcPr>
          <w:p>
            <w:pPr>
              <w:ind w:left="240"/>
              <w:spacing w:after="0"/>
              <w:rPr>
                <w:sz w:val="20"/>
                <w:szCs w:val="20"/>
                <w:color w:val="auto"/>
              </w:rPr>
            </w:pPr>
            <w:r>
              <w:rPr>
                <w:rFonts w:ascii="Arial" w:cs="Arial" w:eastAsia="Arial" w:hAnsi="Arial"/>
                <w:sz w:val="9"/>
                <w:szCs w:val="9"/>
                <w:color w:val="0000FF"/>
              </w:rPr>
              <w:t>14,400</w:t>
            </w:r>
          </w:p>
        </w:tc>
        <w:tc>
          <w:tcPr>
            <w:tcW w:w="620" w:type="dxa"/>
            <w:vAlign w:val="bottom"/>
            <w:vMerge w:val="restart"/>
          </w:tcPr>
          <w:p>
            <w:pPr>
              <w:jc w:val="right"/>
              <w:ind w:right="235"/>
              <w:spacing w:after="0"/>
              <w:rPr>
                <w:sz w:val="20"/>
                <w:szCs w:val="20"/>
                <w:color w:val="auto"/>
              </w:rPr>
            </w:pPr>
            <w:r>
              <w:rPr>
                <w:rFonts w:ascii="Arial" w:cs="Arial" w:eastAsia="Arial" w:hAnsi="Arial"/>
                <w:sz w:val="9"/>
                <w:szCs w:val="9"/>
                <w:color w:val="0000FF"/>
              </w:rPr>
              <w:t>D</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0000FF"/>
              </w:rPr>
              <w:t>Incentive Plan</w:t>
            </w:r>
          </w:p>
        </w:tc>
        <w:tc>
          <w:tcPr>
            <w:tcW w:w="2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15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520" w:type="dxa"/>
            <w:vAlign w:val="bottom"/>
            <w:gridSpan w:val="3"/>
          </w:tcPr>
          <w:p>
            <w:pPr>
              <w:ind w:left="40"/>
              <w:spacing w:after="0"/>
              <w:rPr>
                <w:sz w:val="20"/>
                <w:szCs w:val="20"/>
                <w:color w:val="auto"/>
              </w:rPr>
            </w:pPr>
            <w:r>
              <w:rPr>
                <w:rFonts w:ascii="Arial" w:cs="Arial" w:eastAsia="Arial" w:hAnsi="Arial"/>
                <w:sz w:val="9"/>
                <w:szCs w:val="9"/>
                <w:color w:val="0000FF"/>
                <w:w w:val="95"/>
              </w:rPr>
              <w:t>Phantom Class A Shares - Long Term</w:t>
            </w:r>
          </w:p>
        </w:tc>
        <w:tc>
          <w:tcPr>
            <w:tcW w:w="520" w:type="dxa"/>
            <w:vAlign w:val="bottom"/>
            <w:gridSpan w:val="2"/>
            <w:vMerge w:val="restart"/>
          </w:tcPr>
          <w:p>
            <w:pPr>
              <w:ind w:left="200"/>
              <w:spacing w:after="0"/>
              <w:rPr>
                <w:sz w:val="20"/>
                <w:szCs w:val="20"/>
                <w:color w:val="auto"/>
              </w:rPr>
            </w:pPr>
            <w:r>
              <w:rPr>
                <w:rFonts w:ascii="Arial" w:cs="Arial" w:eastAsia="Arial" w:hAnsi="Arial"/>
                <w:sz w:val="8"/>
                <w:szCs w:val="8"/>
                <w:color w:val="008000"/>
              </w:rPr>
              <w:t>(1)</w:t>
            </w:r>
          </w:p>
        </w:tc>
        <w:tc>
          <w:tcPr>
            <w:tcW w:w="820" w:type="dxa"/>
            <w:vAlign w:val="bottom"/>
            <w:vMerge w:val="restart"/>
          </w:tcPr>
          <w:p>
            <w:pPr>
              <w:ind w:left="180"/>
              <w:spacing w:after="0"/>
              <w:rPr>
                <w:sz w:val="20"/>
                <w:szCs w:val="20"/>
                <w:color w:val="auto"/>
              </w:rPr>
            </w:pPr>
            <w:r>
              <w:rPr>
                <w:rFonts w:ascii="Arial" w:cs="Arial" w:eastAsia="Arial" w:hAnsi="Arial"/>
                <w:sz w:val="9"/>
                <w:szCs w:val="9"/>
                <w:color w:val="0000FF"/>
              </w:rPr>
              <w:t>02/12/2016</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ind w:left="200"/>
              <w:spacing w:after="0"/>
              <w:rPr>
                <w:sz w:val="20"/>
                <w:szCs w:val="20"/>
                <w:color w:val="auto"/>
              </w:rPr>
            </w:pPr>
            <w:r>
              <w:rPr>
                <w:rFonts w:ascii="Arial" w:cs="Arial" w:eastAsia="Arial" w:hAnsi="Arial"/>
                <w:sz w:val="9"/>
                <w:szCs w:val="9"/>
                <w:color w:val="0000FF"/>
              </w:rPr>
              <w:t>A</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9"/>
                <w:szCs w:val="9"/>
                <w:color w:val="0000FF"/>
              </w:rPr>
              <w:t>4,800</w:t>
            </w:r>
          </w:p>
        </w:tc>
        <w:tc>
          <w:tcPr>
            <w:tcW w:w="20" w:type="dxa"/>
            <w:vAlign w:val="bottom"/>
          </w:tcPr>
          <w:p>
            <w:pPr>
              <w:spacing w:after="0"/>
              <w:rPr>
                <w:sz w:val="10"/>
                <w:szCs w:val="10"/>
                <w:color w:val="auto"/>
              </w:rPr>
            </w:pPr>
          </w:p>
        </w:tc>
        <w:tc>
          <w:tcPr>
            <w:tcW w:w="480" w:type="dxa"/>
            <w:vAlign w:val="bottom"/>
            <w:gridSpan w:val="2"/>
            <w:vMerge w:val="restart"/>
          </w:tcPr>
          <w:p>
            <w:pPr>
              <w:ind w:left="320"/>
              <w:spacing w:after="0"/>
              <w:rPr>
                <w:sz w:val="20"/>
                <w:szCs w:val="20"/>
                <w:color w:val="auto"/>
              </w:rPr>
            </w:pPr>
            <w:r>
              <w:rPr>
                <w:rFonts w:ascii="Arial" w:cs="Arial" w:eastAsia="Arial" w:hAnsi="Arial"/>
                <w:sz w:val="8"/>
                <w:szCs w:val="8"/>
                <w:color w:val="008000"/>
              </w:rPr>
              <w:t>(2)</w:t>
            </w:r>
          </w:p>
        </w:tc>
        <w:tc>
          <w:tcPr>
            <w:tcW w:w="16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(3)</w:t>
            </w:r>
          </w:p>
        </w:tc>
        <w:tc>
          <w:tcPr>
            <w:tcW w:w="24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9"/>
                <w:szCs w:val="9"/>
                <w:color w:val="0000FF"/>
              </w:rPr>
              <w:t>Class A Shares</w:t>
            </w:r>
          </w:p>
        </w:tc>
        <w:tc>
          <w:tcPr>
            <w:tcW w:w="740" w:type="dxa"/>
            <w:vAlign w:val="bottom"/>
            <w:gridSpan w:val="2"/>
            <w:vMerge w:val="restart"/>
          </w:tcPr>
          <w:p>
            <w:pPr>
              <w:jc w:val="center"/>
              <w:ind w:left="274"/>
              <w:spacing w:after="0"/>
              <w:rPr>
                <w:sz w:val="20"/>
                <w:szCs w:val="20"/>
                <w:color w:val="auto"/>
              </w:rPr>
            </w:pPr>
            <w:r>
              <w:rPr>
                <w:rFonts w:ascii="Arial" w:cs="Arial" w:eastAsia="Arial" w:hAnsi="Arial"/>
                <w:sz w:val="12"/>
                <w:szCs w:val="12"/>
                <w:color w:val="0000FF"/>
                <w:w w:val="86"/>
              </w:rPr>
              <w:t>4,800</w:t>
            </w:r>
          </w:p>
        </w:tc>
        <w:tc>
          <w:tcPr>
            <w:tcW w:w="20" w:type="dxa"/>
            <w:vAlign w:val="bottom"/>
          </w:tcPr>
          <w:p>
            <w:pPr>
              <w:spacing w:after="0"/>
              <w:rPr>
                <w:sz w:val="10"/>
                <w:szCs w:val="10"/>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740" w:type="dxa"/>
            <w:vAlign w:val="bottom"/>
            <w:gridSpan w:val="2"/>
            <w:vMerge w:val="restart"/>
          </w:tcPr>
          <w:p>
            <w:pPr>
              <w:ind w:left="240"/>
              <w:spacing w:after="0"/>
              <w:rPr>
                <w:sz w:val="20"/>
                <w:szCs w:val="20"/>
                <w:color w:val="auto"/>
              </w:rPr>
            </w:pPr>
            <w:r>
              <w:rPr>
                <w:rFonts w:ascii="Arial" w:cs="Arial" w:eastAsia="Arial" w:hAnsi="Arial"/>
                <w:sz w:val="9"/>
                <w:szCs w:val="9"/>
                <w:color w:val="0000FF"/>
              </w:rPr>
              <w:t>19,200</w:t>
            </w:r>
          </w:p>
        </w:tc>
        <w:tc>
          <w:tcPr>
            <w:tcW w:w="620" w:type="dxa"/>
            <w:vAlign w:val="bottom"/>
            <w:vMerge w:val="restart"/>
          </w:tcPr>
          <w:p>
            <w:pPr>
              <w:jc w:val="right"/>
              <w:ind w:right="235"/>
              <w:spacing w:after="0"/>
              <w:rPr>
                <w:sz w:val="20"/>
                <w:szCs w:val="20"/>
                <w:color w:val="auto"/>
              </w:rPr>
            </w:pPr>
            <w:r>
              <w:rPr>
                <w:rFonts w:ascii="Arial" w:cs="Arial" w:eastAsia="Arial" w:hAnsi="Arial"/>
                <w:sz w:val="9"/>
                <w:szCs w:val="9"/>
                <w:color w:val="0000FF"/>
              </w:rPr>
              <w:t>D</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0000FF"/>
              </w:rPr>
              <w:t>Incentive Plan</w:t>
            </w:r>
          </w:p>
        </w:tc>
        <w:tc>
          <w:tcPr>
            <w:tcW w:w="2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1-for-1 Class A Shares for Phantom Class A Shares upon vesting, for each Phantom Class A Share that vests.</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25% vest annually, with automatic re-grant of equivalent amount.</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Upon termination of service as director, other than because of death, disability or retirement.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Ann F. Gullion, as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02/12/2016</w:t>
            </w:r>
          </w:p>
        </w:tc>
      </w:tr>
      <w:tr>
        <w:trPr>
          <w:trHeight w:val="150"/>
        </w:trPr>
        <w:tc>
          <w:tcPr>
            <w:tcW w:w="17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with</w:t>
      </w:r>
    </w:p>
    <w:p>
      <w:pPr>
        <w:spacing w:after="0" w:line="146" w:lineRule="exact"/>
        <w:rPr>
          <w:sz w:val="20"/>
          <w:szCs w:val="20"/>
          <w:color w:val="auto"/>
        </w:rPr>
      </w:pPr>
    </w:p>
    <w:p>
      <w:pPr>
        <w:ind w:left="288" w:hanging="288"/>
        <w:spacing w:after="0"/>
        <w:tabs>
          <w:tab w:leader="none" w:pos="2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15th day of October,2013,</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Everardo Goyanes</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41"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2020-01-19T06:11:43Z</dcterms:created>
  <dcterms:modified xsi:type="dcterms:W3CDTF">2020-01-19T06:11:43Z</dcterms:modified>
</cp:coreProperties>
</file>