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 </w:t>
      </w:r>
      <w:r>
        <w:rPr>
          <w:rFonts w:ascii="Times New Roman;serif" w:hAnsi="Times New Roman;serif"/>
          <w:b/>
          <w:color w:val="000000"/>
          <w:sz w:val="20"/>
        </w:rPr>
        <w:t>August 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GP Holdings,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02"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845"/>
        <w:gridCol w:w="845"/>
        <w:gridCol w:w="1205"/>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1-36132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90-1005472</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333 Clay Street, Suite 1600, Houston, Texas 77002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713-646-4100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7792"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564"/>
        <w:gridCol w:w="564"/>
        <w:gridCol w:w="566"/>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and Item 7.01. Results of Operations and Financial Condition; Regulation FD Disclosure.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August 7, 2026, the Registrant issued a press release reporting its second-quarter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(d) Exhibits. </w:t>
      </w:r>
    </w:p>
    <w:tbl>
      <w:tblPr>
        <w:tblW w:w="8306"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1931"/>
        <w:gridCol w:w="1931"/>
        <w:gridCol w:w="273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pagp08072026exhibit991.htm">
              <w:r>
                <w:rPr>
                  <w:rStyle w:val="InternetLink"/>
                  <w:rFonts w:ascii="Times New Roman;serif" w:hAnsi="Times New Roman;serif"/>
                  <w:b w:val="false"/>
                  <w:color w:val="000080"/>
                  <w:sz w:val="20"/>
                  <w:u w:val="single"/>
                </w:rPr>
                <w:t xml:space="preserve">Press Release dated </w:t>
              </w:r>
            </w:hyperlink>
            <w:hyperlink w:anchor="pagp08072026exhibit991.htm">
              <w:r>
                <w:rPr>
                  <w:rStyle w:val="InternetLink"/>
                  <w:rFonts w:ascii="Times New Roman;serif" w:hAnsi="Times New Roman;serif"/>
                  <w:b w:val="false"/>
                  <w:color w:val="000080"/>
                  <w:sz w:val="20"/>
                  <w:u w:val="single"/>
                </w:rPr>
                <w:t>August 7</w:t>
              </w:r>
            </w:hyperlink>
            <w:hyperlink w:anchor="pagp08072026exhibit991.htm">
              <w:r>
                <w:rPr>
                  <w:rStyle w:val="InternetLink"/>
                  <w:rFonts w:ascii="Times New Roman;serif" w:hAnsi="Times New Roman;serif"/>
                  <w:b w:val="false"/>
                  <w:color w:val="000080"/>
                  <w:sz w:val="20"/>
                  <w:u w:val="single"/>
                </w:rPr>
                <w:t>, 2026</w:t>
              </w:r>
            </w:hyperlink>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789" w:type="dxa"/>
        <w:jc w:val="center"/>
        <w:tblInd w:w="0" w:type="dxa"/>
        <w:tblLayout w:type="fixed"/>
        <w:tblCellMar>
          <w:top w:w="28" w:type="dxa"/>
          <w:left w:w="28" w:type="dxa"/>
          <w:bottom w:w="28" w:type="dxa"/>
          <w:right w:w="28" w:type="dxa"/>
        </w:tblCellMar>
      </w:tblPr>
      <w:tblGrid>
        <w:gridCol w:w="667"/>
        <w:gridCol w:w="587"/>
        <w:gridCol w:w="590"/>
        <w:gridCol w:w="264"/>
        <w:gridCol w:w="264"/>
        <w:gridCol w:w="264"/>
        <w:gridCol w:w="551"/>
        <w:gridCol w:w="551"/>
        <w:gridCol w:w="551"/>
        <w:gridCol w:w="1294"/>
        <w:gridCol w:w="1294"/>
        <w:gridCol w:w="19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GP HOLDINGS, L.P.</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Holdings LLC, its general partner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57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057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Plains All American Reports Second-Quarter 2026 Results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TX – August 7, 2026 – Plains All American Pipeline, L.P. (Nasdaq: PAA) and Plains GP Holdings (Nasdaq: PAGP) today reported second-quarter 2026 results and provided the following highlights:</w:t>
      </w:r>
    </w:p>
    <w:p>
      <w:pPr>
        <w:pStyle w:val="TextBody"/>
        <w:bidi w:val="0"/>
        <w:spacing w:before="0" w:after="0"/>
        <w:jc w:val="left"/>
        <w:rPr/>
      </w:pPr>
      <w:r>
        <w:rPr/>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Second-Quarter 2026 Results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Second-quarter Net income attributable to PAA of $1.830 billion, including a net gain of approximately $1.6 billion from the Canadian NGL Business divestiture, and Net cash provided by operating activities of $956 million</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Delivered strong second-quarter Adjusted EBITDA attributable to PAA of $738 million</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 xml:space="preserve">Pro forma leverage ratio at quarter-end was 3.3x reflecting approximately $2.9 billion of debt reduction funded with proceeds from the Canadian NGL Business divestiture and toward the low-end of our target range of 3.25 to 3.75x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Paid a quarterly cash distribution of $0.4175 per unit ($1.67 per unit annualized), representing a current distribution yield of ~7%</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Highlights and Recent Announcements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Executing on three key initiatives for the year: closed the NGL sale, captured $50 million of synergies on the Cactus III acquisition and delivering on $50 million of targeted cost reductions through year-end 2026</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Increased 2026 organic growth capital from $350 million to a range of $400 to $450 million including a 75 Mb/d expansion of the Cactus III pipeline, Canadian gathering systems and Permian gathering projects across the Delaware and Midland basins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Maintenance capital guidance is being reduced by $10 million to $175 million largely based on timing of the NGL divestiture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Strong results in the quarter mark a significant improvement from first quarter levels and place us on-track to deliver on our full-year Adjusted EBITDA guidance. Year-to-date we are on pace to accomplish all three key initiatives outlined for 2026. In May, we successfully closed on the sale of our Canadian NGL business, completing a transition to a premier pure play crude oil midstream provider. Proceeds from the NGL sale were used to bring our leverage ratio back within our established target range. Cactus III synergies have been captured and we are now seeing additional upside potential from expanding the capacity of the pipeline by 75mbbl/d. Finally, we remain on-track to capture streamlining efficiencies throughout the organization this year. The combination of these key initiatives along with contributions from new organic investment opportunities and Permian volume growth provides momentum for the organization heading into 2027. The oil macro environment remains volatile but our well positioned asset footprint, integrated business model, and commercial relationships position us well to capture opportunities across our portfolio,” said Willie Chiang, Chairman, CEO and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20140"/>
                <wp:effectExtent l="0" t="0" r="0" b="0"/>
                <wp:wrapNone/>
                <wp:docPr id="5" name="Frame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Reporting Considerations from Sale of Canadian NGL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we completed the sale of substantially all of our NGL business in Canada (the “Canadian NGL Business”) to Keyera Corp. (“Keyera”), pursuant to a definitive share purchase agreement (as amended to date, the “SPA”) entered into on June 17, 2025. We determined that the operations of the Canadian NGL Business met the criteria for classification as held for sale and for discontinued operations reporting. Results throughout this release specify if they are presented from continuing operations (which exclude results related to the Canadian NGL Business) and/or discontinued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Plains All American Pipeline</w:t>
      </w:r>
      <w:r>
        <w:rPr>
          <w:color w:val="000000"/>
        </w:rPr>
        <w:t xml:space="preserve"> </w:t>
      </w:r>
    </w:p>
    <w:p>
      <w:pPr>
        <w:pStyle w:val="TextBody"/>
        <w:bidi w:val="0"/>
        <w:spacing w:lineRule="auto" w:line="288" w:before="0" w:after="0"/>
        <w:jc w:val="left"/>
        <w:rPr/>
      </w:pPr>
      <w:r>
        <w:rPr>
          <w:rFonts w:ascii="Times New Roman;serif" w:hAnsi="Times New Roman;serif"/>
          <w:b/>
          <w:color w:val="000000"/>
          <w:sz w:val="20"/>
          <w:u w:val="single"/>
        </w:rPr>
        <w:t>Summary Financial Information</w:t>
      </w:r>
      <w:r>
        <w:rPr>
          <w:color w:val="000000"/>
        </w:rPr>
        <w:t xml:space="preserve"> </w:t>
      </w: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841"/>
        <w:gridCol w:w="713"/>
        <w:gridCol w:w="600"/>
        <w:gridCol w:w="109"/>
        <w:gridCol w:w="109"/>
        <w:gridCol w:w="109"/>
        <w:gridCol w:w="211"/>
        <w:gridCol w:w="721"/>
        <w:gridCol w:w="109"/>
        <w:gridCol w:w="109"/>
        <w:gridCol w:w="109"/>
        <w:gridCol w:w="109"/>
        <w:gridCol w:w="211"/>
        <w:gridCol w:w="721"/>
        <w:gridCol w:w="109"/>
        <w:gridCol w:w="109"/>
        <w:gridCol w:w="109"/>
        <w:gridCol w:w="109"/>
        <w:gridCol w:w="203"/>
        <w:gridCol w:w="203"/>
        <w:gridCol w:w="367"/>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03"/>
        <w:gridCol w:w="203"/>
        <w:gridCol w:w="419"/>
      </w:tblGrid>
      <w:tr>
        <w:trPr/>
        <w:tc>
          <w:tcPr>
            <w:tcW w:w="84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 xml:space="preserve">GAAP Results </w:t>
            </w:r>
            <w:r>
              <w:rPr>
                <w:rFonts w:ascii="Times New Roman;serif" w:hAnsi="Times New Roman;serif"/>
                <w:b/>
                <w:i/>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PAA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per common unit declared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4"/>
        <w:gridCol w:w="835"/>
        <w:gridCol w:w="842"/>
        <w:gridCol w:w="109"/>
        <w:gridCol w:w="109"/>
        <w:gridCol w:w="109"/>
        <w:gridCol w:w="211"/>
        <w:gridCol w:w="616"/>
        <w:gridCol w:w="109"/>
        <w:gridCol w:w="109"/>
        <w:gridCol w:w="109"/>
        <w:gridCol w:w="109"/>
        <w:gridCol w:w="211"/>
        <w:gridCol w:w="511"/>
        <w:gridCol w:w="109"/>
        <w:gridCol w:w="109"/>
        <w:gridCol w:w="109"/>
        <w:gridCol w:w="109"/>
        <w:gridCol w:w="180"/>
        <w:gridCol w:w="181"/>
        <w:gridCol w:w="367"/>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149"/>
        <w:gridCol w:w="149"/>
        <w:gridCol w:w="420"/>
      </w:tblGrid>
      <w:tr>
        <w:trPr/>
        <w:tc>
          <w:tcPr>
            <w:tcW w:w="115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 xml:space="preserve">Non-GAAP Results </w:t>
            </w:r>
            <w:r>
              <w:rPr>
                <w:rFonts w:ascii="Times New Roman;serif" w:hAnsi="Times New Roman;serif"/>
                <w:b/>
                <w:i/>
                <w:color w:val="000000"/>
                <w:sz w:val="10"/>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attributable to PAA</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adjusted net income per common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 and common unit equivalent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(Excluding Changes in Assets &amp; Liabilities)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after Distributions (Excluding Changes in Assets &amp; Liabilities)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Indicates that variance as a percentage is not meaningful.</w:t>
      </w:r>
    </w:p>
    <w:p>
      <w:pPr>
        <w:pStyle w:val="TextBody"/>
        <w:bidi w:val="0"/>
        <w:spacing w:lineRule="auto" w:line="288" w:before="60" w:after="12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 See the tables attached hereto for additional information.</w:t>
      </w:r>
    </w:p>
    <w:p>
      <w:pPr>
        <w:pStyle w:val="TextBody"/>
        <w:bidi w:val="0"/>
        <w:spacing w:lineRule="auto" w:line="288" w:before="60" w:after="12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amounts attributable to noncontrolling interests in the Plains Oryx Permian Basin LLC (the “Permian JV”), Cactus II Pipeline LLC and Red River Pipeline LLC joint ventures.</w:t>
      </w:r>
    </w:p>
    <w:p>
      <w:pPr>
        <w:pStyle w:val="TextBody"/>
        <w:bidi w:val="0"/>
        <w:spacing w:lineRule="auto" w:line="288" w:before="60" w:after="12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pStyle w:val="TextBody"/>
        <w:bidi w:val="0"/>
        <w:spacing w:lineRule="auto" w:line="288" w:before="60" w:after="12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For the three and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before="6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20140"/>
                <wp:effectExtent l="0" t="0" r="0" b="0"/>
                <wp:wrapNone/>
                <wp:docPr id="6" name="Frame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Disaggregation of Adjusted EBITDA by Product</w:t>
      </w:r>
      <w:r>
        <w:rPr>
          <w:color w:val="000000"/>
        </w:rPr>
        <w:t xml:space="preserve"> </w:t>
      </w:r>
      <w:r>
        <w:rPr>
          <w:rFonts w:ascii="Times New Roman;serif" w:hAnsi="Times New Roman;serif"/>
          <w:b w:val="false"/>
          <w:color w:val="000000"/>
          <w:sz w:val="13"/>
        </w:rPr>
        <w:t xml:space="preserve">(1) (2) </w:t>
      </w: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tbl>
      <w:tblPr>
        <w:tblW w:w="9559" w:type="dxa"/>
        <w:jc w:val="left"/>
        <w:tblInd w:w="0" w:type="dxa"/>
        <w:tblLayout w:type="fixed"/>
        <w:tblCellMar>
          <w:top w:w="28" w:type="dxa"/>
          <w:left w:w="28" w:type="dxa"/>
          <w:bottom w:w="28" w:type="dxa"/>
          <w:right w:w="28" w:type="dxa"/>
        </w:tblCellMar>
      </w:tblPr>
      <w:tblGrid>
        <w:gridCol w:w="1195"/>
        <w:gridCol w:w="1050"/>
        <w:gridCol w:w="1054"/>
        <w:gridCol w:w="539"/>
        <w:gridCol w:w="1574"/>
        <w:gridCol w:w="692"/>
        <w:gridCol w:w="109"/>
        <w:gridCol w:w="109"/>
        <w:gridCol w:w="109"/>
        <w:gridCol w:w="541"/>
        <w:gridCol w:w="1194"/>
        <w:gridCol w:w="694"/>
        <w:gridCol w:w="109"/>
        <w:gridCol w:w="109"/>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Adjusted EBITDA from 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EBITDA from NGL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5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i/>
                <w:color w:val="000000"/>
                <w:sz w:val="20"/>
              </w:rPr>
            </w:pPr>
            <w:r>
              <w:rPr>
                <w:rFonts w:ascii="Times New Roman;serif" w:hAnsi="Times New Roman;serif"/>
                <w:b/>
                <w:i/>
                <w:color w:val="000000"/>
                <w:sz w:val="20"/>
              </w:rPr>
              <w:t>Percentage change versus 2025 period</w:t>
            </w:r>
          </w:p>
        </w:tc>
        <w:tc>
          <w:tcPr>
            <w:tcW w:w="21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w:t>
            </w:r>
            <w:r>
              <w:rPr>
                <w:color w:val="000000"/>
              </w:rPr>
              <w:t> </w:t>
            </w:r>
          </w:p>
        </w:tc>
        <w:tc>
          <w:tcPr>
            <w:tcW w:w="6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(54)</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Adjusted EBITDA from 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EBITDA from NGL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5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i/>
                <w:color w:val="000000"/>
                <w:sz w:val="20"/>
              </w:rPr>
            </w:pPr>
            <w:r>
              <w:rPr>
                <w:rFonts w:ascii="Times New Roman;serif" w:hAnsi="Times New Roman;serif"/>
                <w:b/>
                <w:i/>
                <w:color w:val="000000"/>
                <w:sz w:val="20"/>
              </w:rPr>
              <w:t>Percentage change versus 2025 period</w:t>
            </w:r>
          </w:p>
        </w:tc>
        <w:tc>
          <w:tcPr>
            <w:tcW w:w="211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12</w:t>
            </w:r>
            <w:r>
              <w:rPr>
                <w:color w:val="000000"/>
              </w:rPr>
              <w:t> </w:t>
            </w:r>
          </w:p>
        </w:tc>
        <w:tc>
          <w:tcPr>
            <w:tcW w:w="69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(33)</w:t>
            </w:r>
          </w:p>
        </w:tc>
        <w:tc>
          <w:tcPr>
            <w:tcW w:w="6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Second-quarter 2026 Adjusted EBITDA from Crude Oil increased 19% versus comparable 2025 results. Favorable results in the 2026 period from (i) contributions from our Cactus III pipeline acquisition, which was completed during the fourth quarter of 2025, (ii) higher volumes on our pipelines and (iii) market opportunities and optimization initiatives were partially offset by the impact of (iv) certain Permian long-haul pipeline contract rate resets.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Second-quarter 2026 Adjusted EBITDA from NGL decreased 54% versus comparable 2025 results primarily due to the sale of the Canadian NGL Business, which closed on May 12, 2026.</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Conference Call and Webcast Instructions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and PAGP will hold a joint conference call at 9:00 a.m. CT on Friday, August 7, 2026 to discuss second-quarter performance and related items.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access the internet webcast, please go to https://edge.media-server.com/mmc/p/d62hd2t2/lan/en.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 and Selected Items Impacting Comparability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20140"/>
                <wp:effectExtent l="0" t="0" r="0" b="0"/>
                <wp:wrapNone/>
                <wp:docPr id="7" name="Frame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4</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20140"/>
                <wp:effectExtent l="0" t="0" r="0" b="0"/>
                <wp:wrapNone/>
                <wp:docPr id="8" name="Frame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Liquidity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Measures and Discontinued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June 17, 2025, the date we entered into the SPA with Keyera to sell the Canadian NGL Business, through the closing of the divestiture on May 12, 2026, management reviewed such business as a component of our overall company performance and ability to fund distributions to our unitholders in the near term. As such, certain Non-GAAP financial performance measures, such as Adjusted EBITDA, Adjusted EBITDA attributable to PAA, Implied DCF, and certain Non-GAAP financial liquidity measures, such as Adjusted Free Cash Flow and Adjusted Free Cash Flow (Excluding Changes in Assets &amp; Liabilities),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20140"/>
                <wp:effectExtent l="0" t="0" r="0" b="0"/>
                <wp:wrapNone/>
                <wp:docPr id="9" name="Frame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1948"/>
        <w:gridCol w:w="1709"/>
        <w:gridCol w:w="171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net </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net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UNIT: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weighted average common units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For each of the three and six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Certain Plains entities have issued promissory notes by and among such entities to facilitate financing. “Interest expense, net” and “Other income, net” each include $18 million and $41 million for the three and six months ended June 30, 2026, respectively, and $23 million and $43 million for the three and six months ended June 30, 2025 related to interest on such related party promissory notes. These amounts offset and do not impact Net Income or Non-GAAP metrics such as Adjusted EBITDA, Implied DCF and Adjusted Free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20140"/>
                <wp:effectExtent l="0" t="0" r="0" b="0"/>
                <wp:wrapNone/>
                <wp:docPr id="10" name="Frame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837" w:type="dxa"/>
        <w:jc w:val="left"/>
        <w:tblInd w:w="0" w:type="dxa"/>
        <w:tblLayout w:type="fixed"/>
        <w:tblCellMar>
          <w:top w:w="28" w:type="dxa"/>
          <w:left w:w="28" w:type="dxa"/>
          <w:bottom w:w="28" w:type="dxa"/>
          <w:right w:w="28" w:type="dxa"/>
        </w:tblCellMar>
      </w:tblPr>
      <w:tblGrid>
        <w:gridCol w:w="2327"/>
        <w:gridCol w:w="2039"/>
        <w:gridCol w:w="2053"/>
        <w:gridCol w:w="196"/>
        <w:gridCol w:w="646"/>
        <w:gridCol w:w="109"/>
        <w:gridCol w:w="109"/>
        <w:gridCol w:w="109"/>
        <w:gridCol w:w="109"/>
        <w:gridCol w:w="224"/>
        <w:gridCol w:w="740"/>
        <w:gridCol w:w="176"/>
      </w:tblGrid>
      <w:tr>
        <w:trPr/>
        <w:tc>
          <w:tcPr>
            <w:tcW w:w="2327"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assets (including Cash and cash equivalents of $1,059 and $328, respectively)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Linefill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right-of-use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PARTNERS’ CAPITAL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Current liabilities</w:t>
            </w:r>
            <w:r>
              <w:rPr>
                <w:color w:val="000000"/>
              </w:rPr>
              <w:t xml:space="preserve"> </w:t>
            </w: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and deferred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 capital excluding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partners’ capital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partners’ capital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30,169 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current assets of discontinued operations of $479 million as of December 31, 2025.</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current liabilities of discontinued operations of $154 million and $382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DEBT CAPITALIZATION RATIOS</w:t>
      </w:r>
      <w:r>
        <w:rPr>
          <w:color w:val="000000"/>
        </w:rPr>
        <w:t xml:space="preserve"> </w:t>
      </w:r>
      <w:r>
        <w:rPr>
          <w:rFonts w:ascii="Times New Roman;serif" w:hAnsi="Times New Roman;serif"/>
          <w:b/>
          <w:color w:val="000000"/>
          <w:sz w:val="13"/>
        </w:rPr>
        <w:t>(1)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bl>
      <w:tblPr>
        <w:tblW w:w="8648" w:type="dxa"/>
        <w:jc w:val="left"/>
        <w:tblInd w:w="0" w:type="dxa"/>
        <w:tblLayout w:type="fixed"/>
        <w:tblCellMar>
          <w:top w:w="28" w:type="dxa"/>
          <w:left w:w="28" w:type="dxa"/>
          <w:bottom w:w="28" w:type="dxa"/>
          <w:right w:w="28" w:type="dxa"/>
        </w:tblCellMar>
      </w:tblPr>
      <w:tblGrid>
        <w:gridCol w:w="2291"/>
        <w:gridCol w:w="2014"/>
        <w:gridCol w:w="2024"/>
        <w:gridCol w:w="251"/>
        <w:gridCol w:w="178"/>
        <w:gridCol w:w="423"/>
        <w:gridCol w:w="109"/>
        <w:gridCol w:w="109"/>
        <w:gridCol w:w="109"/>
        <w:gridCol w:w="368"/>
        <w:gridCol w:w="204"/>
        <w:gridCol w:w="568"/>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10,698</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10,698</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 capital excluding noncontrolling interests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9,836</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book capitalization excluding noncontrolling interests (“Total book capitalization”)</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20,534</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book capitalization, including short-term debt</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21,098</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debt-to-total book capitalization</w:t>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debt-to-total book capitalization, including short-term debt</w:t>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20140"/>
                <wp:effectExtent l="0" t="0" r="0" b="0"/>
                <wp:wrapNone/>
                <wp:docPr id="11" name="Frame10"/>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COMPUTATION OF BASIC AND DILUTED NET INCOME PER COMMON UNIT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99"/>
        <w:gridCol w:w="1691"/>
        <w:gridCol w:w="1696"/>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313"/>
      </w:tblGrid>
      <w:tr>
        <w:trPr/>
        <w:tc>
          <w:tcPr>
            <w:tcW w:w="209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Income per Common Unit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attributable to PAA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Impact from repurchase of Series A preferred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income from continuing operations allocated to common unitholders - Basic and Diluted</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income from discontinued operations allocated to common unitholders - Basic and Diluted</w:t>
            </w:r>
            <w:r>
              <w:rPr>
                <w:color w:val="000000"/>
              </w:rPr>
              <w:t xml:space="preserve"> </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unitholders - Basic and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weighted average common units outstanding </w:t>
            </w:r>
            <w:r>
              <w:rPr>
                <w:rFonts w:ascii="Times New Roman;serif" w:hAnsi="Times New Roman;serif"/>
                <w:b w:val="false"/>
                <w:color w:val="000000"/>
                <w:sz w:val="13"/>
              </w:rPr>
              <w:t>(3)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Net income from discontinued operations allocated to common unitholders is “Income from discontinued operations, net of tax” as presented on our Condensed Consolidated Statements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The possible conversion of our Series A preferred units was excluded from the calculation of diluted net income per common unit from continuing operations for each of the three and six months ended June 30, 2026 and 2025 as the effect was antidilutive.</w:t>
      </w:r>
    </w:p>
    <w:p>
      <w:pPr>
        <w:pStyle w:val="TextBody"/>
        <w:bidi w:val="0"/>
        <w:spacing w:lineRule="auto" w:line="288" w:before="60" w:after="283"/>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20140"/>
                <wp:effectExtent l="0" t="0" r="0" b="0"/>
                <wp:wrapNone/>
                <wp:docPr id="12" name="Frame11"/>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CASH FLOW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663" w:type="dxa"/>
        <w:jc w:val="left"/>
        <w:tblInd w:w="0" w:type="dxa"/>
        <w:tblLayout w:type="fixed"/>
        <w:tblCellMar>
          <w:top w:w="28" w:type="dxa"/>
          <w:left w:w="28" w:type="dxa"/>
          <w:bottom w:w="28" w:type="dxa"/>
          <w:right w:w="28" w:type="dxa"/>
        </w:tblCellMar>
      </w:tblPr>
      <w:tblGrid>
        <w:gridCol w:w="2218"/>
        <w:gridCol w:w="1949"/>
        <w:gridCol w:w="1953"/>
        <w:gridCol w:w="211"/>
        <w:gridCol w:w="616"/>
        <w:gridCol w:w="109"/>
        <w:gridCol w:w="109"/>
        <w:gridCol w:w="109"/>
        <w:gridCol w:w="109"/>
        <w:gridCol w:w="215"/>
        <w:gridCol w:w="475"/>
        <w:gridCol w:w="109"/>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(benefit)/expense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foreign currency revaluation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earnings from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continuing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 continuing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by/(used in) investing activities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by/(used in) investing activities </w:t>
            </w:r>
            <w:r>
              <w:rPr>
                <w:rFonts w:ascii="Times New Roman;serif" w:hAnsi="Times New Roman;serif"/>
                <w:b w:val="false"/>
                <w:color w:val="000000"/>
                <w:sz w:val="13"/>
              </w:rPr>
              <w:t>(1) (2)</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by/(used in) financing activities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Certain Plains entities have issued promissory notes by and among such entities to facilitate financing. For the six months ended June 30, 2025, “Net cash provided by/(used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the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20140"/>
                <wp:effectExtent l="0" t="0" r="0" b="0"/>
                <wp:wrapNone/>
                <wp:docPr id="13" name="Frame12"/>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u w:val="single"/>
        </w:rPr>
        <w:t>CAPITAL EXPENDITURES</w:t>
      </w:r>
      <w:r>
        <w:rPr>
          <w:color w:val="000000"/>
        </w:rPr>
        <w:t xml:space="preserve"> </w:t>
      </w:r>
      <w:r>
        <w:rPr>
          <w:rFonts w:ascii="Times New Roman;serif" w:hAnsi="Times New Roman;serif"/>
          <w:b/>
          <w:color w:val="000000"/>
          <w:sz w:val="13"/>
        </w:rPr>
        <w:t>(1)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581"/>
        <w:gridCol w:w="499"/>
        <w:gridCol w:w="50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58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capital expenditures: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NGL </w:t>
            </w:r>
            <w:r>
              <w:rPr>
                <w:rFonts w:ascii="Times New Roman;serif" w:hAnsi="Times New Roman;serif"/>
                <w:b w:val="false"/>
                <w:color w:val="000000"/>
                <w:sz w:val="13"/>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capital expenditures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Maintenance capital expenditures </w:t>
            </w:r>
            <w:r>
              <w:rPr>
                <w:rFonts w:ascii="Times New Roman;serif" w:hAnsi="Times New Roman;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and Maintenance 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Excludes expenditures attributable to noncontrolling interests.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See the “Discontinued Operations Detail” section for amounts attributable to discontinued operations.</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See the “Selected Financial Data by NGL” section for amounts attributable to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20140"/>
                <wp:effectExtent l="0" t="0" r="0" b="0"/>
                <wp:wrapNone/>
                <wp:docPr id="14" name="Frame13"/>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NON-GAAP RECONCILIATIONS</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and ratio data)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Computation of Basic and Diluted Adjusted Net Income Per Common Unit</w:t>
      </w:r>
      <w:r>
        <w:rPr>
          <w:color w:val="000000"/>
        </w:rPr>
        <w:t xml:space="preserve"> </w:t>
      </w:r>
      <w:r>
        <w:rPr>
          <w:rFonts w:ascii="Times New Roman;serif" w:hAnsi="Times New Roman;serif"/>
          <w:b/>
          <w:color w:val="000000"/>
          <w:sz w:val="13"/>
        </w:rPr>
        <w:t>(1) (2)</w:t>
      </w:r>
      <w:r>
        <w:rPr>
          <w:rFonts w:ascii="Times New Roman;serif" w:hAnsi="Times New Roman;serif"/>
          <w:b/>
          <w:color w:val="000000"/>
          <w:sz w:val="20"/>
        </w:rPr>
        <w:t>:</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065"/>
        <w:gridCol w:w="1708"/>
        <w:gridCol w:w="171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312"/>
      </w:tblGrid>
      <w:tr>
        <w:trPr/>
        <w:tc>
          <w:tcPr>
            <w:tcW w:w="206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Adjusted Net Income per Common Unit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net income attributable to PAA </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PAA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Impact from repurchase of Series A preferred units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net income allocated to common unitholders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weighted average common units outstanding </w:t>
            </w:r>
            <w:r>
              <w:rPr>
                <w:rFonts w:ascii="Times New Roman;serif" w:hAnsi="Times New Roman;serif"/>
                <w:b w:val="false"/>
                <w:color w:val="000000"/>
                <w:sz w:val="13"/>
              </w:rPr>
              <w:t>(4)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adjusted net income per common unit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See the “Selected Items Impacting Comparability”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The possible conversion of our Series A preferred units was excluded from the calculation of diluted adjusted net income per common unit for each of the three and six months ended June 30, 2026 and 2025 as the effect was antidilutive.</w:t>
      </w:r>
    </w:p>
    <w:p>
      <w:pPr>
        <w:pStyle w:val="TextBody"/>
        <w:bidi w:val="0"/>
        <w:spacing w:lineRule="auto" w:line="288" w:before="60" w:after="283"/>
        <w:ind w:left="0" w:right="0" w:hanging="360"/>
        <w:jc w:val="left"/>
        <w:rPr/>
      </w:pPr>
      <w:r>
        <w:rPr>
          <w:rFonts w:ascii="Times New Roman;serif" w:hAnsi="Times New Roman;serif"/>
          <w:b w:val="false"/>
          <w:color w:val="000000"/>
          <w:sz w:val="10"/>
        </w:rPr>
        <w:t>(5)</w:t>
      </w:r>
      <w:r>
        <w:rPr>
          <w:rFonts w:ascii="Times New Roman;serif" w:hAnsi="Times New Roman;serif"/>
          <w:b w:val="false"/>
          <w:color w:val="000000"/>
          <w:sz w:val="16"/>
        </w:rPr>
        <w:t xml:space="preserve">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w:t>
      </w:r>
    </w:p>
    <w:p>
      <w:pPr>
        <w:pStyle w:val="TextBody"/>
        <w:bidi w:val="0"/>
        <w:spacing w:before="60" w:after="283"/>
        <w:jc w:val="left"/>
        <w:rPr/>
      </w:pPr>
      <w:r>
        <w:rPr/>
      </w:r>
    </w:p>
    <w:p>
      <w:pPr>
        <w:pStyle w:val="TextBody"/>
        <w:bidi w:val="0"/>
        <w:spacing w:lineRule="auto" w:line="288" w:before="0" w:after="0"/>
        <w:ind w:left="0" w:right="0" w:hanging="180"/>
        <w:jc w:val="left"/>
        <w:rPr/>
      </w:pPr>
      <w:r>
        <w:rPr>
          <w:rFonts w:ascii="Times New Roman;serif" w:hAnsi="Times New Roman;serif"/>
          <w:b/>
          <w:color w:val="000000"/>
          <w:sz w:val="19"/>
        </w:rPr>
        <w:t xml:space="preserve">Net Income Per Common Unit to Adjusted Net Income Per Common Unit Reconciliation </w:t>
      </w:r>
      <w:r>
        <w:rPr>
          <w:rFonts w:ascii="Times New Roman;serif" w:hAnsi="Times New Roman;serif"/>
          <w:b/>
          <w:color w:val="000000"/>
          <w:sz w:val="12"/>
        </w:rPr>
        <w:t>(1)</w:t>
      </w:r>
      <w:r>
        <w:rPr>
          <w:rFonts w:ascii="Times New Roman;serif" w:hAnsi="Times New Roman;serif"/>
          <w:b/>
          <w:color w:val="000000"/>
          <w:sz w:val="19"/>
        </w:rPr>
        <w:t>:</w:t>
      </w:r>
    </w:p>
    <w:p>
      <w:pPr>
        <w:pStyle w:val="TextBody"/>
        <w:bidi w:val="0"/>
        <w:spacing w:before="0" w:after="0"/>
        <w:ind w:left="0" w:right="0" w:hanging="180"/>
        <w:jc w:val="left"/>
        <w:rPr/>
      </w:pPr>
      <w:r>
        <w:rPr/>
      </w:r>
    </w:p>
    <w:tbl>
      <w:tblPr>
        <w:tblW w:w="9330" w:type="dxa"/>
        <w:jc w:val="left"/>
        <w:tblInd w:w="0" w:type="dxa"/>
        <w:tblLayout w:type="fixed"/>
        <w:tblCellMar>
          <w:top w:w="28" w:type="dxa"/>
          <w:left w:w="28" w:type="dxa"/>
          <w:bottom w:w="28" w:type="dxa"/>
          <w:right w:w="28" w:type="dxa"/>
        </w:tblCellMar>
      </w:tblPr>
      <w:tblGrid>
        <w:gridCol w:w="1803"/>
        <w:gridCol w:w="1585"/>
        <w:gridCol w:w="159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Selected items impacting comparability per common unit </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adjusted net income per common unit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Includes results from continuing operations and discontinued operations for all periods presented.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See the “Selected Items Impacting Comparability” and the “Computation of Basic and Diluted Net Income Per Common Unit” tables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20140"/>
                <wp:effectExtent l="0" t="0" r="0" b="0"/>
                <wp:wrapNone/>
                <wp:docPr id="15" name="Frame1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to Adjusted EBITDA attributable to PAA and Implied DCF Reconciliation:</w:t>
      </w:r>
    </w:p>
    <w:tbl>
      <w:tblPr>
        <w:tblW w:w="10205" w:type="dxa"/>
        <w:jc w:val="left"/>
        <w:tblInd w:w="0" w:type="dxa"/>
        <w:tblLayout w:type="fixed"/>
        <w:tblCellMar>
          <w:top w:w="28" w:type="dxa"/>
          <w:left w:w="28" w:type="dxa"/>
          <w:bottom w:w="28" w:type="dxa"/>
          <w:right w:w="28" w:type="dxa"/>
        </w:tblCellMar>
      </w:tblPr>
      <w:tblGrid>
        <w:gridCol w:w="2054"/>
        <w:gridCol w:w="1635"/>
        <w:gridCol w:w="161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223"/>
      </w:tblGrid>
      <w:tr>
        <w:trPr/>
        <w:tc>
          <w:tcPr>
            <w:tcW w:w="20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Net Income</w:t>
            </w:r>
            <w:r>
              <w:rPr>
                <w:color w:val="000000"/>
              </w:rPr>
              <w:t xml:space="preserve"> </w:t>
            </w:r>
            <w:r>
              <w:rPr>
                <w:rFonts w:ascii="Times New Roman;serif" w:hAnsi="Times New Roman;serif"/>
                <w:b w:val="false"/>
                <w:color w:val="000000"/>
                <w:sz w:val="11"/>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Interest expense, net of certain items </w:t>
            </w:r>
            <w:r>
              <w:rPr>
                <w:rFonts w:ascii="Times New Roman;serif" w:hAnsi="Times New Roman;serif"/>
                <w:b w:val="false"/>
                <w:color w:val="000000"/>
                <w:sz w:val="11"/>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7"/>
              </w:rPr>
            </w:pPr>
            <w:r>
              <w:rPr>
                <w:rFonts w:ascii="Times New Roman;serif" w:hAnsi="Times New Roman;serif"/>
                <w:b w:val="false"/>
                <w:color w:val="000000"/>
                <w:sz w:val="17"/>
              </w:rPr>
              <w:t>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Losses on asset sales, asset impairments and other, net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(Gains)/losses on asset sales and other, net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Depreciation and amortization of unconsolidated entities</w:t>
            </w:r>
            <w:r>
              <w:rPr>
                <w:color w:val="000000"/>
              </w:rPr>
              <w:t xml:space="preserve"> </w:t>
            </w:r>
            <w:r>
              <w:rPr>
                <w:rFonts w:ascii="Times New Roman;serif" w:hAnsi="Times New Roman;serif"/>
                <w:b w:val="false"/>
                <w:color w:val="000000"/>
                <w:sz w:val="11"/>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Selected items impacting comparability - Adjusted EBITDA </w:t>
            </w:r>
            <w:r>
              <w:rPr>
                <w:rFonts w:ascii="Times New Roman;serif" w:hAnsi="Times New Roman;serif"/>
                <w:b w:val="false"/>
                <w:color w:val="000000"/>
                <w:sz w:val="11"/>
              </w:rPr>
              <w:t>(1) (4)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1,693 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Adjusted EBITDA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attributable to PAA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1,426 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w:t>
            </w:r>
            <w:r>
              <w:rPr>
                <w:rFonts w:ascii="Times New Roman;serif" w:hAnsi="Times New Roman;serif"/>
                <w:b w:val="false"/>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Interest expense, net of certain non-cash and other items </w:t>
            </w:r>
            <w:r>
              <w:rPr>
                <w:rFonts w:ascii="Times New Roman;serif" w:hAnsi="Times New Roman;serif"/>
                <w:b w:val="false"/>
                <w:color w:val="000000"/>
                <w:sz w:val="11"/>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Investment capital of noncontrolling interests </w:t>
            </w:r>
            <w:r>
              <w:rPr>
                <w:rFonts w:ascii="Times New Roman;serif" w:hAnsi="Times New Roman;serif"/>
                <w:b w:val="false"/>
                <w:color w:val="000000"/>
                <w:sz w:val="11"/>
              </w:rPr>
              <w:t>(6)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Current income tax expense, net of certain tax effects related to the Canadian NGL Business divestiture </w:t>
            </w:r>
            <w:r>
              <w:rPr>
                <w:rFonts w:ascii="Times New Roman;serif" w:hAnsi="Times New Roman;serif"/>
                <w:b w:val="false"/>
                <w:color w:val="000000"/>
                <w:sz w:val="11"/>
              </w:rPr>
              <w:t>(1) (7)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Distributions from unconsolidated entities in excess of/(less than) adjusted equity earnings </w:t>
            </w:r>
            <w:r>
              <w:rPr>
                <w:rFonts w:ascii="Times New Roman;serif" w:hAnsi="Times New Roman;serif"/>
                <w:b w:val="false"/>
                <w:color w:val="000000"/>
                <w:sz w:val="11"/>
              </w:rPr>
              <w:t>(8)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Distributions to noncontrolling interests </w:t>
            </w:r>
            <w:r>
              <w:rPr>
                <w:rFonts w:ascii="Times New Roman;serif" w:hAnsi="Times New Roman;serif"/>
                <w:b w:val="false"/>
                <w:color w:val="000000"/>
                <w:sz w:val="11"/>
              </w:rPr>
              <w:t>(9)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1,043 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Preferred unit cash distributions paid </w:t>
            </w:r>
            <w:r>
              <w:rPr>
                <w:rFonts w:ascii="Times New Roman;serif" w:hAnsi="Times New Roman;serif"/>
                <w:b w:val="false"/>
                <w:color w:val="000000"/>
                <w:sz w:val="11"/>
              </w:rPr>
              <w:t>(9)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Available to Common Unitholders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Units Outstanding</w:t>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704 </w:t>
            </w:r>
          </w:p>
        </w:tc>
        <w:tc>
          <w:tcPr>
            <w:tcW w:w="2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Units and Common Unit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per Common Unit </w:t>
            </w:r>
            <w:r>
              <w:rPr>
                <w:rFonts w:ascii="Times New Roman;serif" w:hAnsi="Times New Roman;serif"/>
                <w:b w:val="false"/>
                <w:color w:val="000000"/>
                <w:sz w:val="11"/>
              </w:rPr>
              <w:t>(1) (10)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per Common Unit and Common Unit Equivalent </w:t>
            </w:r>
            <w:r>
              <w:rPr>
                <w:rFonts w:ascii="Times New Roman;serif" w:hAnsi="Times New Roman;serif"/>
                <w:b w:val="false"/>
                <w:color w:val="000000"/>
                <w:sz w:val="11"/>
              </w:rPr>
              <w:t>(1) (11)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Distribution Paid per Common Unit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0.7600 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Common Unit Cash Distributions </w:t>
            </w:r>
            <w:r>
              <w:rPr>
                <w:rFonts w:ascii="Times New Roman;serif" w:hAnsi="Times New Roman;serif"/>
                <w:b w:val="false"/>
                <w:color w:val="000000"/>
                <w:sz w:val="11"/>
              </w:rPr>
              <w:t>(9)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Common Unit Distribution Coverage Ratio </w:t>
            </w:r>
            <w:r>
              <w:rPr>
                <w:rFonts w:ascii="Times New Roman;serif" w:hAnsi="Times New Roman;serif"/>
                <w:b w:val="false"/>
                <w:color w:val="000000"/>
                <w:sz w:val="11"/>
              </w:rPr>
              <w:t>(1)</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7"/>
              </w:rPr>
            </w:pPr>
            <w:r>
              <w:rPr>
                <w:rFonts w:ascii="Times New Roman;serif" w:hAnsi="Times New Roman;serif"/>
                <w:b w:val="false"/>
                <w:color w:val="000000"/>
                <w:sz w:val="17"/>
              </w:rPr>
              <w:t>1.73x</w:t>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Excess </w:t>
            </w:r>
            <w:r>
              <w:rPr>
                <w:rFonts w:ascii="Times New Roman;serif" w:hAnsi="Times New Roman;serif"/>
                <w:b w:val="false"/>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5"/>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5"/>
        </w:rPr>
        <w:t>Represents “Interest expense, net” as reported on our Condensed Consolidated Statements of Operations, net of interest income associated with promissory notes by and among certain Plains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5"/>
        </w:rPr>
        <w:t xml:space="preserve">Adjustment to exclude our proportionate share of depreciation and amortization expense (including write-downs related to cancelled projects and impairments) of unconsolidated entities. </w:t>
      </w:r>
    </w:p>
    <w:p>
      <w:pPr>
        <w:pStyle w:val="TextBody"/>
        <w:bidi w:val="0"/>
        <w:spacing w:lineRule="auto" w:line="288" w:before="60" w:after="283"/>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5"/>
        </w:rPr>
        <w:t>See the “Selected Items Impacting Comparability”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0"/>
        </w:rPr>
        <w:t>(5)</w:t>
      </w:r>
      <w:r>
        <w:rPr>
          <w:rFonts w:ascii="Times New Roman;serif" w:hAnsi="Times New Roman;serif"/>
          <w:b w:val="false"/>
          <w:color w:val="000000"/>
          <w:sz w:val="15"/>
        </w:rPr>
        <w:t>Amount excludes certain non-cash items impacting interest expense such as amortization of debt issuance costs and terminated interest rate swaps and is net of interest income associated with promissory notes by and among certain Plains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(6)</w:t>
      </w:r>
      <w:r>
        <w:rPr>
          <w:rFonts w:ascii="Times New Roman;serif" w:hAnsi="Times New Roman;serif"/>
          <w:b w:val="false"/>
          <w:color w:val="000000"/>
          <w:sz w:val="15"/>
        </w:rPr>
        <w:t>Investment capital expenditures attributable to noncontrolling interests that reduce Implied DCF available to PAA common unitholders.</w:t>
      </w:r>
    </w:p>
    <w:p>
      <w:pPr>
        <w:pStyle w:val="TextBody"/>
        <w:bidi w:val="0"/>
        <w:spacing w:lineRule="auto" w:line="288" w:before="60" w:after="283"/>
        <w:ind w:left="0" w:right="0" w:hanging="360"/>
        <w:jc w:val="left"/>
        <w:rPr/>
      </w:pPr>
      <w:r>
        <w:rPr>
          <w:rFonts w:ascii="Times New Roman;serif" w:hAnsi="Times New Roman;serif"/>
          <w:b w:val="false"/>
          <w:color w:val="000000"/>
          <w:sz w:val="10"/>
        </w:rPr>
        <w:t>(7)</w:t>
      </w:r>
      <w:r>
        <w:rPr>
          <w:rFonts w:ascii="Times New Roman;serif" w:hAnsi="Times New Roman;serif"/>
          <w:b w:val="false"/>
          <w:color w:val="000000"/>
          <w:sz w:val="15"/>
        </w:rPr>
        <w:t>Includes current income tax expense from continuing operations and discontinued operations, adjusted for current income tax expense associated with certain planning and restructuring activities within our organizational structure in connection with the Canadian NGL Business divestiture that had income tax consequences that required recognition during the first and second quarters of 2026.</w:t>
      </w:r>
    </w:p>
    <w:p>
      <w:pPr>
        <w:pStyle w:val="TextBody"/>
        <w:bidi w:val="0"/>
        <w:spacing w:lineRule="auto" w:line="288" w:before="60" w:after="283"/>
        <w:ind w:left="0" w:right="0" w:hanging="360"/>
        <w:jc w:val="left"/>
        <w:rPr/>
      </w:pPr>
      <w:r>
        <w:rPr>
          <w:rFonts w:ascii="Times New Roman;serif" w:hAnsi="Times New Roman;serif"/>
          <w:b w:val="false"/>
          <w:color w:val="000000"/>
          <w:sz w:val="10"/>
        </w:rPr>
        <w:t>(8)</w:t>
      </w:r>
      <w:r>
        <w:rPr>
          <w:rFonts w:ascii="Times New Roman;serif" w:hAnsi="Times New Roman;serif"/>
          <w:b w:val="false"/>
          <w:color w:val="000000"/>
          <w:sz w:val="15"/>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(9)</w:t>
      </w:r>
      <w:r>
        <w:rPr>
          <w:rFonts w:ascii="Times New Roman;serif" w:hAnsi="Times New Roman;serif"/>
          <w:b w:val="false"/>
          <w:color w:val="000000"/>
          <w:sz w:val="15"/>
        </w:rPr>
        <w:t>Cash distributions paid during the period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(10)</w:t>
      </w:r>
      <w:r>
        <w:rPr>
          <w:rFonts w:ascii="Times New Roman;serif" w:hAnsi="Times New Roman;serif"/>
          <w:b w:val="false"/>
          <w:color w:val="000000"/>
          <w:sz w:val="15"/>
        </w:rPr>
        <w:t>Implied DCF Available to Common Unitholders for the period divided by the weighted average common units outstanding for the period.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(11)</w:t>
      </w:r>
      <w:r>
        <w:rPr>
          <w:rFonts w:ascii="Times New Roman;serif" w:hAnsi="Times New Roman;serif"/>
          <w:b w:val="false"/>
          <w:color w:val="000000"/>
          <w:sz w:val="15"/>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20140"/>
                <wp:effectExtent l="0" t="0" r="0" b="0"/>
                <wp:wrapNone/>
                <wp:docPr id="16" name="Frame1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13</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Times New Roman;serif" w:hAnsi="Times New Roman;serif"/>
          <w:b/>
          <w:color w:val="000000"/>
          <w:sz w:val="20"/>
        </w:rPr>
        <w:t xml:space="preserve">Net Income Per Common Unit to Implied DCF Per Common Unit and Common Unit Equivalent Reconciliation </w:t>
      </w:r>
      <w:r>
        <w:rPr>
          <w:rFonts w:ascii="Times New Roman;serif" w:hAnsi="Times New Roman;serif"/>
          <w:b/>
          <w:color w:val="000000"/>
          <w:sz w:val="13"/>
        </w:rPr>
        <w:t>(1)</w:t>
      </w:r>
      <w:r>
        <w:rPr>
          <w:rFonts w:ascii="Times New Roman;serif" w:hAnsi="Times New Roman;serif"/>
          <w:b/>
          <w:color w:val="000000"/>
          <w:sz w:val="20"/>
        </w:rPr>
        <w:t>:</w:t>
      </w:r>
    </w:p>
    <w:p>
      <w:pPr>
        <w:pStyle w:val="TextBody"/>
        <w:bidi w:val="0"/>
        <w:spacing w:before="0" w:after="0"/>
        <w:ind w:left="0" w:right="0" w:hanging="180"/>
        <w:jc w:val="left"/>
        <w:rPr/>
      </w:pPr>
      <w:r>
        <w:rPr/>
      </w:r>
    </w:p>
    <w:tbl>
      <w:tblPr>
        <w:tblW w:w="10170" w:type="dxa"/>
        <w:jc w:val="left"/>
        <w:tblInd w:w="0" w:type="dxa"/>
        <w:tblLayout w:type="fixed"/>
        <w:tblCellMar>
          <w:top w:w="28" w:type="dxa"/>
          <w:left w:w="28" w:type="dxa"/>
          <w:bottom w:w="28" w:type="dxa"/>
          <w:right w:w="28" w:type="dxa"/>
        </w:tblCellMar>
      </w:tblPr>
      <w:tblGrid>
        <w:gridCol w:w="2107"/>
        <w:gridCol w:w="1854"/>
        <w:gridCol w:w="185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10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Reconciling items per common unit </w:t>
            </w:r>
            <w:r>
              <w:rPr>
                <w:rFonts w:ascii="Times New Roman;serif" w:hAnsi="Times New Roman;serif"/>
                <w:b w:val="false"/>
                <w:color w:val="000000"/>
                <w:sz w:val="13"/>
              </w:rPr>
              <w:t>(2) (3)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Reconciling items per common unit and common unit equivalent </w:t>
            </w:r>
            <w:r>
              <w:rPr>
                <w:rFonts w:ascii="Times New Roman;serif" w:hAnsi="Times New Roman;serif"/>
                <w:b w:val="false"/>
                <w:color w:val="000000"/>
                <w:sz w:val="13"/>
              </w:rPr>
              <w:t>(2) (4)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 and common unit equivalent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to Net Income to calculate Implied DCF Available to Common Unitholders. See the “Net Income to Adjusted EBITDA attributable to PAA and Implied DCF Reconciliation”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Based on weighted average common units outstanding for the periods of 706 million, 703 million, 706 million and 704 million, respectively.</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Based on weighted average common units outstanding for the periods, as well as weighted average Series A preferred units outstanding of 58 million, 58 million, 58 million and 60 million for the periods presented,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20140"/>
                <wp:effectExtent l="0" t="0" r="0" b="0"/>
                <wp:wrapNone/>
                <wp:docPr id="17" name="Frame1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14</w:t>
      </w:r>
    </w:p>
    <w:p>
      <w:pPr>
        <w:pStyle w:val="TextBody"/>
        <w:bidi w:val="0"/>
        <w:spacing w:lineRule="auto" w:line="288" w:before="60" w:after="283"/>
        <w:ind w:left="0" w:right="0" w:hanging="18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Net Cash Provided by Operating Activities to Non-GAAP Financial Liquidity Measures Reconciliation </w:t>
      </w:r>
      <w:r>
        <w:rPr>
          <w:rFonts w:ascii="Times New Roman;serif" w:hAnsi="Times New Roman;serif"/>
          <w:b/>
          <w:color w:val="000000"/>
          <w:sz w:val="13"/>
        </w:rPr>
        <w:t>(1)</w:t>
      </w:r>
      <w:r>
        <w:rPr>
          <w:rFonts w:ascii="Times New Roman;serif" w:hAnsi="Times New Roman;serif"/>
          <w:b/>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2"/>
        <w:gridCol w:w="1729"/>
        <w:gridCol w:w="1733"/>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212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cash provided by operating activities to Adjusted Free Cash Flow:</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 by/(used in) investing activities</w:t>
            </w:r>
            <w:r>
              <w:rPr>
                <w:color w:val="000000"/>
              </w:rPr>
              <w:t xml:space="preserve"> </w:t>
            </w:r>
            <w:r>
              <w:rPr>
                <w:rFonts w:ascii="Times New Roman;serif" w:hAnsi="Times New Roman;serif"/>
                <w:b w:val="false"/>
                <w:color w:val="000000"/>
                <w:sz w:val="13"/>
              </w:rPr>
              <w:t>(2) (3)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paid to noncontrolling interests </w:t>
            </w:r>
            <w:r>
              <w:rPr>
                <w:rFonts w:ascii="Times New Roman;serif" w:hAnsi="Times New Roman;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Proceeds from the issuance of related party notes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(6)</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(5) (7)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Free Cash Flow</w:t>
            </w:r>
            <w:r>
              <w:rPr>
                <w:color w:val="000000"/>
              </w:rPr>
              <w:t xml:space="preserve"> </w:t>
            </w:r>
            <w:r>
              <w:rPr>
                <w:rFonts w:ascii="Times New Roman;serif" w:hAnsi="Times New Roman;serif"/>
                <w:b w:val="false"/>
                <w:color w:val="000000"/>
                <w:sz w:val="13"/>
              </w:rPr>
              <w:t>(5)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Changes in assets and liabilities, net of acquisitions </w:t>
            </w:r>
            <w:r>
              <w:rPr>
                <w:rFonts w:ascii="Times New Roman;serif" w:hAnsi="Times New Roman;serif"/>
                <w:b w:val="false"/>
                <w:color w:val="000000"/>
                <w:sz w:val="13"/>
              </w:rPr>
              <w:t>(8)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(Excluding Changes in Assets &amp; Liabilities) </w:t>
            </w:r>
            <w:r>
              <w:rPr>
                <w:rFonts w:ascii="Times New Roman;serif" w:hAnsi="Times New Roman;serif"/>
                <w:b w:val="false"/>
                <w:color w:val="000000"/>
                <w:sz w:val="13"/>
              </w:rPr>
              <w:t>(9)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(6)</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after Distributions (Excluding Changes in Assets &amp; Liabilities) </w:t>
            </w:r>
            <w:r>
              <w:rPr>
                <w:rFonts w:ascii="Times New Roman;serif" w:hAnsi="Times New Roman;serif"/>
                <w:b w:val="false"/>
                <w:color w:val="000000"/>
                <w:sz w:val="13"/>
              </w:rPr>
              <w:t>(9)</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provided by/(used in) investing activities.”</w:t>
      </w:r>
    </w:p>
    <w:p>
      <w:pPr>
        <w:pStyle w:val="TextBody"/>
        <w:bidi w:val="0"/>
        <w:spacing w:lineRule="auto" w:line="288" w:before="60" w:after="283"/>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For the three and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lineRule="auto" w:line="288" w:before="60" w:after="283"/>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Cash distributions paid during the period presented.</w:t>
      </w:r>
    </w:p>
    <w:p>
      <w:pPr>
        <w:pStyle w:val="TextBody"/>
        <w:bidi w:val="0"/>
        <w:spacing w:lineRule="auto" w:line="288" w:before="60" w:after="283"/>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pStyle w:val="TextBody"/>
        <w:bidi w:val="0"/>
        <w:spacing w:lineRule="auto" w:line="288" w:before="60" w:after="283"/>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Cash distributions paid to preferred and common unitholders during the period.</w:t>
      </w:r>
    </w:p>
    <w:p>
      <w:pPr>
        <w:pStyle w:val="TextBody"/>
        <w:bidi w:val="0"/>
        <w:spacing w:lineRule="auto" w:line="288" w:before="60" w:after="283"/>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pStyle w:val="TextBody"/>
        <w:bidi w:val="0"/>
        <w:spacing w:lineRule="auto" w:line="288" w:before="60" w:after="283"/>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Excludes the income tax impacts related to the Canadian NGL Business divestiture. See the “Condensed Consolidated Cash Flow Data” table for information regarding changes in assets and liabilities.</w:t>
      </w:r>
    </w:p>
    <w:p>
      <w:pPr>
        <w:pStyle w:val="TextBody"/>
        <w:bidi w:val="0"/>
        <w:spacing w:lineRule="auto" w:line="288" w:before="60" w:after="283"/>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20140"/>
                <wp:effectExtent l="0" t="0" r="0" b="0"/>
                <wp:wrapNone/>
                <wp:docPr id="18" name="Frame1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u w:val="single"/>
        </w:rPr>
        <w:t>SELECTED ITEMS IMPACTING COMPARABILITY</w:t>
      </w:r>
      <w:r>
        <w:rPr>
          <w:color w:val="000000"/>
        </w:rPr>
        <w:t xml:space="preserve"> </w:t>
      </w:r>
      <w:r>
        <w:rPr>
          <w:rFonts w:ascii="Times New Roman;serif" w:hAnsi="Times New Roman;serif"/>
          <w:b w:val="false"/>
          <w:color w:val="000000"/>
          <w:sz w:val="20"/>
        </w:rPr>
        <w:t>(in millions)</w:t>
      </w:r>
    </w:p>
    <w:tbl>
      <w:tblPr>
        <w:tblW w:w="10049" w:type="dxa"/>
        <w:jc w:val="left"/>
        <w:tblInd w:w="0" w:type="dxa"/>
        <w:tblLayout w:type="fixed"/>
        <w:tblCellMar>
          <w:top w:w="28" w:type="dxa"/>
          <w:left w:w="28" w:type="dxa"/>
          <w:bottom w:w="28" w:type="dxa"/>
          <w:right w:w="28" w:type="dxa"/>
        </w:tblCellMar>
      </w:tblPr>
      <w:tblGrid>
        <w:gridCol w:w="2095"/>
        <w:gridCol w:w="1845"/>
        <w:gridCol w:w="1849"/>
        <w:gridCol w:w="196"/>
        <w:gridCol w:w="556"/>
        <w:gridCol w:w="109"/>
        <w:gridCol w:w="109"/>
        <w:gridCol w:w="109"/>
        <w:gridCol w:w="109"/>
        <w:gridCol w:w="196"/>
        <w:gridCol w:w="496"/>
        <w:gridCol w:w="109"/>
        <w:gridCol w:w="109"/>
        <w:gridCol w:w="109"/>
        <w:gridCol w:w="109"/>
        <w:gridCol w:w="196"/>
        <w:gridCol w:w="556"/>
        <w:gridCol w:w="109"/>
        <w:gridCol w:w="109"/>
        <w:gridCol w:w="109"/>
        <w:gridCol w:w="109"/>
        <w:gridCol w:w="196"/>
        <w:gridCol w:w="40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 xml:space="preserve">Selected Items Impacting Comparability: </w:t>
            </w:r>
            <w:r>
              <w:rPr>
                <w:rFonts w:ascii="Times New Roman;serif" w:hAnsi="Times New Roman;serif"/>
                <w:b/>
                <w:color w:val="000000"/>
                <w:sz w:val="11"/>
              </w:rPr>
              <w:t>(1) (2)</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Derivative activities and inventory valuation adjustments </w:t>
            </w:r>
            <w:r>
              <w:rPr>
                <w:rFonts w:ascii="Times New Roman;serif" w:hAnsi="Times New Roman;serif"/>
                <w:b w:val="false"/>
                <w:color w:val="000000"/>
                <w:sz w:val="11"/>
              </w:rPr>
              <w:t>(3)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Long-term inventory costing adjustments </w:t>
            </w:r>
            <w:r>
              <w:rPr>
                <w:rFonts w:ascii="Times New Roman;serif" w:hAnsi="Times New Roman;serif"/>
                <w:b w:val="false"/>
                <w:color w:val="000000"/>
                <w:sz w:val="11"/>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Deficiencies under minimum volume commitments, net </w:t>
            </w:r>
            <w:r>
              <w:rPr>
                <w:rFonts w:ascii="Times New Roman;serif" w:hAnsi="Times New Roman;serif"/>
                <w:b w:val="false"/>
                <w:color w:val="000000"/>
                <w:sz w:val="11"/>
              </w:rPr>
              <w:t>(5)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Rail fleet amortization expense related to discontinued operations </w:t>
            </w:r>
            <w:r>
              <w:rPr>
                <w:rFonts w:ascii="Times New Roman;serif" w:hAnsi="Times New Roman;serif"/>
                <w:b w:val="false"/>
                <w:color w:val="000000"/>
                <w:sz w:val="11"/>
              </w:rPr>
              <w:t>(6)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Equity-indexed compensation expense </w:t>
            </w:r>
            <w:r>
              <w:rPr>
                <w:rFonts w:ascii="Times New Roman;serif" w:hAnsi="Times New Roman;serif"/>
                <w:b w:val="false"/>
                <w:color w:val="000000"/>
                <w:sz w:val="11"/>
              </w:rPr>
              <w:t>(7)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Foreign currency revaluation </w:t>
            </w:r>
            <w:r>
              <w:rPr>
                <w:rFonts w:ascii="Times New Roman;serif" w:hAnsi="Times New Roman;serif"/>
                <w:b w:val="false"/>
                <w:color w:val="000000"/>
                <w:sz w:val="11"/>
              </w:rPr>
              <w:t>(8)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Contingent consideration fair value adjustment </w:t>
            </w:r>
            <w:r>
              <w:rPr>
                <w:rFonts w:ascii="Times New Roman;serif" w:hAnsi="Times New Roman;serif"/>
                <w:b w:val="false"/>
                <w:color w:val="000000"/>
                <w:sz w:val="11"/>
              </w:rPr>
              <w:t>(9)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Impact from exit of Canadian NGL Business </w:t>
            </w:r>
            <w:r>
              <w:rPr>
                <w:rFonts w:ascii="Times New Roman;serif" w:hAnsi="Times New Roman;serif"/>
                <w:b w:val="false"/>
                <w:color w:val="000000"/>
                <w:sz w:val="11"/>
              </w:rPr>
              <w:t>(10)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Transaction-related expenses </w:t>
            </w:r>
            <w:r>
              <w:rPr>
                <w:rFonts w:ascii="Times New Roman;serif" w:hAnsi="Times New Roman;serif"/>
                <w:b w:val="false"/>
                <w:color w:val="000000"/>
                <w:sz w:val="11"/>
              </w:rPr>
              <w:t>(11)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Selected items impacting comparability - 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investments in unconsolidated entities,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Gains/(losses) on asset sales, asset impairments and other, net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Current income tax expense related to Canadian NGL Business divestiture </w:t>
            </w:r>
            <w:r>
              <w:rPr>
                <w:rFonts w:ascii="Times New Roman;serif" w:hAnsi="Times New Roman;serif"/>
                <w:b w:val="false"/>
                <w:color w:val="000000"/>
                <w:sz w:val="11"/>
              </w:rPr>
              <w:t>(12)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Deferred income tax benefit related to Canadian NGL Business divestiture </w:t>
            </w:r>
            <w:r>
              <w:rPr>
                <w:rFonts w:ascii="Times New Roman;serif" w:hAnsi="Times New Roman;serif"/>
                <w:b w:val="false"/>
                <w:color w:val="000000"/>
                <w:sz w:val="11"/>
              </w:rPr>
              <w:t>(12)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effect on selected items impacting comparability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Aggregate selected items impacting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Selected items impacting comparability - Adjusted net income attributable to PAA</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9"/>
        </w:rPr>
        <w:t>(1)</w:t>
      </w:r>
      <w:r>
        <w:rPr>
          <w:rFonts w:ascii="Times New Roman;serif" w:hAnsi="Times New Roman;serif"/>
          <w:b w:val="false"/>
          <w:color w:val="000000"/>
          <w:sz w:val="14"/>
        </w:rPr>
        <w:t>Certain of our non-GAAP financial measures may not be impacted by each of the selected items impacting comparability.</w:t>
      </w:r>
      <w:r>
        <w:rPr>
          <w:color w:val="000000"/>
        </w:rPr>
        <w:t xml:space="preserve"> </w:t>
      </w:r>
      <w:r>
        <w:rPr>
          <w:rFonts w:ascii="Times New Roman;serif" w:hAnsi="Times New Roman;serif"/>
          <w:b w:val="false"/>
          <w:color w:val="000000"/>
          <w:sz w:val="14"/>
        </w:rPr>
        <w:t>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pStyle w:val="TextBody"/>
        <w:bidi w:val="0"/>
        <w:spacing w:lineRule="auto" w:line="288" w:before="60" w:after="283"/>
        <w:ind w:left="0" w:right="0" w:hanging="360"/>
        <w:jc w:val="left"/>
        <w:rPr/>
      </w:pPr>
      <w:r>
        <w:rPr>
          <w:rFonts w:ascii="Times New Roman;serif" w:hAnsi="Times New Roman;serif"/>
          <w:b w:val="false"/>
          <w:color w:val="000000"/>
          <w:sz w:val="9"/>
        </w:rPr>
        <w:t>(2)</w:t>
      </w:r>
      <w:r>
        <w:rPr>
          <w:rFonts w:ascii="Times New Roman;serif" w:hAnsi="Times New Roman;serif"/>
          <w:b w:val="false"/>
          <w:color w:val="000000"/>
          <w:sz w:val="14"/>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9"/>
        </w:rPr>
        <w:t>(3)</w:t>
      </w:r>
      <w:r>
        <w:rPr>
          <w:rFonts w:ascii="Times New Roman;serif" w:hAnsi="Times New Roman;serif"/>
          <w:b w:val="false"/>
          <w:color w:val="000000"/>
          <w:sz w:val="14"/>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60" w:after="283"/>
        <w:ind w:left="0" w:right="0" w:hanging="360"/>
        <w:jc w:val="left"/>
        <w:rPr/>
      </w:pPr>
      <w:r>
        <w:rPr>
          <w:rFonts w:ascii="Times New Roman;serif" w:hAnsi="Times New Roman;serif"/>
          <w:b w:val="false"/>
          <w:color w:val="000000"/>
          <w:sz w:val="9"/>
        </w:rPr>
        <w:t>(4)</w:t>
      </w:r>
      <w:r>
        <w:rPr>
          <w:rFonts w:ascii="Times New Roman;serif" w:hAnsi="Times New Roman;serif"/>
          <w:b w:val="false"/>
          <w:color w:val="000000"/>
          <w:sz w:val="14"/>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(5)</w:t>
      </w:r>
      <w:r>
        <w:rPr>
          <w:rFonts w:ascii="Times New Roman;serif" w:hAnsi="Times New Roman;serif"/>
          <w:b w:val="false"/>
          <w:color w:val="000000"/>
          <w:sz w:val="14"/>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pStyle w:val="TextBody"/>
        <w:bidi w:val="0"/>
        <w:spacing w:lineRule="auto" w:line="288" w:before="60" w:after="283"/>
        <w:ind w:left="0" w:right="0" w:hanging="360"/>
        <w:jc w:val="left"/>
        <w:rPr/>
      </w:pPr>
      <w:r>
        <w:rPr>
          <w:rFonts w:ascii="Times New Roman;serif" w:hAnsi="Times New Roman;serif"/>
          <w:b w:val="false"/>
          <w:color w:val="000000"/>
          <w:sz w:val="9"/>
        </w:rPr>
        <w:t>(6)</w:t>
      </w:r>
      <w:r>
        <w:rPr>
          <w:rFonts w:ascii="Times New Roman;serif" w:hAnsi="Times New Roman;serif"/>
          <w:b w:val="false"/>
          <w:color w:val="000000"/>
          <w:sz w:val="14"/>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9"/>
        </w:rPr>
        <w:t>(7)</w:t>
      </w:r>
      <w:r>
        <w:rPr>
          <w:rFonts w:ascii="Times New Roman;serif" w:hAnsi="Times New Roman;serif"/>
          <w:b w:val="false"/>
          <w:color w:val="000000"/>
          <w:sz w:val="14"/>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(8)</w:t>
      </w:r>
      <w:r>
        <w:rPr>
          <w:rFonts w:ascii="Times New Roman;serif" w:hAnsi="Times New Roman;serif"/>
          <w:b w:val="false"/>
          <w:color w:val="000000"/>
          <w:sz w:val="14"/>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(9)</w:t>
      </w:r>
      <w:r>
        <w:rPr>
          <w:rFonts w:ascii="Times New Roman;serif" w:hAnsi="Times New Roman;serif"/>
          <w:b w:val="false"/>
          <w:color w:val="000000"/>
          <w:sz w:val="14"/>
        </w:rPr>
        <w:t>We agreed to potential earnout payments associated with recently completed acquisitions, primarily our Cactus III acquisition. We consider the non-cash change in the estimated fair value of such earnout payments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(10)</w:t>
      </w:r>
      <w:r>
        <w:rPr>
          <w:rFonts w:ascii="Times New Roman;serif" w:hAnsi="Times New Roman;serif"/>
          <w:b w:val="false"/>
          <w:color w:val="000000"/>
          <w:sz w:val="14"/>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Segment Adjusted EBITDA.</w:t>
      </w:r>
    </w:p>
    <w:p>
      <w:pPr>
        <w:pStyle w:val="TextBody"/>
        <w:bidi w:val="0"/>
        <w:spacing w:lineRule="auto" w:line="288" w:before="60" w:after="283"/>
        <w:ind w:left="0" w:right="0" w:hanging="360"/>
        <w:jc w:val="left"/>
        <w:rPr/>
      </w:pPr>
      <w:r>
        <w:rPr>
          <w:rFonts w:ascii="Times New Roman;serif" w:hAnsi="Times New Roman;serif"/>
          <w:b w:val="false"/>
          <w:color w:val="000000"/>
          <w:sz w:val="9"/>
        </w:rPr>
        <w:t>(11)</w:t>
      </w:r>
      <w:r>
        <w:rPr>
          <w:rFonts w:ascii="Times New Roman;serif" w:hAnsi="Times New Roman;serif"/>
          <w:b w:val="false"/>
          <w:color w:val="000000"/>
          <w:sz w:val="14"/>
        </w:rPr>
        <w:t>Primarily related to deal-specific costs incurred during the period.</w:t>
      </w:r>
    </w:p>
    <w:p>
      <w:pPr>
        <w:pStyle w:val="TextBody"/>
        <w:bidi w:val="0"/>
        <w:spacing w:lineRule="auto" w:line="288" w:before="60" w:after="283"/>
        <w:ind w:left="0" w:right="0" w:hanging="360"/>
        <w:jc w:val="left"/>
        <w:rPr/>
      </w:pPr>
      <w:r>
        <w:rPr>
          <w:rFonts w:ascii="Times New Roman;serif" w:hAnsi="Times New Roman;serif"/>
          <w:b w:val="false"/>
          <w:color w:val="000000"/>
          <w:sz w:val="9"/>
        </w:rPr>
        <w:t>(12)</w:t>
      </w:r>
      <w:r>
        <w:rPr>
          <w:rFonts w:ascii="Times New Roman;serif" w:hAnsi="Times New Roman;serif"/>
          <w:b w:val="false"/>
          <w:color w:val="000000"/>
          <w:sz w:val="14"/>
        </w:rPr>
        <w:t>In connection with the Canadian NGL Business divestiture, we completed certain planning and restructuring activities within our organizational structure that had income tax consequences that required recognition during the first and second quarters of 2026. We consider the impacts from the Canadian NGL Business divestiture as a selected item impacting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20140"/>
                <wp:effectExtent l="0" t="0" r="0" b="0"/>
                <wp:wrapNone/>
                <wp:docPr id="19" name="Frame1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SELECTED FINANCIAL DATA BY CRUDE OIL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818"/>
        <w:gridCol w:w="1427"/>
        <w:gridCol w:w="1441"/>
        <w:gridCol w:w="211"/>
        <w:gridCol w:w="721"/>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11"/>
        <w:gridCol w:w="721"/>
        <w:gridCol w:w="156"/>
      </w:tblGrid>
      <w:tr>
        <w:trPr/>
        <w:tc>
          <w:tcPr>
            <w:tcW w:w="181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 Adjusted EBITDA from Crude Oil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maintenance capital expenditures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intersegment amounts.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equity-indexed compensation expense.</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pStyle w:val="TextBody"/>
        <w:bidi w:val="0"/>
        <w:spacing w:lineRule="auto" w:line="288" w:before="6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Reflects amounts attributable to noncontrolling interests in the Permian JV, Cactus II Pipeline LLC and Red River Pipeline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20140"/>
                <wp:effectExtent l="0" t="0" r="0" b="0"/>
                <wp:wrapNone/>
                <wp:docPr id="20" name="Frame1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SELECTED FINANCIAL DATA BY NGL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151" w:type="dxa"/>
        <w:jc w:val="left"/>
        <w:tblInd w:w="0" w:type="dxa"/>
        <w:tblLayout w:type="fixed"/>
        <w:tblCellMar>
          <w:top w:w="28" w:type="dxa"/>
          <w:left w:w="28" w:type="dxa"/>
          <w:bottom w:w="28" w:type="dxa"/>
          <w:right w:w="28" w:type="dxa"/>
        </w:tblCellMar>
      </w:tblPr>
      <w:tblGrid>
        <w:gridCol w:w="2085"/>
        <w:gridCol w:w="1822"/>
        <w:gridCol w:w="1837"/>
        <w:gridCol w:w="211"/>
        <w:gridCol w:w="406"/>
        <w:gridCol w:w="109"/>
        <w:gridCol w:w="109"/>
        <w:gridCol w:w="109"/>
        <w:gridCol w:w="109"/>
        <w:gridCol w:w="211"/>
        <w:gridCol w:w="436"/>
        <w:gridCol w:w="109"/>
        <w:gridCol w:w="109"/>
        <w:gridCol w:w="109"/>
        <w:gridCol w:w="109"/>
        <w:gridCol w:w="109"/>
        <w:gridCol w:w="109"/>
        <w:gridCol w:w="109"/>
        <w:gridCol w:w="211"/>
        <w:gridCol w:w="466"/>
        <w:gridCol w:w="109"/>
        <w:gridCol w:w="109"/>
        <w:gridCol w:w="109"/>
        <w:gridCol w:w="109"/>
        <w:gridCol w:w="211"/>
        <w:gridCol w:w="466"/>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NGL Segment Adjusted EBITDA </w:t>
            </w:r>
            <w:r>
              <w:rPr>
                <w:rFonts w:ascii="Times New Roman;serif" w:hAnsi="Times New Roman;serif"/>
                <w:b w:val="false"/>
                <w:color w:val="000000"/>
                <w:sz w:val="13"/>
              </w:rPr>
              <w:t>(4)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from NGL Discontinued Operations </w:t>
            </w:r>
            <w:r>
              <w:rPr>
                <w:rFonts w:ascii="Times New Roman;serif" w:hAnsi="Times New Roman;serif"/>
                <w:b w:val="false"/>
                <w:color w:val="000000"/>
                <w:sz w:val="13"/>
              </w:rPr>
              <w:t>(5)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NGL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 from NGL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 from NGL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maintenance capital expenditures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intersegment amounts.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 including information technology, insurance and other shared services costs.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Includes results from continuing operations and excludes amounts related to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See the “Reconciliation of Adjusted EBITDA from NGL Discontinued Operations” table for a reconciliation to the most directly comparable measure as reported in accordance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20140"/>
                <wp:effectExtent l="0" t="0" r="0" b="0"/>
                <wp:wrapNone/>
                <wp:docPr id="21" name="Frame20"/>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DISCONTINUED OPERATIONS DETAIL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lineRule="auto" w:line="288" w:before="0" w:after="12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Components of Income from Discontinued Operations, Net of Tax: </w:t>
      </w:r>
    </w:p>
    <w:tbl>
      <w:tblPr>
        <w:tblW w:w="8474" w:type="dxa"/>
        <w:jc w:val="left"/>
        <w:tblInd w:w="0" w:type="dxa"/>
        <w:tblLayout w:type="fixed"/>
        <w:tblCellMar>
          <w:top w:w="28" w:type="dxa"/>
          <w:left w:w="28" w:type="dxa"/>
          <w:bottom w:w="28" w:type="dxa"/>
          <w:right w:w="28" w:type="dxa"/>
        </w:tblCellMar>
      </w:tblPr>
      <w:tblGrid>
        <w:gridCol w:w="1452"/>
        <w:gridCol w:w="1271"/>
        <w:gridCol w:w="1281"/>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Reconciliation of Adjusted EBITDA from NGL Discontinued Operations:</w:t>
      </w:r>
    </w:p>
    <w:tbl>
      <w:tblPr>
        <w:tblW w:w="10205" w:type="dxa"/>
        <w:jc w:val="left"/>
        <w:tblInd w:w="0" w:type="dxa"/>
        <w:tblLayout w:type="fixed"/>
        <w:tblCellMar>
          <w:top w:w="28" w:type="dxa"/>
          <w:left w:w="28" w:type="dxa"/>
          <w:bottom w:w="28" w:type="dxa"/>
          <w:right w:w="28" w:type="dxa"/>
        </w:tblCellMar>
      </w:tblPr>
      <w:tblGrid>
        <w:gridCol w:w="2118"/>
        <w:gridCol w:w="1855"/>
        <w:gridCol w:w="1866"/>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211"/>
        <w:gridCol w:w="466"/>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attributable to discontinued operations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Rail fleet amortization expense related to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NGL Discontinued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the “Selected Items Impacting Comparability” table for additional information.</w:t>
      </w:r>
    </w:p>
    <w:p>
      <w:pPr>
        <w:pStyle w:val="TextBody"/>
        <w:bidi w:val="0"/>
        <w:spacing w:before="60" w:after="283"/>
        <w:jc w:val="left"/>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Investment Capital from NGL Discontinued Operations:</w:t>
      </w:r>
    </w:p>
    <w:tbl>
      <w:tblPr>
        <w:tblW w:w="9569" w:type="dxa"/>
        <w:jc w:val="left"/>
        <w:tblInd w:w="0" w:type="dxa"/>
        <w:tblLayout w:type="fixed"/>
        <w:tblCellMar>
          <w:top w:w="28" w:type="dxa"/>
          <w:left w:w="28" w:type="dxa"/>
          <w:bottom w:w="28" w:type="dxa"/>
          <w:right w:w="28" w:type="dxa"/>
        </w:tblCellMar>
      </w:tblPr>
      <w:tblGrid>
        <w:gridCol w:w="2023"/>
        <w:gridCol w:w="1774"/>
        <w:gridCol w:w="1783"/>
        <w:gridCol w:w="109"/>
        <w:gridCol w:w="109"/>
        <w:gridCol w:w="109"/>
        <w:gridCol w:w="213"/>
        <w:gridCol w:w="259"/>
        <w:gridCol w:w="110"/>
        <w:gridCol w:w="110"/>
        <w:gridCol w:w="110"/>
        <w:gridCol w:w="110"/>
        <w:gridCol w:w="213"/>
        <w:gridCol w:w="366"/>
        <w:gridCol w:w="110"/>
        <w:gridCol w:w="109"/>
        <w:gridCol w:w="109"/>
        <w:gridCol w:w="109"/>
        <w:gridCol w:w="211"/>
        <w:gridCol w:w="361"/>
        <w:gridCol w:w="109"/>
        <w:gridCol w:w="109"/>
        <w:gridCol w:w="109"/>
        <w:gridCol w:w="109"/>
        <w:gridCol w:w="211"/>
        <w:gridCol w:w="36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 investment capital expenditures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20140"/>
                <wp:effectExtent l="0" t="0" r="0" b="0"/>
                <wp:wrapNone/>
                <wp:docPr id="22" name="Frame21"/>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OPERATING DATA</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7711" w:type="dxa"/>
        <w:jc w:val="left"/>
        <w:tblInd w:w="0" w:type="dxa"/>
        <w:tblLayout w:type="fixed"/>
        <w:tblCellMar>
          <w:top w:w="28" w:type="dxa"/>
          <w:left w:w="28" w:type="dxa"/>
          <w:bottom w:w="28" w:type="dxa"/>
          <w:right w:w="28" w:type="dxa"/>
        </w:tblCellMar>
      </w:tblPr>
      <w:tblGrid>
        <w:gridCol w:w="1081"/>
        <w:gridCol w:w="949"/>
        <w:gridCol w:w="954"/>
        <w:gridCol w:w="360"/>
        <w:gridCol w:w="361"/>
        <w:gridCol w:w="178"/>
        <w:gridCol w:w="178"/>
        <w:gridCol w:w="178"/>
        <w:gridCol w:w="178"/>
        <w:gridCol w:w="308"/>
        <w:gridCol w:w="308"/>
        <w:gridCol w:w="178"/>
        <w:gridCol w:w="109"/>
        <w:gridCol w:w="109"/>
        <w:gridCol w:w="109"/>
        <w:gridCol w:w="360"/>
        <w:gridCol w:w="361"/>
        <w:gridCol w:w="156"/>
        <w:gridCol w:w="154"/>
        <w:gridCol w:w="154"/>
        <w:gridCol w:w="154"/>
        <w:gridCol w:w="308"/>
        <w:gridCol w:w="308"/>
        <w:gridCol w:w="21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Crude Oil Volumes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 pipeline tariff (by region)</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Permian Basin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South Texas / Eagle Ford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Mid-Continent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Gulf Coast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Rocky Mountain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crude oil pipeline tariff </w:t>
            </w:r>
            <w:r>
              <w:rPr>
                <w:rFonts w:ascii="Times New Roman;serif" w:hAnsi="Times New Roman;serif"/>
                <w:b w:val="false"/>
                <w:color w:val="000000"/>
                <w:sz w:val="13"/>
              </w:rPr>
              <w:t>(2)</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NGL Volumes </w:t>
            </w:r>
            <w:r>
              <w:rPr>
                <w:rFonts w:ascii="Times New Roman;serif" w:hAnsi="Times New Roman;serif"/>
                <w:b/>
                <w:color w:val="000000"/>
                <w:sz w:val="13"/>
              </w:rPr>
              <w:t>(3)</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fractionation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pipeline tariff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Propane and butane sales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 </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volumes (attributable to our interest) from assets owned by unconsolidated entities.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volumes from assets associated with continuing operations and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20140"/>
                <wp:effectExtent l="0" t="0" r="0" b="0"/>
                <wp:wrapNone/>
                <wp:docPr id="23" name="Frame22"/>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NON-GAAP RECONCILIATIONS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Supplemental Adjusted EBITDA attributable to PAA Reconciliation:</w:t>
      </w:r>
    </w:p>
    <w:p>
      <w:pPr>
        <w:pStyle w:val="TextBody"/>
        <w:bidi w:val="0"/>
        <w:spacing w:before="0" w:after="0"/>
        <w:ind w:left="0" w:right="0" w:hanging="180"/>
        <w:jc w:val="left"/>
        <w:rPr/>
      </w:pPr>
      <w:r>
        <w:rPr/>
      </w:r>
    </w:p>
    <w:tbl>
      <w:tblPr>
        <w:tblW w:w="9210" w:type="dxa"/>
        <w:jc w:val="left"/>
        <w:tblInd w:w="0" w:type="dxa"/>
        <w:tblLayout w:type="fixed"/>
        <w:tblCellMar>
          <w:top w:w="28" w:type="dxa"/>
          <w:left w:w="28" w:type="dxa"/>
          <w:bottom w:w="28" w:type="dxa"/>
          <w:right w:w="28" w:type="dxa"/>
        </w:tblCellMar>
      </w:tblPr>
      <w:tblGrid>
        <w:gridCol w:w="1716"/>
        <w:gridCol w:w="1506"/>
        <w:gridCol w:w="151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from NGL Discontinued Operations </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other income, net </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(3)</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the “Reconciliation of Adjusted EBITDA from NGL Discontinued Operations” table for a reconciliation to the most directly comparable measure as reported in accordance with GAAP.</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pStyle w:val="TextBody"/>
        <w:bidi w:val="0"/>
        <w:spacing w:lineRule="auto" w:line="288" w:before="6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See the “Net Income to Adjusted EBITDA attributable to PAA and Implied DCF Reconciliation” table for reconciliation to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20140"/>
                <wp:effectExtent l="0" t="0" r="0" b="0"/>
                <wp:wrapNone/>
                <wp:docPr id="24" name="Frame23"/>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014"/>
        <w:gridCol w:w="568"/>
        <w:gridCol w:w="570"/>
        <w:gridCol w:w="196"/>
        <w:gridCol w:w="646"/>
        <w:gridCol w:w="109"/>
        <w:gridCol w:w="109"/>
        <w:gridCol w:w="109"/>
        <w:gridCol w:w="109"/>
        <w:gridCol w:w="250"/>
        <w:gridCol w:w="730"/>
        <w:gridCol w:w="140"/>
        <w:gridCol w:w="109"/>
        <w:gridCol w:w="109"/>
        <w:gridCol w:w="109"/>
        <w:gridCol w:w="196"/>
        <w:gridCol w:w="646"/>
        <w:gridCol w:w="109"/>
        <w:gridCol w:w="109"/>
        <w:gridCol w:w="109"/>
        <w:gridCol w:w="109"/>
        <w:gridCol w:w="109"/>
        <w:gridCol w:w="109"/>
        <w:gridCol w:w="109"/>
        <w:gridCol w:w="196"/>
        <w:gridCol w:w="646"/>
        <w:gridCol w:w="109"/>
        <w:gridCol w:w="109"/>
        <w:gridCol w:w="109"/>
        <w:gridCol w:w="109"/>
        <w:gridCol w:w="295"/>
        <w:gridCol w:w="658"/>
        <w:gridCol w:w="166"/>
        <w:gridCol w:w="109"/>
        <w:gridCol w:w="109"/>
        <w:gridCol w:w="109"/>
        <w:gridCol w:w="196"/>
        <w:gridCol w:w="64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PAGP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Basic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net income per Class 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Diluted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Class 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aggregate consolidating adjustments necessary to produce consolidated financial statements for PAGP.</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For the three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See the “Computation of Basic and Diluted Net Income Per Class A Share” table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20140"/>
                <wp:effectExtent l="0" t="0" r="0" b="0"/>
                <wp:wrapNone/>
                <wp:docPr id="25" name="Frame2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22</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014"/>
        <w:gridCol w:w="568"/>
        <w:gridCol w:w="570"/>
        <w:gridCol w:w="196"/>
        <w:gridCol w:w="646"/>
        <w:gridCol w:w="109"/>
        <w:gridCol w:w="109"/>
        <w:gridCol w:w="109"/>
        <w:gridCol w:w="109"/>
        <w:gridCol w:w="250"/>
        <w:gridCol w:w="730"/>
        <w:gridCol w:w="140"/>
        <w:gridCol w:w="109"/>
        <w:gridCol w:w="109"/>
        <w:gridCol w:w="109"/>
        <w:gridCol w:w="196"/>
        <w:gridCol w:w="646"/>
        <w:gridCol w:w="109"/>
        <w:gridCol w:w="109"/>
        <w:gridCol w:w="109"/>
        <w:gridCol w:w="109"/>
        <w:gridCol w:w="109"/>
        <w:gridCol w:w="109"/>
        <w:gridCol w:w="109"/>
        <w:gridCol w:w="196"/>
        <w:gridCol w:w="646"/>
        <w:gridCol w:w="109"/>
        <w:gridCol w:w="109"/>
        <w:gridCol w:w="109"/>
        <w:gridCol w:w="109"/>
        <w:gridCol w:w="295"/>
        <w:gridCol w:w="658"/>
        <w:gridCol w:w="166"/>
        <w:gridCol w:w="109"/>
        <w:gridCol w:w="109"/>
        <w:gridCol w:w="109"/>
        <w:gridCol w:w="196"/>
        <w:gridCol w:w="64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PAGP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Basic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net income per Class 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Diluted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Class 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9"/>
        </w:rPr>
        <w:t>(1)</w:t>
      </w:r>
      <w:r>
        <w:rPr>
          <w:rFonts w:ascii="Times New Roman;serif" w:hAnsi="Times New Roman;serif"/>
          <w:b w:val="false"/>
          <w:color w:val="000000"/>
          <w:sz w:val="14"/>
        </w:rPr>
        <w:t>Represents the aggregate consolidating adjustments necessary to produce consolidated financial statements for PAGP.</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9"/>
        </w:rPr>
        <w:t>(2)</w:t>
      </w:r>
      <w:r>
        <w:rPr>
          <w:rFonts w:ascii="Times New Roman;serif" w:hAnsi="Times New Roman;serif"/>
          <w:b w:val="false"/>
          <w:color w:val="000000"/>
          <w:sz w:val="14"/>
        </w:rPr>
        <w:t>For the six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9"/>
        </w:rPr>
        <w:t>(3)</w:t>
      </w:r>
      <w:r>
        <w:rPr>
          <w:rFonts w:ascii="Times New Roman;serif" w:hAnsi="Times New Roman;serif"/>
          <w:b w:val="false"/>
          <w:color w:val="000000"/>
          <w:sz w:val="14"/>
        </w:rPr>
        <w:t>See the “Computation of Basic and Diluted Net Income Per Class A Share” table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20140"/>
                <wp:effectExtent l="0" t="0" r="0" b="0"/>
                <wp:wrapNone/>
                <wp:docPr id="26" name="Frame2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BALANCE SHEET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910"/>
        <w:gridCol w:w="405"/>
        <w:gridCol w:w="409"/>
        <w:gridCol w:w="211"/>
        <w:gridCol w:w="721"/>
        <w:gridCol w:w="109"/>
        <w:gridCol w:w="109"/>
        <w:gridCol w:w="109"/>
        <w:gridCol w:w="109"/>
        <w:gridCol w:w="252"/>
        <w:gridCol w:w="737"/>
        <w:gridCol w:w="131"/>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52"/>
        <w:gridCol w:w="737"/>
        <w:gridCol w:w="131"/>
        <w:gridCol w:w="109"/>
        <w:gridCol w:w="109"/>
        <w:gridCol w:w="109"/>
        <w:gridCol w:w="211"/>
        <w:gridCol w:w="721"/>
        <w:gridCol w:w="224"/>
      </w:tblGrid>
      <w:tr>
        <w:trPr/>
        <w:tc>
          <w:tcPr>
            <w:tcW w:w="9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assets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liabilities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Partners’ capital excluding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aggregate consolidating adjustments necessary to produce consolidated financial statements for PAGP.</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current assets of discontinued operations of $479 million as of December 31, 2025.</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current liabilities of discontinued operations of $154 million and $382 million as of June 30, 2026 and December 31, 2025, respectively.</w: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20140"/>
                <wp:effectExtent l="0" t="0" r="0" b="0"/>
                <wp:wrapNone/>
                <wp:docPr id="27" name="Frame2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COMPUTATION OF BASIC AND DILUTED NET INCOME PER CLASS A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64"/>
        <w:gridCol w:w="1751"/>
        <w:gridCol w:w="1758"/>
        <w:gridCol w:w="211"/>
        <w:gridCol w:w="550"/>
        <w:gridCol w:w="109"/>
        <w:gridCol w:w="109"/>
        <w:gridCol w:w="109"/>
        <w:gridCol w:w="109"/>
        <w:gridCol w:w="211"/>
        <w:gridCol w:w="511"/>
        <w:gridCol w:w="109"/>
        <w:gridCol w:w="109"/>
        <w:gridCol w:w="109"/>
        <w:gridCol w:w="109"/>
        <w:gridCol w:w="211"/>
        <w:gridCol w:w="550"/>
        <w:gridCol w:w="109"/>
        <w:gridCol w:w="109"/>
        <w:gridCol w:w="109"/>
        <w:gridCol w:w="109"/>
        <w:gridCol w:w="211"/>
        <w:gridCol w:w="511"/>
        <w:gridCol w:w="158"/>
      </w:tblGrid>
      <w:tr>
        <w:trPr/>
        <w:tc>
          <w:tcPr>
            <w:tcW w:w="226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Class A Share</w:t>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Class A Share</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net income attributable to PAGP resulting from assumed exchange of AAP Management Units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 including incremental net income from assumed exchange of AAP Management Units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resulting from assumed exchange of AAP Management Units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20140"/>
                <wp:effectExtent l="0" t="0" r="0" b="0"/>
                <wp:wrapNone/>
                <wp:docPr id="28" name="Frame2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Forward-Looking Statements </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impacts of global geopolitical events, including conflicts in the Middle East and elsewhere, on commodity price volatility and crude oil supply and demand, as well as broader impacts on financial markets and the global macroeconomic environment;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resulting changes in pricing conditions or transportation throughput requirements;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unanticipated changes in crude oil market structure, grade differentials and volatility (or lack thereof);</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availability of, and our ability to consummate, acquisitions, divestitures, joint ventures or other strategic opportunities and realize benefits therefrom;</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20140"/>
                <wp:effectExtent l="0" t="0" r="0" b="0"/>
                <wp:wrapNone/>
                <wp:docPr id="29" name="Frame2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disruptions to futures markets for crude oil and other petroleum products, which may impair our ability to execute our commercial or hedging strategies;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maintenance of our credit ratings and ability to receive open credit from our suppliers and trade counterparties;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risks related to the development and operation of our assets;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and other petroleum products as discussed in the Partnerships’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20140"/>
                <wp:effectExtent l="0" t="0" r="0" b="0"/>
                <wp:wrapNone/>
                <wp:docPr id="30" name="Frame2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27</w:t>
      </w:r>
    </w:p>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Plains:</w:t>
      </w:r>
    </w:p>
    <w:p>
      <w:pPr>
        <w:pStyle w:val="TextBody"/>
        <w:bidi w:val="0"/>
        <w:spacing w:before="6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PAGP is a publicly traded entity that owns an indirect, non-economic controlling general partner interest in PAA and an indirect limited partner interest in PAA, one of the largest energy infrastructure and logistics companies in North America.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and PAGP are headquartered in Houston, Texas. For more information, please visit www.plains.com.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Contacts</w:t>
      </w:r>
      <w:r>
        <w:rPr>
          <w:rFonts w:ascii="Times New Roman;serif" w:hAnsi="Times New Roman;serif"/>
          <w:b w:val="false"/>
          <w:color w:val="000000"/>
          <w:sz w:val="20"/>
        </w:rPr>
        <w:t>:</w:t>
      </w:r>
    </w:p>
    <w:tbl>
      <w:tblPr>
        <w:tblW w:w="2910" w:type="dxa"/>
        <w:jc w:val="left"/>
        <w:tblInd w:w="0" w:type="dxa"/>
        <w:tblLayout w:type="fixed"/>
        <w:tblCellMar>
          <w:top w:w="28" w:type="dxa"/>
          <w:left w:w="28" w:type="dxa"/>
          <w:bottom w:w="28" w:type="dxa"/>
          <w:right w:w="28" w:type="dxa"/>
        </w:tblCellMar>
      </w:tblPr>
      <w:tblGrid>
        <w:gridCol w:w="932"/>
        <w:gridCol w:w="818"/>
        <w:gridCol w:w="1160"/>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Blake Fernandez</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(866) 809-1291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Ross Hovde</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Investor Relations</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(866) 809-1291</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43940"/>
                <wp:effectExtent l="0" t="0" r="0" b="0"/>
                <wp:wrapNone/>
                <wp:docPr id="31" name="Frame30"/>
                <a:graphic xmlns:a="http://schemas.openxmlformats.org/drawingml/2006/main">
                  <a:graphicData uri="http://schemas.microsoft.com/office/word/2010/wordprocessingShape">
                    <wps:wsp>
                      <wps:cNvSpPr txBox="1"/>
                      <wps:spPr>
                        <a:xfrm>
                          <a:off x="0" y="0"/>
                          <a:ext cx="6480175" cy="10439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12533</Words>
  <Characters>69677</Characters>
  <CharactersWithSpaces>80980</CharactersWithSpaces>
  <Paragraphs>2964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