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-243840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2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2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233"/>
              <w:spacing w:after="0" w:line="196"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6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20"/>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6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8"/>
        </w:trPr>
        <w:tc>
          <w:tcPr>
            <w:tcW w:w="6580" w:type="dxa"/>
            <w:vAlign w:val="bottom"/>
            <w:vMerge w:val="restart"/>
          </w:tcPr>
          <w:p>
            <w:pPr>
              <w:jc w:val="center"/>
              <w:ind w:right="2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5522595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-1747520</wp:posOffset>
            </wp:positionH>
            <wp:positionV relativeFrom="paragraph">
              <wp:posOffset>20320</wp:posOffset>
            </wp:positionV>
            <wp:extent cx="7412355" cy="4503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12355" cy="45034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80"/>
            <w:col w:w="8920"/>
          </w:cols>
          <w:pgMar w:left="160" w:top="145" w:right="7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Goebel Jeremy L.</w:t>
        </w:r>
      </w:hyperlink>
    </w:p>
    <w:p>
      <w:pPr>
        <w:spacing w:after="0" w:line="32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80"/>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7"/>
                <w:szCs w:val="17"/>
                <w:color w:val="0000FF"/>
              </w:rPr>
              <w:t>333 CLAY STREET</w:t>
            </w:r>
          </w:p>
        </w:tc>
        <w:tc>
          <w:tcPr>
            <w:tcW w:w="1700" w:type="dxa"/>
            <w:vAlign w:val="bottom"/>
          </w:tcPr>
          <w:p>
            <w:pPr>
              <w:spacing w:after="0"/>
              <w:rPr>
                <w:sz w:val="24"/>
                <w:szCs w:val="24"/>
                <w:color w:val="auto"/>
              </w:rPr>
            </w:pPr>
          </w:p>
        </w:tc>
      </w:tr>
      <w:tr>
        <w:trPr>
          <w:trHeight w:val="268"/>
        </w:trPr>
        <w:tc>
          <w:tcPr>
            <w:tcW w:w="4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SUITE 1600</w:t>
            </w:r>
          </w:p>
        </w:tc>
        <w:tc>
          <w:tcPr>
            <w:tcW w:w="10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00"/>
              <w:spacing w:after="0"/>
              <w:rPr>
                <w:sz w:val="20"/>
                <w:szCs w:val="20"/>
                <w:color w:val="auto"/>
              </w:rPr>
            </w:pPr>
            <w:r>
              <w:rPr>
                <w:rFonts w:ascii="Arial" w:cs="Arial" w:eastAsia="Arial" w:hAnsi="Arial"/>
                <w:sz w:val="17"/>
                <w:szCs w:val="17"/>
                <w:color w:val="0000FF"/>
              </w:rPr>
              <w:t>TX</w:t>
            </w:r>
          </w:p>
        </w:tc>
        <w:tc>
          <w:tcPr>
            <w:tcW w:w="170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6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980" w:type="dxa"/>
            <w:vAlign w:val="bottom"/>
            <w:gridSpan w:val="2"/>
          </w:tcPr>
          <w:p>
            <w:pPr>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19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 w:type="dxa"/>
            <w:vAlign w:val="bottom"/>
            <w:vMerge w:val="restart"/>
          </w:tcPr>
          <w:p>
            <w:pPr>
              <w:spacing w:after="0"/>
              <w:rPr>
                <w:sz w:val="11"/>
                <w:szCs w:val="11"/>
                <w:color w:val="auto"/>
              </w:rPr>
            </w:pPr>
          </w:p>
        </w:tc>
        <w:tc>
          <w:tcPr>
            <w:tcW w:w="370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tc>
        <w:tc>
          <w:tcPr>
            <w:tcW w:w="28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540" w:type="dxa"/>
            <w:vAlign w:val="bottom"/>
          </w:tcPr>
          <w:p>
            <w:pPr>
              <w:ind w:left="34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60" w:type="dxa"/>
            <w:vAlign w:val="bottom"/>
            <w:vMerge w:val="continue"/>
          </w:tcPr>
          <w:p>
            <w:pPr>
              <w:spacing w:after="0"/>
              <w:rPr>
                <w:sz w:val="12"/>
                <w:szCs w:val="12"/>
                <w:color w:val="auto"/>
              </w:rPr>
            </w:pPr>
          </w:p>
        </w:tc>
        <w:tc>
          <w:tcPr>
            <w:tcW w:w="37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2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40"/>
              <w:spacing w:after="0" w:line="14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9"/>
        </w:trPr>
        <w:tc>
          <w:tcPr>
            <w:tcW w:w="60" w:type="dxa"/>
            <w:vAlign w:val="bottom"/>
            <w:tcBorders>
              <w:bottom w:val="single" w:sz="8" w:color="2C2C2C"/>
            </w:tcBorders>
          </w:tcPr>
          <w:p>
            <w:pPr>
              <w:spacing w:after="0"/>
              <w:rPr>
                <w:sz w:val="4"/>
                <w:szCs w:val="4"/>
                <w:color w:val="auto"/>
              </w:rPr>
            </w:pPr>
          </w:p>
        </w:tc>
        <w:tc>
          <w:tcPr>
            <w:tcW w:w="3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0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60" w:type="dxa"/>
            <w:vAlign w:val="bottom"/>
            <w:gridSpan w:val="2"/>
          </w:tcPr>
          <w:p>
            <w:pPr>
              <w:ind w:left="560"/>
              <w:spacing w:after="0" w:line="193" w:lineRule="exact"/>
              <w:rPr>
                <w:sz w:val="20"/>
                <w:szCs w:val="20"/>
                <w:color w:val="auto"/>
              </w:rPr>
            </w:pPr>
            <w:r>
              <w:rPr>
                <w:rFonts w:ascii="Arial" w:cs="Arial" w:eastAsia="Arial" w:hAnsi="Arial"/>
                <w:sz w:val="17"/>
                <w:szCs w:val="17"/>
                <w:color w:val="0000FF"/>
              </w:rPr>
              <w:t>EVP - Commercial</w:t>
            </w:r>
          </w:p>
        </w:tc>
        <w:tc>
          <w:tcPr>
            <w:tcW w:w="0" w:type="dxa"/>
            <w:vAlign w:val="bottom"/>
          </w:tcPr>
          <w:p>
            <w:pPr>
              <w:spacing w:after="0"/>
              <w:rPr>
                <w:sz w:val="1"/>
                <w:szCs w:val="1"/>
                <w:color w:val="auto"/>
              </w:rPr>
            </w:pPr>
          </w:p>
        </w:tc>
      </w:tr>
      <w:tr>
        <w:trPr>
          <w:trHeight w:val="221"/>
        </w:trPr>
        <w:tc>
          <w:tcPr>
            <w:tcW w:w="3760" w:type="dxa"/>
            <w:vAlign w:val="bottom"/>
            <w:gridSpan w:val="2"/>
          </w:tcPr>
          <w:p>
            <w:pPr>
              <w:ind w:left="60"/>
              <w:spacing w:after="0"/>
              <w:rPr>
                <w:sz w:val="20"/>
                <w:szCs w:val="20"/>
                <w:color w:val="auto"/>
              </w:rPr>
            </w:pPr>
            <w:r>
              <w:rPr>
                <w:rFonts w:ascii="Arial" w:cs="Arial" w:eastAsia="Arial" w:hAnsi="Arial"/>
                <w:sz w:val="17"/>
                <w:szCs w:val="17"/>
                <w:color w:val="0000FF"/>
              </w:rPr>
              <w:t>11/21/2019</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 w:type="dxa"/>
            <w:vAlign w:val="bottom"/>
            <w:tcBorders>
              <w:bottom w:val="single" w:sz="8" w:color="2C2C2C"/>
            </w:tcBorders>
          </w:tcPr>
          <w:p>
            <w:pPr>
              <w:spacing w:after="0"/>
              <w:rPr>
                <w:sz w:val="15"/>
                <w:szCs w:val="15"/>
                <w:color w:val="auto"/>
              </w:rPr>
            </w:pPr>
          </w:p>
        </w:tc>
        <w:tc>
          <w:tcPr>
            <w:tcW w:w="37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46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6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100"/>
        <w:spacing w:after="0"/>
        <w:rPr>
          <w:sz w:val="20"/>
          <w:szCs w:val="20"/>
          <w:color w:val="auto"/>
        </w:rPr>
      </w:pPr>
      <w:r>
        <w:rPr>
          <w:rFonts w:ascii="Arial" w:cs="Arial" w:eastAsia="Arial" w:hAnsi="Arial"/>
          <w:sz w:val="13"/>
          <w:szCs w:val="13"/>
          <w:color w:val="auto"/>
        </w:rPr>
        <w:t>Line)</w:t>
      </w:r>
    </w:p>
    <w:p>
      <w:pPr>
        <w:ind w:left="4320"/>
        <w:spacing w:after="0" w:line="235" w:lineRule="auto"/>
        <w:tabs>
          <w:tab w:leader="none" w:pos="46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60"/>
        <w:spacing w:after="0"/>
        <w:rPr>
          <w:sz w:val="20"/>
          <w:szCs w:val="20"/>
          <w:color w:val="auto"/>
        </w:rPr>
      </w:pPr>
      <w:r>
        <w:rPr>
          <w:rFonts w:ascii="Arial" w:cs="Arial" w:eastAsia="Arial" w:hAnsi="Arial"/>
          <w:sz w:val="13"/>
          <w:szCs w:val="13"/>
          <w:color w:val="auto"/>
        </w:rPr>
        <w:t>Form filed by More than One Reporting</w:t>
      </w:r>
    </w:p>
    <w:p>
      <w:pPr>
        <w:ind w:left="4660"/>
        <w:spacing w:after="0"/>
        <w:rPr>
          <w:sz w:val="20"/>
          <w:szCs w:val="20"/>
          <w:color w:val="auto"/>
        </w:rPr>
      </w:pPr>
      <w:r>
        <w:rPr>
          <w:rFonts w:ascii="Arial" w:cs="Arial" w:eastAsia="Arial" w:hAnsi="Arial"/>
          <w:sz w:val="13"/>
          <w:szCs w:val="13"/>
          <w:color w:val="auto"/>
        </w:rPr>
        <w:t>Person</w:t>
      </w:r>
    </w:p>
    <w:p>
      <w:pPr>
        <w:spacing w:after="0" w:line="408" w:lineRule="exact"/>
        <w:rPr>
          <w:sz w:val="24"/>
          <w:szCs w:val="24"/>
          <w:color w:val="auto"/>
        </w:rPr>
      </w:pPr>
    </w:p>
    <w:p>
      <w:pPr>
        <w:sectPr>
          <w:pgSz w:w="11900" w:h="16838" w:orient="portrait"/>
          <w:cols w:equalWidth="0" w:num="2">
            <w:col w:w="3960" w:space="100"/>
            <w:col w:w="7600"/>
          </w:cols>
          <w:pgMar w:left="160" w:top="145" w:right="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192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660" w:type="dxa"/>
            <w:vAlign w:val="bottom"/>
          </w:tcPr>
          <w:p>
            <w:pPr>
              <w:spacing w:after="0"/>
              <w:rPr>
                <w:sz w:val="11"/>
                <w:szCs w:val="11"/>
                <w:color w:val="auto"/>
              </w:rPr>
            </w:pPr>
          </w:p>
        </w:tc>
        <w:tc>
          <w:tcPr>
            <w:tcW w:w="1920" w:type="dxa"/>
            <w:vAlign w:val="bottom"/>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6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6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6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6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6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6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7"/>
              </w:rPr>
              <w:t>Securities</w:t>
            </w:r>
          </w:p>
        </w:tc>
        <w:tc>
          <w:tcPr>
            <w:tcW w:w="22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jc w:val="right"/>
              <w:ind w:right="198"/>
              <w:spacing w:after="0"/>
              <w:rPr>
                <w:sz w:val="20"/>
                <w:szCs w:val="20"/>
                <w:color w:val="auto"/>
              </w:rPr>
            </w:pPr>
            <w:r>
              <w:rPr>
                <w:rFonts w:ascii="Arial" w:cs="Arial" w:eastAsia="Arial" w:hAnsi="Arial"/>
                <w:sz w:val="13"/>
                <w:szCs w:val="13"/>
                <w:color w:val="0000FF"/>
              </w:rPr>
              <w:t>11/21/2019</w:t>
            </w:r>
          </w:p>
        </w:tc>
        <w:tc>
          <w:tcPr>
            <w:tcW w:w="112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ind w:left="100"/>
              <w:spacing w:after="0"/>
              <w:rPr>
                <w:sz w:val="20"/>
                <w:szCs w:val="20"/>
                <w:color w:val="auto"/>
              </w:rPr>
            </w:pPr>
            <w:r>
              <w:rPr>
                <w:rFonts w:ascii="Arial" w:cs="Arial" w:eastAsia="Arial" w:hAnsi="Arial"/>
                <w:sz w:val="13"/>
                <w:szCs w:val="13"/>
                <w:color w:val="0000FF"/>
              </w:rPr>
              <w:t>500,000</w:t>
            </w:r>
          </w:p>
        </w:tc>
        <w:tc>
          <w:tcPr>
            <w:tcW w:w="220" w:type="dxa"/>
            <w:vAlign w:val="bottom"/>
          </w:tcPr>
          <w:p>
            <w:pPr>
              <w:spacing w:after="0"/>
              <w:rPr>
                <w:sz w:val="16"/>
                <w:szCs w:val="16"/>
                <w:color w:val="auto"/>
              </w:rPr>
            </w:pPr>
          </w:p>
        </w:tc>
        <w:tc>
          <w:tcPr>
            <w:tcW w:w="820" w:type="dxa"/>
            <w:vAlign w:val="bottom"/>
            <w:vMerge w:val="restart"/>
          </w:tcPr>
          <w:p>
            <w:pPr>
              <w:ind w:left="300"/>
              <w:spacing w:after="0"/>
              <w:rPr>
                <w:sz w:val="20"/>
                <w:szCs w:val="20"/>
                <w:color w:val="auto"/>
              </w:rPr>
            </w:pPr>
            <w:r>
              <w:rPr>
                <w:rFonts w:ascii="Arial" w:cs="Arial" w:eastAsia="Arial" w:hAnsi="Arial"/>
                <w:sz w:val="11"/>
                <w:szCs w:val="11"/>
                <w:color w:val="008000"/>
              </w:rPr>
              <w:t>(3)(4)</w:t>
            </w:r>
          </w:p>
        </w:tc>
        <w:tc>
          <w:tcPr>
            <w:tcW w:w="740" w:type="dxa"/>
            <w:vAlign w:val="bottom"/>
            <w:vMerge w:val="restart"/>
          </w:tcPr>
          <w:p>
            <w:pPr>
              <w:jc w:val="right"/>
              <w:ind w:right="181"/>
              <w:spacing w:after="0"/>
              <w:rPr>
                <w:sz w:val="20"/>
                <w:szCs w:val="20"/>
                <w:color w:val="auto"/>
              </w:rPr>
            </w:pPr>
            <w:r>
              <w:rPr>
                <w:rFonts w:ascii="Arial" w:cs="Arial" w:eastAsia="Arial" w:hAnsi="Arial"/>
                <w:sz w:val="11"/>
                <w:szCs w:val="11"/>
                <w:color w:val="008000"/>
              </w:rPr>
              <w:t>(3)(4)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500,000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260"/>
              <w:spacing w:after="0"/>
              <w:rPr>
                <w:sz w:val="20"/>
                <w:szCs w:val="20"/>
                <w:color w:val="auto"/>
              </w:rPr>
            </w:pPr>
            <w:r>
              <w:rPr>
                <w:rFonts w:ascii="Arial" w:cs="Arial" w:eastAsia="Arial" w:hAnsi="Arial"/>
                <w:sz w:val="13"/>
                <w:szCs w:val="13"/>
                <w:color w:val="0000FF"/>
              </w:rPr>
              <w:t>500,000</w:t>
            </w:r>
          </w:p>
        </w:tc>
        <w:tc>
          <w:tcPr>
            <w:tcW w:w="7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tcPr>
          <w:p>
            <w:pPr>
              <w:ind w:left="60"/>
              <w:spacing w:after="0" w:line="67"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8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tcPr>
          <w:p>
            <w:pPr>
              <w:ind w:left="180"/>
              <w:spacing w:after="0" w:line="67" w:lineRule="exact"/>
              <w:rPr>
                <w:sz w:val="20"/>
                <w:szCs w:val="20"/>
                <w:color w:val="auto"/>
              </w:rPr>
            </w:pPr>
            <w:r>
              <w:rPr>
                <w:rFonts w:ascii="Arial" w:cs="Arial" w:eastAsia="Arial" w:hAnsi="Arial"/>
                <w:sz w:val="7"/>
                <w:szCs w:val="7"/>
                <w:color w:val="0000FF"/>
              </w:rPr>
              <w:t>Units</w:t>
            </w:r>
          </w:p>
        </w:tc>
        <w:tc>
          <w:tcPr>
            <w:tcW w:w="6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Special one-time long-term retention grant of Phantom Units granted under Long-Term Incentive Plan (includes distribution equivalent rights payable in cash).</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51" w:lineRule="exact"/>
        <w:rPr>
          <w:rFonts w:ascii="Arial" w:cs="Arial" w:eastAsia="Arial" w:hAnsi="Arial"/>
          <w:sz w:val="13"/>
          <w:szCs w:val="13"/>
          <w:color w:val="008000"/>
        </w:rPr>
      </w:pPr>
    </w:p>
    <w:p>
      <w:pPr>
        <w:jc w:val="both"/>
        <w:ind w:left="40" w:right="300" w:firstLine="7"/>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Units will vest (i) 50% on the August 2026 distribution date, (ii) 25% on the later of the August 2026 distribution date and the first distribution date following PAA's achievement of distributable cash flow ("DCF") per common unit and common unit equivalent of at least $2.80 on a trailing four quarter basis, and (iii) 25% on the later of the August 2026 distribution date and the first distribution date following PAA's achievement of DCF per common unit and common unit equivalent of at least $3.15 on a trailing four quarter basis.</w:t>
      </w:r>
    </w:p>
    <w:p>
      <w:pPr>
        <w:spacing w:after="0" w:line="21" w:lineRule="exact"/>
        <w:rPr>
          <w:rFonts w:ascii="Arial" w:cs="Arial" w:eastAsia="Arial" w:hAnsi="Arial"/>
          <w:sz w:val="13"/>
          <w:szCs w:val="13"/>
          <w:color w:val="008000"/>
        </w:rPr>
      </w:pPr>
    </w:p>
    <w:p>
      <w:pPr>
        <w:ind w:left="40" w:right="140" w:firstLine="7"/>
        <w:spacing w:after="0" w:line="275"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associated DERs will vest (i) 20% each on the August 2020, August 2021 and August 2022 distribution dates (60% total), (ii) 20% on the first distribution date following PAA's achievement of DCF per common unit and common unit equivalent of at least $2.70 on a trailing four quarter basis, and (iii) 20% on the first distribution date following PAA's achievement of DCF per common unit and common unit equivalent of at least $2.90 on a trailing four quarter basis. The applicable trailing four quarter period for determining whether the requisite DCF per common unit and common unit equivalent has been achieved for vesting of phantom units and DERs may not begin until on or after January 1, 2020. Any phantom units that have not vested by the August 2028 distribution date will be forfeited.</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9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 attorney-</w:t>
            </w:r>
          </w:p>
        </w:tc>
        <w:tc>
          <w:tcPr>
            <w:tcW w:w="8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11/25/2019</w:t>
            </w:r>
          </w:p>
        </w:tc>
        <w:tc>
          <w:tcPr>
            <w:tcW w:w="0" w:type="dxa"/>
            <w:vAlign w:val="bottom"/>
          </w:tcPr>
          <w:p>
            <w:pPr>
              <w:spacing w:after="0"/>
              <w:rPr>
                <w:sz w:val="1"/>
                <w:szCs w:val="1"/>
                <w:color w:val="auto"/>
              </w:rPr>
            </w:pPr>
          </w:p>
        </w:tc>
      </w:tr>
      <w:tr>
        <w:trPr>
          <w:trHeight w:val="87"/>
        </w:trPr>
        <w:tc>
          <w:tcPr>
            <w:tcW w:w="2240" w:type="dxa"/>
            <w:vAlign w:val="bottom"/>
            <w:gridSpan w:val="3"/>
            <w:vMerge w:val="restart"/>
          </w:tcPr>
          <w:p>
            <w:pPr>
              <w:spacing w:after="0"/>
              <w:rPr>
                <w:sz w:val="20"/>
                <w:szCs w:val="20"/>
                <w:color w:val="auto"/>
              </w:rPr>
            </w:pPr>
            <w:r>
              <w:rPr>
                <w:rFonts w:ascii="Arial" w:cs="Arial" w:eastAsia="Arial" w:hAnsi="Arial"/>
                <w:sz w:val="17"/>
                <w:szCs w:val="17"/>
                <w:color w:val="0000FF"/>
              </w:rPr>
              <w:t>in-fact for Jeremy L. Goebel</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60" w:type="dxa"/>
            <w:vAlign w:val="bottom"/>
            <w:gridSpan w:val="2"/>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880" w:firstLine="7"/>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660"/>
      </w:cols>
      <w:pgMar w:left="160" w:top="145" w:right="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file:///cgi-bin/browse-edgar?action=getcompany&amp;CIK=0001769336" TargetMode="External"/><Relationship Id="rId13" Type="http://schemas.openxmlformats.org/officeDocument/2006/relationships/hyperlink" Target="file:///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2019-11-26T13:48:59Z</dcterms:created>
  <dcterms:modified xsi:type="dcterms:W3CDTF">2019-11-26T13:48:59Z</dcterms:modified>
</cp:coreProperties>
</file>