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INFORMATION TO BE INCLUDED</w:t>
      </w:r>
    </w:p>
    <w:p>
      <w:pPr>
        <w:jc w:val="center"/>
        <w:ind w:right="-59"/>
        <w:spacing w:after="0" w:line="238" w:lineRule="auto"/>
        <w:rPr>
          <w:sz w:val="20"/>
          <w:szCs w:val="20"/>
          <w:color w:val="auto"/>
        </w:rPr>
      </w:pPr>
      <w:r>
        <w:rPr>
          <w:rFonts w:ascii="Arial" w:cs="Arial" w:eastAsia="Arial" w:hAnsi="Arial"/>
          <w:sz w:val="22"/>
          <w:szCs w:val="22"/>
          <w:color w:val="auto"/>
        </w:rPr>
        <w:t>IN STATEMENTS FILED PURSUANT</w:t>
      </w:r>
    </w:p>
    <w:p>
      <w:pPr>
        <w:jc w:val="center"/>
        <w:ind w:right="-5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3960" w:right="3860" w:hanging="29"/>
        <w:spacing w:after="0" w:line="266" w:lineRule="auto"/>
        <w:tabs>
          <w:tab w:leader="none" w:pos="42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spacing w:after="0" w:line="1" w:lineRule="exact"/>
        <w:rPr>
          <w:rFonts w:ascii="Arial" w:cs="Arial" w:eastAsia="Arial" w:hAnsi="Arial"/>
          <w:sz w:val="19"/>
          <w:szCs w:val="19"/>
          <w:color w:val="auto"/>
        </w:rPr>
      </w:pPr>
    </w:p>
    <w:p>
      <w:pPr>
        <w:ind w:left="4220"/>
        <w:spacing w:after="0"/>
        <w:rPr>
          <w:rFonts w:ascii="Arial" w:cs="Arial" w:eastAsia="Arial" w:hAnsi="Arial"/>
          <w:sz w:val="19"/>
          <w:szCs w:val="19"/>
          <w:color w:val="auto"/>
        </w:rPr>
      </w:pPr>
      <w:r>
        <w:rPr>
          <w:rFonts w:ascii="Arial" w:cs="Arial" w:eastAsia="Arial" w:hAnsi="Arial"/>
          <w:sz w:val="22"/>
          <w:szCs w:val="22"/>
          <w:color w:val="auto"/>
        </w:rPr>
        <w:t>(AMENDMENT NO. FOUR )*</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Class A Shares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64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1" w:right="399" w:bottom="1440" w:gutter="0" w:footer="0" w:header="0"/>
        </w:sectPr>
      </w:pPr>
    </w:p>
    <w:bookmarkStart w:id="1" w:name="page2"/>
    <w:bookmarkEnd w:id="1"/>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Tortoise Capital Advisors,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(b)[x]</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13,943,680 (see Item 4)</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2"/>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
            <w:vMerge w:val="restart"/>
          </w:tcPr>
          <w:p>
            <w:pPr>
              <w:ind w:left="20"/>
              <w:spacing w:after="0"/>
              <w:rPr>
                <w:sz w:val="20"/>
                <w:szCs w:val="20"/>
                <w:color w:val="auto"/>
              </w:rPr>
            </w:pPr>
            <w:r>
              <w:rPr>
                <w:rFonts w:ascii="Arial" w:cs="Arial" w:eastAsia="Arial" w:hAnsi="Arial"/>
                <w:sz w:val="18"/>
                <w:szCs w:val="18"/>
                <w:color w:val="auto"/>
              </w:rPr>
              <w:t>14,236,334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gridSpan w:val="2"/>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3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Arial" w:cs="Arial" w:eastAsia="Arial" w:hAnsi="Arial"/>
                <w:sz w:val="18"/>
                <w:szCs w:val="18"/>
                <w:color w:val="auto"/>
              </w:rPr>
              <w:t>14,236,334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3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Not Applicable</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3460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6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80" w:hanging="858"/>
        <w:spacing w:after="0" w:line="182" w:lineRule="auto"/>
        <w:tabs>
          <w:tab w:leader="none" w:pos="148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Tortoise MLP &amp; Pipeline Fund</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39" w:lineRule="exact"/>
        <w:rPr>
          <w:sz w:val="20"/>
          <w:szCs w:val="20"/>
          <w:color w:val="auto"/>
        </w:rPr>
      </w:pPr>
    </w:p>
    <w:p>
      <w:pPr>
        <w:jc w:val="both"/>
        <w:ind w:left="1420" w:right="9400" w:hanging="798"/>
        <w:spacing w:after="0" w:line="266"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 xml:space="preserve"> (b)[x]</w:t>
      </w:r>
    </w:p>
    <w:p>
      <w:pPr>
        <w:spacing w:after="0" w:line="45"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80" w:hanging="858"/>
        <w:spacing w:after="0" w:line="182" w:lineRule="auto"/>
        <w:tabs>
          <w:tab w:leader="none" w:pos="148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ectPr>
          <w:pgSz w:w="11900" w:h="16918" w:orient="portrait"/>
          <w:cols w:equalWidth="0" w:num="1">
            <w:col w:w="11240"/>
          </w:cols>
          <w:pgMar w:left="320" w:top="363" w:right="339" w:bottom="0" w:gutter="0" w:footer="0" w:header="0"/>
        </w:sectPr>
      </w:pPr>
    </w:p>
    <w:p>
      <w:pPr>
        <w:spacing w:after="0" w:line="205" w:lineRule="exact"/>
        <w:rPr>
          <w:sz w:val="20"/>
          <w:szCs w:val="20"/>
          <w:color w:val="auto"/>
        </w:rPr>
      </w:pPr>
    </w:p>
    <w:p>
      <w:pPr>
        <w:jc w:val="center"/>
        <w:ind w:left="100"/>
        <w:spacing w:after="0" w:line="270"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VOTING POWER</w:t>
      </w:r>
    </w:p>
    <w:p>
      <w:pPr>
        <w:ind w:left="504" w:hanging="504"/>
        <w:spacing w:after="0" w:line="182" w:lineRule="auto"/>
        <w:tabs>
          <w:tab w:leader="none" w:pos="504"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0</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SHARED VOTING POWER</w:t>
      </w:r>
    </w:p>
    <w:p>
      <w:pPr>
        <w:ind w:left="4"/>
        <w:spacing w:after="0" w:line="215" w:lineRule="auto"/>
        <w:rPr>
          <w:sz w:val="20"/>
          <w:szCs w:val="20"/>
          <w:color w:val="auto"/>
        </w:rPr>
      </w:pPr>
      <w:r>
        <w:rPr>
          <w:rFonts w:ascii="Arial" w:cs="Arial" w:eastAsia="Arial" w:hAnsi="Arial"/>
          <w:sz w:val="32"/>
          <w:szCs w:val="32"/>
          <w:b w:val="1"/>
          <w:bCs w:val="1"/>
          <w:color w:val="auto"/>
        </w:rPr>
        <w:t>6</w:t>
      </w:r>
    </w:p>
    <w:p>
      <w:pPr>
        <w:spacing w:after="0" w:line="1" w:lineRule="exact"/>
        <w:rPr>
          <w:sz w:val="20"/>
          <w:szCs w:val="20"/>
          <w:color w:val="auto"/>
        </w:rPr>
      </w:pPr>
    </w:p>
    <w:p>
      <w:pPr>
        <w:ind w:left="464"/>
        <w:spacing w:after="0"/>
        <w:rPr>
          <w:sz w:val="20"/>
          <w:szCs w:val="20"/>
          <w:color w:val="auto"/>
        </w:rPr>
      </w:pPr>
      <w:r>
        <w:rPr>
          <w:rFonts w:ascii="Arial" w:cs="Arial" w:eastAsia="Arial" w:hAnsi="Arial"/>
          <w:sz w:val="18"/>
          <w:szCs w:val="18"/>
          <w:color w:val="auto"/>
        </w:rPr>
        <w:t>10,301,946 (see Item 4)</w:t>
      </w:r>
    </w:p>
    <w:p>
      <w:pPr>
        <w:ind w:left="444" w:hanging="444"/>
        <w:spacing w:after="0" w:line="184" w:lineRule="auto"/>
        <w:tabs>
          <w:tab w:leader="none" w:pos="444" w:val="left"/>
        </w:tabs>
        <w:numPr>
          <w:ilvl w:val="0"/>
          <w:numId w:val="7"/>
        </w:numPr>
        <w:rPr>
          <w:rFonts w:ascii="Arial" w:cs="Arial" w:eastAsia="Arial" w:hAnsi="Arial"/>
          <w:sz w:val="36"/>
          <w:szCs w:val="36"/>
          <w:b w:val="1"/>
          <w:bCs w:val="1"/>
          <w:color w:val="auto"/>
          <w:vertAlign w:val="subscript"/>
        </w:rPr>
      </w:pPr>
      <w:r>
        <w:rPr>
          <w:rFonts w:ascii="Arial" w:cs="Arial" w:eastAsia="Arial" w:hAnsi="Arial"/>
          <w:sz w:val="15"/>
          <w:szCs w:val="15"/>
          <w:b w:val="1"/>
          <w:bCs w:val="1"/>
          <w:color w:val="auto"/>
        </w:rPr>
        <w:t>SOLE DISPOSITIVE POWER</w:t>
      </w:r>
    </w:p>
    <w:p>
      <w:pPr>
        <w:spacing w:after="0" w:line="64" w:lineRule="exact"/>
        <w:rPr>
          <w:sz w:val="20"/>
          <w:szCs w:val="20"/>
          <w:color w:val="auto"/>
        </w:rPr>
      </w:pPr>
    </w:p>
    <w:p>
      <w:pPr>
        <w:ind w:left="504"/>
        <w:spacing w:after="0"/>
        <w:rPr>
          <w:sz w:val="20"/>
          <w:szCs w:val="20"/>
          <w:color w:val="auto"/>
        </w:rPr>
      </w:pPr>
      <w:r>
        <w:rPr>
          <w:rFonts w:ascii="Arial" w:cs="Arial" w:eastAsia="Arial" w:hAnsi="Arial"/>
          <w:sz w:val="18"/>
          <w:szCs w:val="18"/>
          <w:color w:val="auto"/>
        </w:rPr>
        <w:t>0</w:t>
      </w:r>
    </w:p>
    <w:p>
      <w:pPr>
        <w:sectPr>
          <w:pgSz w:w="11900" w:h="16918" w:orient="portrait"/>
          <w:cols w:equalWidth="0" w:num="2">
            <w:col w:w="1960" w:space="316"/>
            <w:col w:w="8964"/>
          </w:cols>
          <w:pgMar w:left="320" w:top="363" w:right="339" w:bottom="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10,301,946 (see Item 4)</w:t>
            </w: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10,301,946 (see Item 4)</w:t>
            </w: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84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Plains GP Holdings,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333 Clay Street, Suite 1600, Houston, TX 77002</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00" w:lineRule="exact"/>
        <w:rPr>
          <w:sz w:val="20"/>
          <w:szCs w:val="20"/>
          <w:color w:val="auto"/>
        </w:rPr>
      </w:pPr>
    </w:p>
    <w:p>
      <w:pPr>
        <w:spacing w:after="0" w:line="295" w:lineRule="exact"/>
        <w:rPr>
          <w:sz w:val="20"/>
          <w:szCs w:val="20"/>
          <w:color w:val="auto"/>
        </w:rPr>
      </w:pPr>
    </w:p>
    <w:p>
      <w:pPr>
        <w:ind w:left="980" w:right="100"/>
        <w:spacing w:after="0" w:line="253" w:lineRule="auto"/>
        <w:rPr>
          <w:sz w:val="20"/>
          <w:szCs w:val="20"/>
          <w:color w:val="auto"/>
        </w:rPr>
      </w:pPr>
      <w:r>
        <w:rPr>
          <w:rFonts w:ascii="Arial" w:cs="Arial" w:eastAsia="Arial" w:hAnsi="Arial"/>
          <w:sz w:val="14"/>
          <w:szCs w:val="14"/>
          <w:color w:val="auto"/>
        </w:rPr>
        <w:t>This 13G is being jointly filed by Tortoise Capital Advisors, L.L.C., a Delaware limited liability company ("TCA"), and Tortoise MLP &amp; Pipeline Fund, a series of Managed Portfolio Series, a Delaware statutory trust ("TORIX").</w:t>
      </w:r>
    </w:p>
    <w:p>
      <w:pPr>
        <w:spacing w:after="0" w:line="106" w:lineRule="exact"/>
        <w:rPr>
          <w:sz w:val="20"/>
          <w:szCs w:val="20"/>
          <w:color w:val="auto"/>
        </w:rPr>
      </w:pPr>
    </w:p>
    <w:p>
      <w:pPr>
        <w:ind w:left="980" w:right="460"/>
        <w:spacing w:after="0" w:line="238" w:lineRule="auto"/>
        <w:rPr>
          <w:sz w:val="20"/>
          <w:szCs w:val="20"/>
          <w:color w:val="auto"/>
        </w:rPr>
      </w:pPr>
      <w:r>
        <w:rPr>
          <w:rFonts w:ascii="Arial" w:cs="Arial" w:eastAsia="Arial" w:hAnsi="Arial"/>
          <w:sz w:val="14"/>
          <w:szCs w:val="14"/>
          <w:color w:val="auto"/>
        </w:rPr>
        <w:t>TCA and TORIX have entered into an Agreement Regarding Joint Filing of 13G dated February 12, 2021 (the "Agreement") pursuant to which TCA and TORIX have agreed to file this 13G jointly in accordance with the provisions of Rule 13d-1(k)(1) of the Securities Exchange Act of 1934, as amended (the "Act"). A copy of the Agreement is attached hereto as Exhibit A.</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0" w:lineRule="exact"/>
        <w:rPr>
          <w:sz w:val="20"/>
          <w:szCs w:val="20"/>
          <w:color w:val="auto"/>
        </w:rPr>
      </w:pPr>
    </w:p>
    <w:p>
      <w:pPr>
        <w:spacing w:after="0" w:line="295" w:lineRule="exact"/>
        <w:rPr>
          <w:sz w:val="20"/>
          <w:szCs w:val="20"/>
          <w:color w:val="auto"/>
        </w:rPr>
      </w:pPr>
    </w:p>
    <w:p>
      <w:pPr>
        <w:ind w:left="980"/>
        <w:spacing w:after="0" w:line="230" w:lineRule="auto"/>
        <w:rPr>
          <w:sz w:val="20"/>
          <w:szCs w:val="20"/>
          <w:color w:val="auto"/>
        </w:rPr>
      </w:pPr>
      <w:r>
        <w:rPr>
          <w:rFonts w:ascii="Arial" w:cs="Arial" w:eastAsia="Arial" w:hAnsi="Arial"/>
          <w:sz w:val="14"/>
          <w:szCs w:val="14"/>
          <w:color w:val="auto"/>
        </w:rPr>
        <w:t>The principal business address of TCA is 6363 College Boulevard, Suite 100A, Overland Park,, Kansas 66211 and the principal business address of Managed Portfolio Series, the trust of which</w:t>
      </w:r>
    </w:p>
    <w:p>
      <w:pPr>
        <w:ind w:left="980"/>
        <w:spacing w:after="0"/>
        <w:rPr>
          <w:sz w:val="20"/>
          <w:szCs w:val="20"/>
          <w:color w:val="auto"/>
        </w:rPr>
      </w:pPr>
      <w:r>
        <w:rPr>
          <w:rFonts w:ascii="Arial" w:cs="Arial" w:eastAsia="Arial" w:hAnsi="Arial"/>
          <w:sz w:val="14"/>
          <w:szCs w:val="14"/>
          <w:color w:val="auto"/>
        </w:rPr>
        <w:t>TORIX is a series, is 615 East Michigan Street, Milwaukee, Wisconsin 53202.</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TCA is a Delaware limited liability company and TORIX is a series of Managed Portolio Series, a Delaware statutory trust.</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Class A Shares Representing Limited Partner Interests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18" w:lineRule="exact"/>
        <w:rPr>
          <w:sz w:val="20"/>
          <w:szCs w:val="20"/>
          <w:color w:val="auto"/>
        </w:rPr>
      </w:pPr>
    </w:p>
    <w:p>
      <w:pPr>
        <w:ind w:left="1300"/>
        <w:spacing w:after="0" w:line="230" w:lineRule="auto"/>
        <w:rPr>
          <w:sz w:val="20"/>
          <w:szCs w:val="20"/>
          <w:color w:val="auto"/>
        </w:rPr>
      </w:pPr>
      <w:r>
        <w:rPr>
          <w:rFonts w:ascii="Arial" w:cs="Arial" w:eastAsia="Arial" w:hAnsi="Arial"/>
          <w:sz w:val="14"/>
          <w:szCs w:val="14"/>
          <w:color w:val="auto"/>
        </w:rPr>
        <w:t>TCA is an investment adviser in accordance with Rule 13d-1(b)(1)(ii)(E) and TORIX is an investment company registered under Section 8 of the Investment Company Act of</w:t>
      </w:r>
    </w:p>
    <w:p>
      <w:pPr>
        <w:ind w:left="1300"/>
        <w:spacing w:after="0"/>
        <w:rPr>
          <w:sz w:val="20"/>
          <w:szCs w:val="20"/>
          <w:color w:val="auto"/>
        </w:rPr>
      </w:pPr>
      <w:r>
        <w:rPr>
          <w:rFonts w:ascii="Arial" w:cs="Arial" w:eastAsia="Arial" w:hAnsi="Arial"/>
          <w:sz w:val="14"/>
          <w:szCs w:val="14"/>
          <w:color w:val="auto"/>
        </w:rPr>
        <w:t>1940 (15 U.S.C. 80a-8).</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ind w:right="680"/>
        <w:spacing w:after="0" w:line="244" w:lineRule="auto"/>
        <w:rPr>
          <w:sz w:val="20"/>
          <w:szCs w:val="20"/>
          <w:color w:val="auto"/>
        </w:rPr>
      </w:pPr>
      <w:r>
        <w:rPr>
          <w:rFonts w:ascii="Arial" w:cs="Arial" w:eastAsia="Arial" w:hAnsi="Arial"/>
          <w:sz w:val="13"/>
          <w:szCs w:val="13"/>
          <w:color w:val="auto"/>
        </w:rPr>
        <w:t>TCA acts as an investment advisor to certain investment companies registered under the Investment Company Act of 1940, including TORIX.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and TORIX has reported that it shares voting power and dispositive power over the securities owned of record by it. TCA also acts as an investment advisor to certain managed accounts. Under contractual agreements with these managed account clients, TCA has voting and/or investment power. TCA has reported that it shares voting and/or investment power over the securities held by these client managed accounts despite a delegation of voting and/or investment power to TCA because the clients have the right to acquire voting and/or investment power through termination of their agreements with TCA. TCA may be deemed the beneficial owner of the securities covered by this statement under Rule 13d-3 of the Act.</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Tortoise Capital Advisors, L.L.C.</w:t>
      </w:r>
    </w:p>
    <w:p>
      <w:pPr>
        <w:spacing w:after="0" w:line="167" w:lineRule="exact"/>
        <w:rPr>
          <w:sz w:val="20"/>
          <w:szCs w:val="20"/>
          <w:color w:val="auto"/>
        </w:rPr>
      </w:pPr>
    </w:p>
    <w:p>
      <w:pPr>
        <w:ind w:left="1300" w:right="78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beneficially owned: 14,236,334</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00" w:hanging="316"/>
        <w:spacing w:after="0" w:line="277"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20" w:hanging="316"/>
        <w:spacing w:after="0" w:line="277"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13,943,680</w:t>
      </w:r>
    </w:p>
    <w:p>
      <w:pPr>
        <w:spacing w:after="0" w:line="197" w:lineRule="exact"/>
        <w:rPr>
          <w:rFonts w:ascii="Arial" w:cs="Arial" w:eastAsia="Arial" w:hAnsi="Arial"/>
          <w:sz w:val="18"/>
          <w:szCs w:val="18"/>
          <w:color w:val="auto"/>
        </w:rPr>
      </w:pPr>
    </w:p>
    <w:p>
      <w:pPr>
        <w:ind w:left="1620" w:right="5780" w:hanging="316"/>
        <w:spacing w:after="0" w:line="277"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00" w:hanging="316"/>
        <w:spacing w:after="0" w:line="277"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14,236,334</w:t>
      </w:r>
    </w:p>
    <w:p>
      <w:pPr>
        <w:spacing w:after="0" w:line="197"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Tortoise MLP &amp; Pipeline Fund</w:t>
      </w:r>
    </w:p>
    <w:p>
      <w:pPr>
        <w:spacing w:after="0" w:line="200" w:lineRule="exact"/>
        <w:rPr>
          <w:rFonts w:ascii="Arial" w:cs="Arial" w:eastAsia="Arial" w:hAnsi="Arial"/>
          <w:sz w:val="16"/>
          <w:szCs w:val="16"/>
          <w:b w:val="1"/>
          <w:bCs w:val="1"/>
          <w:color w:val="auto"/>
        </w:rPr>
      </w:pPr>
    </w:p>
    <w:p>
      <w:pPr>
        <w:spacing w:after="0" w:line="263" w:lineRule="exact"/>
        <w:rPr>
          <w:rFonts w:ascii="Arial" w:cs="Arial" w:eastAsia="Arial" w:hAnsi="Arial"/>
          <w:sz w:val="16"/>
          <w:szCs w:val="16"/>
          <w:b w:val="1"/>
          <w:bCs w:val="1"/>
          <w:color w:val="auto"/>
        </w:rPr>
      </w:pPr>
    </w:p>
    <w:p>
      <w:pPr>
        <w:ind w:left="1300" w:right="78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beneficially owned: 10,301,946</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5.3%</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0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2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10,301,946</w:t>
      </w:r>
    </w:p>
    <w:p>
      <w:pPr>
        <w:spacing w:after="0" w:line="197" w:lineRule="exact"/>
        <w:rPr>
          <w:rFonts w:ascii="Arial" w:cs="Arial" w:eastAsia="Arial" w:hAnsi="Arial"/>
          <w:sz w:val="18"/>
          <w:szCs w:val="18"/>
          <w:color w:val="auto"/>
        </w:rPr>
      </w:pPr>
    </w:p>
    <w:p>
      <w:pPr>
        <w:ind w:left="1620" w:right="578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00" w:hanging="316"/>
        <w:spacing w:after="0" w:line="277" w:lineRule="auto"/>
        <w:tabs>
          <w:tab w:leader="none" w:pos="162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10,301,946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61" w:lineRule="exact"/>
        <w:rPr>
          <w:sz w:val="20"/>
          <w:szCs w:val="20"/>
          <w:color w:val="auto"/>
        </w:rPr>
      </w:pPr>
    </w:p>
    <w:p>
      <w:pPr>
        <w:ind w:left="980" w:right="80"/>
        <w:spacing w:after="0" w:line="266" w:lineRule="auto"/>
        <w:rPr>
          <w:sz w:val="20"/>
          <w:szCs w:val="20"/>
          <w:color w:val="auto"/>
        </w:rPr>
      </w:pPr>
      <w:r>
        <w:rPr>
          <w:rFonts w:ascii="Arial" w:cs="Arial" w:eastAsia="Arial" w:hAnsi="Arial"/>
          <w:sz w:val="16"/>
          <w:szCs w:val="16"/>
          <w:color w:val="auto"/>
        </w:rPr>
        <w:t>The investment companies and the managed accounts discussed in Item 4 above have the right to receive all dividends from, and the proceeds from the sale of, the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securities held in their respective accounts. Except for TORIX, the interest of any one such person does not exceed 5% of the class of securities.</w:t>
      </w:r>
    </w:p>
    <w:p>
      <w:pPr>
        <w:spacing w:after="0" w:line="200" w:lineRule="exact"/>
        <w:rPr>
          <w:sz w:val="20"/>
          <w:szCs w:val="20"/>
          <w:color w:val="auto"/>
        </w:rPr>
      </w:pPr>
    </w:p>
    <w:p>
      <w:pPr>
        <w:spacing w:after="0" w:line="3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77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40"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11, 2022</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 and Chief Compliance Officer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MLP &amp; PIPELINE FUND, A SERIES OF MANAGED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PORTFOLIO SERIES BY TORTOISE CAPITAL ADVISORS, L.L.C. AS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 TO THE FUND</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A</w:t>
      </w:r>
    </w:p>
    <w:p>
      <w:pPr>
        <w:jc w:val="center"/>
        <w:ind w:right="-19"/>
        <w:spacing w:after="0"/>
        <w:rPr>
          <w:sz w:val="20"/>
          <w:szCs w:val="20"/>
          <w:color w:val="auto"/>
        </w:rPr>
      </w:pPr>
      <w:r>
        <w:rPr>
          <w:rFonts w:ascii="Arial" w:cs="Arial" w:eastAsia="Arial" w:hAnsi="Arial"/>
          <w:sz w:val="14"/>
          <w:szCs w:val="14"/>
          <w:color w:val="auto"/>
        </w:rPr>
        <w:t>AGREEMENT REGARDING THE JOINT FILING OF SCHEDULE 13G</w:t>
      </w:r>
    </w:p>
    <w:p>
      <w:pPr>
        <w:spacing w:after="0" w:line="273" w:lineRule="exact"/>
        <w:rPr>
          <w:sz w:val="20"/>
          <w:szCs w:val="20"/>
          <w:color w:val="auto"/>
        </w:rPr>
      </w:pPr>
    </w:p>
    <w:p>
      <w:pPr>
        <w:jc w:val="both"/>
        <w:ind w:right="1100"/>
        <w:spacing w:after="0" w:line="238" w:lineRule="auto"/>
        <w:rPr>
          <w:sz w:val="20"/>
          <w:szCs w:val="20"/>
          <w:color w:val="auto"/>
        </w:rPr>
      </w:pPr>
      <w:r>
        <w:rPr>
          <w:rFonts w:ascii="Arial" w:cs="Arial" w:eastAsia="Arial" w:hAnsi="Arial"/>
          <w:sz w:val="14"/>
          <w:szCs w:val="14"/>
          <w:color w:val="auto"/>
        </w:rPr>
        <w:t>In accordance with Rule 13d-1(k) under the Securities Exchange Act of 1934, as amended, the undersigned agree to the joint filing on behalf of each of them of a statement on Schedule 13G (including amendments thereto) with respect to the Common Units Representing Limited Partner Interests of Plains GP Holdings, L.P., and further agree that this agreement be included as an exhibit to such filings.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In evidence whereof, the undersigned have caused this Agreement to be executed on their behalf this 11th day of February 2022.</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TORTOISE MLP &amp; PIPELINE FUND, A SERIES OF</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MANAGED PORTFOLIO SERIES BY TORTOISE CAPITAL</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ADVISORS, L.L.C. AS ADVISOR TO THE FUND</w:t>
      </w:r>
    </w:p>
    <w:p>
      <w:pPr>
        <w:spacing w:after="0" w:line="2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By: /s/ Diane Bono</w:t>
      </w:r>
    </w:p>
    <w:p>
      <w:pPr>
        <w:spacing w:after="0" w:line="36"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-130175</wp:posOffset>
            </wp:positionV>
            <wp:extent cx="31203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Diane Bono</w:t>
      </w:r>
    </w:p>
    <w:p>
      <w:pPr>
        <w:spacing w:after="0" w:line="32"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Managing</w:t>
      </w:r>
    </w:p>
    <w:p>
      <w:pPr>
        <w:spacing w:after="0" w:line="9"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and Chief</w:t>
      </w:r>
    </w:p>
    <w:p>
      <w:pPr>
        <w:spacing w:after="0" w:line="9"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Compliance</w:t>
      </w:r>
    </w:p>
    <w:p>
      <w:pPr>
        <w:spacing w:after="0" w:line="32"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1361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1]"/>
      <w:numFmt w:val="lowerRoman"/>
      <w:start w:val="10"/>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7"/>
      <w:numFmt w:val="bullet"/>
      <w:start w:val="1"/>
    </w:lvl>
  </w:abstractNum>
  <w:abstractNum w:abstractNumId="7">
    <w:nsid w:val="515F00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5BD062C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2022-02-12T01:48:54Z</dcterms:created>
  <dcterms:modified xsi:type="dcterms:W3CDTF">2022-02-12T01:48:54Z</dcterms:modified>
</cp:coreProperties>
</file>