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Arial" w:cs="Arial" w:eastAsia="Arial" w:hAnsi="Arial"/>
          <w:sz w:val="32"/>
          <w:szCs w:val="32"/>
          <w:b w:val="1"/>
          <w:bCs w:val="1"/>
          <w:color w:val="auto"/>
        </w:rPr>
        <w:drawing>
          <wp:anchor simplePos="0" relativeHeight="251657728" behindDoc="1" locked="0" layoutInCell="0" allowOverlap="1">
            <wp:simplePos x="0" y="0"/>
            <wp:positionH relativeFrom="page">
              <wp:posOffset>157480</wp:posOffset>
            </wp:positionH>
            <wp:positionV relativeFrom="page">
              <wp:posOffset>157480</wp:posOffset>
            </wp:positionV>
            <wp:extent cx="7246620" cy="342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46620" cy="34290"/>
                    </a:xfrm>
                    <a:prstGeom prst="rect">
                      <a:avLst/>
                    </a:prstGeom>
                    <a:noFill/>
                  </pic:spPr>
                </pic:pic>
              </a:graphicData>
            </a:graphic>
          </wp:anchor>
        </w:drawing>
        <w:drawing>
          <wp:anchor simplePos="0" relativeHeight="251657728" behindDoc="1" locked="0" layoutInCell="0" allowOverlap="1">
            <wp:simplePos x="0" y="0"/>
            <wp:positionH relativeFrom="page">
              <wp:posOffset>157480</wp:posOffset>
            </wp:positionH>
            <wp:positionV relativeFrom="page">
              <wp:posOffset>226060</wp:posOffset>
            </wp:positionV>
            <wp:extent cx="7246620" cy="342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46620" cy="34290"/>
                    </a:xfrm>
                    <a:prstGeom prst="rect">
                      <a:avLst/>
                    </a:prstGeom>
                    <a:noFill/>
                  </pic:spPr>
                </pic:pic>
              </a:graphicData>
            </a:graphic>
          </wp:anchor>
        </w:drawing>
        <w:t>UNITED STATES</w:t>
      </w:r>
    </w:p>
    <w:p>
      <w:pPr>
        <w:spacing w:after="0" w:line="33"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SECURITIES AND EXCHANGE COMMISSION</w:t>
      </w:r>
    </w:p>
    <w:p>
      <w:pPr>
        <w:spacing w:after="0" w:line="4"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Washington, D.C. 20549</w:t>
      </w:r>
    </w:p>
    <w:p>
      <w:pPr>
        <w:spacing w:after="0" w:line="182"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FORM 8-K</w:t>
      </w:r>
    </w:p>
    <w:p>
      <w:pPr>
        <w:spacing w:after="0" w:line="226" w:lineRule="exact"/>
        <w:rPr>
          <w:sz w:val="24"/>
          <w:szCs w:val="24"/>
          <w:color w:val="auto"/>
        </w:rPr>
      </w:pPr>
    </w:p>
    <w:p>
      <w:pPr>
        <w:jc w:val="center"/>
        <w:spacing w:after="0"/>
        <w:rPr>
          <w:sz w:val="20"/>
          <w:szCs w:val="20"/>
          <w:color w:val="auto"/>
        </w:rPr>
      </w:pPr>
      <w:r>
        <w:rPr>
          <w:rFonts w:ascii="Arial" w:cs="Arial" w:eastAsia="Arial" w:hAnsi="Arial"/>
          <w:sz w:val="22"/>
          <w:szCs w:val="22"/>
          <w:b w:val="1"/>
          <w:bCs w:val="1"/>
          <w:color w:val="auto"/>
        </w:rPr>
        <w:t>CURRENT REPORT</w:t>
      </w:r>
    </w:p>
    <w:p>
      <w:pPr>
        <w:spacing w:after="0" w:line="14" w:lineRule="exact"/>
        <w:rPr>
          <w:sz w:val="24"/>
          <w:szCs w:val="24"/>
          <w:color w:val="auto"/>
        </w:rPr>
      </w:pPr>
    </w:p>
    <w:p>
      <w:pPr>
        <w:jc w:val="center"/>
        <w:spacing w:after="0"/>
        <w:rPr>
          <w:sz w:val="20"/>
          <w:szCs w:val="20"/>
          <w:color w:val="auto"/>
        </w:rPr>
      </w:pPr>
      <w:r>
        <w:rPr>
          <w:rFonts w:ascii="Arial" w:cs="Arial" w:eastAsia="Arial" w:hAnsi="Arial"/>
          <w:sz w:val="19"/>
          <w:szCs w:val="19"/>
          <w:b w:val="1"/>
          <w:bCs w:val="1"/>
          <w:color w:val="auto"/>
        </w:rPr>
        <w:t>Pursuant to Section 13 or 15(d) of The Securities Exchange Act of 1934</w:t>
      </w:r>
    </w:p>
    <w:p>
      <w:pPr>
        <w:spacing w:after="0" w:line="226"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 xml:space="preserve">Date of Report (Date of earliest event reported) </w:t>
      </w:r>
      <w:r>
        <w:rPr>
          <w:rFonts w:ascii="Arial" w:cs="Arial" w:eastAsia="Arial" w:hAnsi="Arial"/>
          <w:sz w:val="18"/>
          <w:szCs w:val="18"/>
          <w:b w:val="1"/>
          <w:bCs w:val="1"/>
          <w:color w:val="auto"/>
        </w:rPr>
        <w:t>- March 8, 2006</w:t>
      </w:r>
    </w:p>
    <w:p>
      <w:pPr>
        <w:spacing w:after="0" w:line="202"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Plains All American Pipeline, L.P.</w:t>
      </w:r>
    </w:p>
    <w:p>
      <w:pPr>
        <w:spacing w:after="0" w:line="40"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(Exact name of registrant as specified in its charter)</w:t>
      </w:r>
    </w:p>
    <w:p>
      <w:pPr>
        <w:sectPr>
          <w:pgSz w:w="11900" w:h="16838" w:orient="portrait"/>
          <w:cols w:equalWidth="0" w:num="1">
            <w:col w:w="11420"/>
          </w:cols>
          <w:pgMar w:left="240" w:top="585" w:right="239" w:bottom="0" w:gutter="0" w:footer="0" w:header="0"/>
        </w:sectPr>
      </w:pPr>
    </w:p>
    <w:p>
      <w:pPr>
        <w:spacing w:after="0" w:line="205" w:lineRule="exact"/>
        <w:rPr>
          <w:sz w:val="24"/>
          <w:szCs w:val="24"/>
          <w:color w:val="auto"/>
        </w:rPr>
      </w:pPr>
    </w:p>
    <w:p>
      <w:pPr>
        <w:jc w:val="center"/>
        <w:ind w:right="340"/>
        <w:spacing w:after="0"/>
        <w:rPr>
          <w:sz w:val="20"/>
          <w:szCs w:val="20"/>
          <w:color w:val="auto"/>
        </w:rPr>
      </w:pPr>
      <w:r>
        <w:rPr>
          <w:rFonts w:ascii="Arial" w:cs="Arial" w:eastAsia="Arial" w:hAnsi="Arial"/>
          <w:sz w:val="18"/>
          <w:szCs w:val="18"/>
          <w:b w:val="1"/>
          <w:bCs w:val="1"/>
          <w:color w:val="auto"/>
        </w:rPr>
        <w:t>DELAWARE</w:t>
      </w:r>
    </w:p>
    <w:p>
      <w:pPr>
        <w:spacing w:after="0" w:line="27" w:lineRule="exact"/>
        <w:rPr>
          <w:sz w:val="24"/>
          <w:szCs w:val="24"/>
          <w:color w:val="auto"/>
        </w:rPr>
      </w:pPr>
    </w:p>
    <w:p>
      <w:pPr>
        <w:jc w:val="center"/>
        <w:ind w:right="340"/>
        <w:spacing w:after="0"/>
        <w:rPr>
          <w:sz w:val="20"/>
          <w:szCs w:val="20"/>
          <w:color w:val="auto"/>
        </w:rPr>
      </w:pPr>
      <w:r>
        <w:rPr>
          <w:rFonts w:ascii="Arial" w:cs="Arial" w:eastAsia="Arial" w:hAnsi="Arial"/>
          <w:sz w:val="16"/>
          <w:szCs w:val="16"/>
          <w:color w:val="auto"/>
        </w:rPr>
        <w:t>(State or other jurisdiction of</w:t>
      </w:r>
    </w:p>
    <w:p>
      <w:pPr>
        <w:spacing w:after="0" w:line="20" w:lineRule="exact"/>
        <w:rPr>
          <w:sz w:val="24"/>
          <w:szCs w:val="24"/>
          <w:color w:val="auto"/>
        </w:rPr>
      </w:pPr>
      <w:r>
        <w:rPr>
          <w:sz w:val="24"/>
          <w:szCs w:val="24"/>
          <w:color w:val="auto"/>
        </w:rPr>
        <w:br w:type="column"/>
      </w:r>
    </w:p>
    <w:p>
      <w:pPr>
        <w:spacing w:after="0" w:line="185" w:lineRule="exact"/>
        <w:rPr>
          <w:sz w:val="24"/>
          <w:szCs w:val="24"/>
          <w:color w:val="auto"/>
        </w:rPr>
      </w:pPr>
    </w:p>
    <w:p>
      <w:pPr>
        <w:jc w:val="center"/>
        <w:ind w:right="940"/>
        <w:spacing w:after="0"/>
        <w:rPr>
          <w:sz w:val="20"/>
          <w:szCs w:val="20"/>
          <w:color w:val="auto"/>
        </w:rPr>
      </w:pPr>
      <w:r>
        <w:rPr>
          <w:rFonts w:ascii="Arial" w:cs="Arial" w:eastAsia="Arial" w:hAnsi="Arial"/>
          <w:sz w:val="18"/>
          <w:szCs w:val="18"/>
          <w:b w:val="1"/>
          <w:bCs w:val="1"/>
          <w:color w:val="auto"/>
        </w:rPr>
        <w:t>1-14569</w:t>
      </w:r>
    </w:p>
    <w:p>
      <w:pPr>
        <w:spacing w:after="0" w:line="27" w:lineRule="exact"/>
        <w:rPr>
          <w:sz w:val="24"/>
          <w:szCs w:val="24"/>
          <w:color w:val="auto"/>
        </w:rPr>
      </w:pPr>
    </w:p>
    <w:p>
      <w:pPr>
        <w:jc w:val="center"/>
        <w:ind w:right="940"/>
        <w:spacing w:after="0"/>
        <w:rPr>
          <w:sz w:val="20"/>
          <w:szCs w:val="20"/>
          <w:color w:val="auto"/>
        </w:rPr>
      </w:pPr>
      <w:r>
        <w:rPr>
          <w:rFonts w:ascii="Arial" w:cs="Arial" w:eastAsia="Arial" w:hAnsi="Arial"/>
          <w:sz w:val="16"/>
          <w:szCs w:val="16"/>
          <w:color w:val="auto"/>
        </w:rPr>
        <w:t>(Commission File Number)</w:t>
      </w:r>
    </w:p>
    <w:p>
      <w:pPr>
        <w:spacing w:after="0" w:line="20" w:lineRule="exact"/>
        <w:rPr>
          <w:sz w:val="24"/>
          <w:szCs w:val="24"/>
          <w:color w:val="auto"/>
        </w:rPr>
      </w:pPr>
      <w:r>
        <w:rPr>
          <w:sz w:val="24"/>
          <w:szCs w:val="24"/>
          <w:color w:val="auto"/>
        </w:rPr>
        <w:br w:type="column"/>
      </w:r>
    </w:p>
    <w:p>
      <w:pPr>
        <w:spacing w:after="0" w:line="185" w:lineRule="exact"/>
        <w:rPr>
          <w:sz w:val="24"/>
          <w:szCs w:val="24"/>
          <w:color w:val="auto"/>
        </w:rPr>
      </w:pPr>
    </w:p>
    <w:p>
      <w:pPr>
        <w:jc w:val="center"/>
        <w:ind w:right="560"/>
        <w:spacing w:after="0"/>
        <w:rPr>
          <w:sz w:val="20"/>
          <w:szCs w:val="20"/>
          <w:color w:val="auto"/>
        </w:rPr>
      </w:pPr>
      <w:r>
        <w:rPr>
          <w:rFonts w:ascii="Arial" w:cs="Arial" w:eastAsia="Arial" w:hAnsi="Arial"/>
          <w:sz w:val="18"/>
          <w:szCs w:val="18"/>
          <w:b w:val="1"/>
          <w:bCs w:val="1"/>
          <w:color w:val="auto"/>
        </w:rPr>
        <w:t>76-0582150</w:t>
      </w:r>
    </w:p>
    <w:p>
      <w:pPr>
        <w:spacing w:after="0" w:line="27" w:lineRule="exact"/>
        <w:rPr>
          <w:sz w:val="24"/>
          <w:szCs w:val="24"/>
          <w:color w:val="auto"/>
        </w:rPr>
      </w:pPr>
    </w:p>
    <w:p>
      <w:pPr>
        <w:jc w:val="center"/>
        <w:ind w:right="560"/>
        <w:spacing w:after="0"/>
        <w:rPr>
          <w:sz w:val="20"/>
          <w:szCs w:val="20"/>
          <w:color w:val="auto"/>
        </w:rPr>
      </w:pPr>
      <w:r>
        <w:rPr>
          <w:rFonts w:ascii="Arial" w:cs="Arial" w:eastAsia="Arial" w:hAnsi="Arial"/>
          <w:sz w:val="17"/>
          <w:szCs w:val="17"/>
          <w:color w:val="auto"/>
        </w:rPr>
        <w:t>(IRS Employer Identification No.)</w:t>
      </w:r>
    </w:p>
    <w:p>
      <w:pPr>
        <w:spacing w:after="0" w:line="21" w:lineRule="exact"/>
        <w:rPr>
          <w:sz w:val="24"/>
          <w:szCs w:val="24"/>
          <w:color w:val="auto"/>
        </w:rPr>
      </w:pPr>
    </w:p>
    <w:p>
      <w:pPr>
        <w:sectPr>
          <w:pgSz w:w="11900" w:h="16838" w:orient="portrait"/>
          <w:cols w:equalWidth="0" w:num="3">
            <w:col w:w="4020" w:space="720"/>
            <w:col w:w="2920" w:space="720"/>
            <w:col w:w="3040"/>
          </w:cols>
          <w:pgMar w:left="240" w:top="585" w:right="239" w:bottom="0" w:gutter="0" w:footer="0" w:header="0"/>
          <w:type w:val="continuous"/>
        </w:sectPr>
      </w:pPr>
    </w:p>
    <w:p>
      <w:pPr>
        <w:ind w:left="1320"/>
        <w:spacing w:after="0"/>
        <w:rPr>
          <w:sz w:val="20"/>
          <w:szCs w:val="20"/>
          <w:color w:val="auto"/>
        </w:rPr>
      </w:pPr>
      <w:r>
        <w:rPr>
          <w:rFonts w:ascii="Arial" w:cs="Arial" w:eastAsia="Arial" w:hAnsi="Arial"/>
          <w:sz w:val="18"/>
          <w:szCs w:val="18"/>
          <w:color w:val="auto"/>
        </w:rPr>
        <w:t>incorporation)</w:t>
      </w:r>
    </w:p>
    <w:p>
      <w:pPr>
        <w:spacing w:after="0" w:line="207" w:lineRule="exact"/>
        <w:rPr>
          <w:sz w:val="24"/>
          <w:szCs w:val="24"/>
          <w:color w:val="auto"/>
        </w:rPr>
      </w:pPr>
    </w:p>
    <w:p>
      <w:pPr>
        <w:ind w:left="3800"/>
        <w:spacing w:after="0"/>
        <w:rPr>
          <w:sz w:val="20"/>
          <w:szCs w:val="20"/>
          <w:color w:val="auto"/>
        </w:rPr>
      </w:pPr>
      <w:r>
        <w:rPr>
          <w:rFonts w:ascii="Arial" w:cs="Arial" w:eastAsia="Arial" w:hAnsi="Arial"/>
          <w:sz w:val="16"/>
          <w:szCs w:val="16"/>
          <w:b w:val="1"/>
          <w:bCs w:val="1"/>
          <w:color w:val="auto"/>
        </w:rPr>
        <w:t>333 Clay Street, Suite 1600, Houston, Texas 77002</w:t>
      </w:r>
    </w:p>
    <w:p>
      <w:pPr>
        <w:spacing w:after="0" w:line="50" w:lineRule="exact"/>
        <w:rPr>
          <w:sz w:val="24"/>
          <w:szCs w:val="24"/>
          <w:color w:val="auto"/>
        </w:rPr>
      </w:pPr>
    </w:p>
    <w:p>
      <w:pPr>
        <w:ind w:left="3860"/>
        <w:spacing w:after="0"/>
        <w:rPr>
          <w:sz w:val="20"/>
          <w:szCs w:val="20"/>
          <w:color w:val="auto"/>
        </w:rPr>
      </w:pPr>
      <w:r>
        <w:rPr>
          <w:rFonts w:ascii="Arial" w:cs="Arial" w:eastAsia="Arial" w:hAnsi="Arial"/>
          <w:sz w:val="16"/>
          <w:szCs w:val="16"/>
          <w:color w:val="auto"/>
        </w:rPr>
        <w:t>(Address of principal executive offices) (Zip Code)</w:t>
      </w:r>
    </w:p>
    <w:p>
      <w:pPr>
        <w:spacing w:after="0" w:line="230"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713-646-4100</w:t>
      </w:r>
    </w:p>
    <w:p>
      <w:pPr>
        <w:spacing w:after="0" w:line="27" w:lineRule="exact"/>
        <w:rPr>
          <w:sz w:val="24"/>
          <w:szCs w:val="24"/>
          <w:color w:val="auto"/>
        </w:rPr>
      </w:pPr>
    </w:p>
    <w:p>
      <w:pPr>
        <w:jc w:val="center"/>
        <w:spacing w:after="0"/>
        <w:rPr>
          <w:sz w:val="20"/>
          <w:szCs w:val="20"/>
          <w:color w:val="auto"/>
        </w:rPr>
      </w:pPr>
      <w:r>
        <w:rPr>
          <w:rFonts w:ascii="Arial" w:cs="Arial" w:eastAsia="Arial" w:hAnsi="Arial"/>
          <w:sz w:val="16"/>
          <w:szCs w:val="16"/>
          <w:color w:val="auto"/>
        </w:rPr>
        <w:t>(Registrant’s telephone number, including area code)</w:t>
      </w:r>
    </w:p>
    <w:p>
      <w:pPr>
        <w:sectPr>
          <w:pgSz w:w="11900" w:h="16838" w:orient="portrait"/>
          <w:cols w:equalWidth="0" w:num="1">
            <w:col w:w="11420"/>
          </w:cols>
          <w:pgMar w:left="240" w:top="585" w:right="239" w:bottom="0" w:gutter="0" w:footer="0" w:header="0"/>
          <w:type w:val="continuous"/>
        </w:sectPr>
      </w:pPr>
    </w:p>
    <w:p>
      <w:pPr>
        <w:spacing w:after="0" w:line="200" w:lineRule="exact"/>
        <w:rPr>
          <w:sz w:val="24"/>
          <w:szCs w:val="24"/>
          <w:color w:val="auto"/>
        </w:rPr>
      </w:pPr>
    </w:p>
    <w:p>
      <w:pPr>
        <w:spacing w:after="0" w:line="250"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(Former name or former address, if changed since last report.)</w:t>
      </w:r>
    </w:p>
    <w:p>
      <w:pPr>
        <w:spacing w:after="0" w:line="225" w:lineRule="exact"/>
        <w:rPr>
          <w:sz w:val="24"/>
          <w:szCs w:val="24"/>
          <w:color w:val="auto"/>
        </w:rPr>
      </w:pPr>
    </w:p>
    <w:p>
      <w:pPr>
        <w:ind w:right="120"/>
        <w:spacing w:after="0" w:line="277" w:lineRule="auto"/>
        <w:rPr>
          <w:sz w:val="20"/>
          <w:szCs w:val="20"/>
          <w:color w:val="auto"/>
        </w:rPr>
      </w:pPr>
      <w:r>
        <w:rPr>
          <w:rFonts w:ascii="Arial" w:cs="Arial" w:eastAsia="Arial" w:hAnsi="Arial"/>
          <w:sz w:val="18"/>
          <w:szCs w:val="18"/>
          <w:color w:val="auto"/>
        </w:rPr>
        <w:t>Check the appropriate box below if the Form 8-K filing is intended to simultaneously satisfy the filing obligation of the registrant under any of the following provisions:</w:t>
      </w:r>
    </w:p>
    <w:p>
      <w:pPr>
        <w:spacing w:after="0" w:line="170" w:lineRule="exact"/>
        <w:rPr>
          <w:sz w:val="24"/>
          <w:szCs w:val="24"/>
          <w:color w:val="auto"/>
        </w:rPr>
      </w:pPr>
    </w:p>
    <w:p>
      <w:pPr>
        <w:ind w:left="580" w:hanging="572"/>
        <w:spacing w:after="0"/>
        <w:tabs>
          <w:tab w:leader="none" w:pos="580" w:val="left"/>
        </w:tabs>
        <w:numPr>
          <w:ilvl w:val="0"/>
          <w:numId w:val="1"/>
        </w:numPr>
        <w:rPr>
          <w:rFonts w:ascii="Arial" w:cs="Arial" w:eastAsia="Arial" w:hAnsi="Arial"/>
          <w:sz w:val="18"/>
          <w:szCs w:val="18"/>
          <w:color w:val="auto"/>
        </w:rPr>
      </w:pPr>
      <w:r>
        <w:rPr>
          <w:rFonts w:ascii="Arial" w:cs="Arial" w:eastAsia="Arial" w:hAnsi="Arial"/>
          <w:sz w:val="18"/>
          <w:szCs w:val="18"/>
          <w:color w:val="auto"/>
        </w:rPr>
        <w:t>Written communications pursuant to Rule 425 under the Securities Act (17 CFR 230.425)</w:t>
      </w:r>
    </w:p>
    <w:p>
      <w:pPr>
        <w:spacing w:after="0" w:line="225" w:lineRule="exact"/>
        <w:rPr>
          <w:rFonts w:ascii="Arial" w:cs="Arial" w:eastAsia="Arial" w:hAnsi="Arial"/>
          <w:sz w:val="18"/>
          <w:szCs w:val="18"/>
          <w:color w:val="auto"/>
        </w:rPr>
      </w:pPr>
    </w:p>
    <w:p>
      <w:pPr>
        <w:ind w:left="580" w:hanging="572"/>
        <w:spacing w:after="0"/>
        <w:tabs>
          <w:tab w:leader="none" w:pos="580" w:val="left"/>
        </w:tabs>
        <w:numPr>
          <w:ilvl w:val="0"/>
          <w:numId w:val="1"/>
        </w:numPr>
        <w:rPr>
          <w:rFonts w:ascii="Arial" w:cs="Arial" w:eastAsia="Arial" w:hAnsi="Arial"/>
          <w:sz w:val="18"/>
          <w:szCs w:val="18"/>
          <w:color w:val="auto"/>
        </w:rPr>
      </w:pPr>
      <w:r>
        <w:rPr>
          <w:rFonts w:ascii="Arial" w:cs="Arial" w:eastAsia="Arial" w:hAnsi="Arial"/>
          <w:sz w:val="18"/>
          <w:szCs w:val="18"/>
          <w:color w:val="auto"/>
        </w:rPr>
        <w:t>Soliciting material pursuant to Rule 14a-12 under the Exchange Act (17 CFR 240.14a-12)</w:t>
      </w:r>
    </w:p>
    <w:p>
      <w:pPr>
        <w:spacing w:after="0" w:line="225" w:lineRule="exact"/>
        <w:rPr>
          <w:rFonts w:ascii="Arial" w:cs="Arial" w:eastAsia="Arial" w:hAnsi="Arial"/>
          <w:sz w:val="18"/>
          <w:szCs w:val="18"/>
          <w:color w:val="auto"/>
        </w:rPr>
      </w:pPr>
    </w:p>
    <w:p>
      <w:pPr>
        <w:ind w:left="580" w:hanging="572"/>
        <w:spacing w:after="0"/>
        <w:tabs>
          <w:tab w:leader="none" w:pos="580" w:val="left"/>
        </w:tabs>
        <w:numPr>
          <w:ilvl w:val="0"/>
          <w:numId w:val="1"/>
        </w:numPr>
        <w:rPr>
          <w:rFonts w:ascii="Arial" w:cs="Arial" w:eastAsia="Arial" w:hAnsi="Arial"/>
          <w:sz w:val="18"/>
          <w:szCs w:val="18"/>
          <w:color w:val="auto"/>
        </w:rPr>
      </w:pPr>
      <w:r>
        <w:rPr>
          <w:rFonts w:ascii="Arial" w:cs="Arial" w:eastAsia="Arial" w:hAnsi="Arial"/>
          <w:sz w:val="18"/>
          <w:szCs w:val="18"/>
          <w:color w:val="auto"/>
        </w:rPr>
        <w:t>Pre-commencement communications pursuant to Rule 14d-2(b) under the Exchange Act (17 CFR 240.14d-2(b))</w:t>
      </w:r>
    </w:p>
    <w:p>
      <w:pPr>
        <w:spacing w:after="0" w:line="225" w:lineRule="exact"/>
        <w:rPr>
          <w:rFonts w:ascii="Arial" w:cs="Arial" w:eastAsia="Arial" w:hAnsi="Arial"/>
          <w:sz w:val="18"/>
          <w:szCs w:val="18"/>
          <w:color w:val="auto"/>
        </w:rPr>
      </w:pPr>
    </w:p>
    <w:p>
      <w:pPr>
        <w:ind w:left="580" w:hanging="572"/>
        <w:spacing w:after="0"/>
        <w:tabs>
          <w:tab w:leader="none" w:pos="580" w:val="left"/>
        </w:tabs>
        <w:numPr>
          <w:ilvl w:val="0"/>
          <w:numId w:val="1"/>
        </w:numPr>
        <w:rPr>
          <w:rFonts w:ascii="Arial" w:cs="Arial" w:eastAsia="Arial" w:hAnsi="Arial"/>
          <w:sz w:val="18"/>
          <w:szCs w:val="18"/>
          <w:color w:val="auto"/>
        </w:rPr>
      </w:pPr>
      <w:r>
        <w:rPr>
          <w:rFonts w:ascii="Arial" w:cs="Arial" w:eastAsia="Arial" w:hAnsi="Arial"/>
          <w:sz w:val="18"/>
          <w:szCs w:val="18"/>
          <w:color w:val="auto"/>
        </w:rPr>
        <w:t>Pre-commencement communications pursuant to Rule 13e-4(c) under the Exchange Act (17 CFR 240.13e-4(c))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152400</wp:posOffset>
            </wp:positionV>
            <wp:extent cx="7246620" cy="342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246620" cy="342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220980</wp:posOffset>
            </wp:positionV>
            <wp:extent cx="7246620" cy="342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46620" cy="342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458470</wp:posOffset>
            </wp:positionV>
            <wp:extent cx="7267575" cy="215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267575" cy="21590"/>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82" w:lineRule="exact"/>
        <w:rPr>
          <w:sz w:val="24"/>
          <w:szCs w:val="24"/>
          <w:color w:val="auto"/>
        </w:rPr>
      </w:pPr>
    </w:p>
    <w:p>
      <w:pPr>
        <w:spacing w:after="0"/>
        <w:tabs>
          <w:tab w:leader="none" w:pos="1380" w:val="left"/>
        </w:tabs>
        <w:rPr>
          <w:sz w:val="20"/>
          <w:szCs w:val="20"/>
          <w:color w:val="auto"/>
        </w:rPr>
      </w:pPr>
      <w:r>
        <w:rPr>
          <w:rFonts w:ascii="Arial" w:cs="Arial" w:eastAsia="Arial" w:hAnsi="Arial"/>
          <w:sz w:val="18"/>
          <w:szCs w:val="18"/>
          <w:b w:val="1"/>
          <w:bCs w:val="1"/>
          <w:color w:val="auto"/>
        </w:rPr>
        <w:t>Item 7.01.</w:t>
      </w:r>
      <w:r>
        <w:rPr>
          <w:sz w:val="20"/>
          <w:szCs w:val="20"/>
          <w:color w:val="auto"/>
        </w:rPr>
        <w:tab/>
      </w:r>
      <w:r>
        <w:rPr>
          <w:rFonts w:ascii="Arial" w:cs="Arial" w:eastAsia="Arial" w:hAnsi="Arial"/>
          <w:sz w:val="16"/>
          <w:szCs w:val="16"/>
          <w:b w:val="1"/>
          <w:bCs w:val="1"/>
          <w:color w:val="auto"/>
        </w:rPr>
        <w:t>Regulation FD Disclosure</w:t>
      </w:r>
    </w:p>
    <w:p>
      <w:pPr>
        <w:spacing w:after="0" w:line="229" w:lineRule="exact"/>
        <w:rPr>
          <w:sz w:val="24"/>
          <w:szCs w:val="24"/>
          <w:color w:val="auto"/>
        </w:rPr>
      </w:pPr>
    </w:p>
    <w:p>
      <w:pPr>
        <w:jc w:val="both"/>
        <w:ind w:right="260" w:firstLine="648"/>
        <w:spacing w:after="0" w:line="264" w:lineRule="auto"/>
        <w:rPr>
          <w:sz w:val="20"/>
          <w:szCs w:val="20"/>
          <w:color w:val="auto"/>
        </w:rPr>
      </w:pPr>
      <w:r>
        <w:rPr>
          <w:rFonts w:ascii="Arial" w:cs="Arial" w:eastAsia="Arial" w:hAnsi="Arial"/>
          <w:sz w:val="18"/>
          <w:szCs w:val="18"/>
          <w:color w:val="auto"/>
        </w:rPr>
        <w:t>In accordance with General Instruction B.2. of Form 8-K, the following information shall not be deemed “filed” for purposes of Section 18 of the Securities Exchange Act of 1934, as amended, nor shall it be deemed incorporated by reference in any filing under the Securities Act of 1933, as amended, except as shall be expressly set forth by specific reference in such a filing.</w:t>
      </w:r>
    </w:p>
    <w:p>
      <w:pPr>
        <w:spacing w:after="0" w:line="181" w:lineRule="exact"/>
        <w:rPr>
          <w:sz w:val="24"/>
          <w:szCs w:val="24"/>
          <w:color w:val="auto"/>
        </w:rPr>
      </w:pPr>
    </w:p>
    <w:p>
      <w:pPr>
        <w:ind w:right="20" w:firstLine="648"/>
        <w:spacing w:after="0" w:line="276" w:lineRule="auto"/>
        <w:rPr>
          <w:sz w:val="20"/>
          <w:szCs w:val="20"/>
          <w:color w:val="auto"/>
        </w:rPr>
      </w:pPr>
      <w:r>
        <w:rPr>
          <w:rFonts w:ascii="Arial" w:cs="Arial" w:eastAsia="Arial" w:hAnsi="Arial"/>
          <w:sz w:val="17"/>
          <w:szCs w:val="17"/>
          <w:color w:val="auto"/>
        </w:rPr>
        <w:t>Representatives of Plains All American Pipeline, L.P. (“PAA”) intend to make a presentation at The Master Limited Partnership Investor Conference in New York, New York on March 9, 2006. Such presentation will give an overview of PAA, including financial position, industry fundamentals and PAA’s business plan. On the morning of March 9, 2006, the prepared presentation materials will be made available for viewing on the Partnership’s website at www.PAALP.com. PAA does not undertake to update the information as posted on its website; however, it may post additional information included in future press releases and Forms 8-K, as well as posting its periodic Exchange Act reports.</w:t>
      </w:r>
    </w:p>
    <w:p>
      <w:pPr>
        <w:spacing w:after="0" w:line="169"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SIGNATURES</w:t>
      </w:r>
    </w:p>
    <w:p>
      <w:pPr>
        <w:spacing w:after="0" w:line="229" w:lineRule="exact"/>
        <w:rPr>
          <w:sz w:val="24"/>
          <w:szCs w:val="24"/>
          <w:color w:val="auto"/>
        </w:rPr>
      </w:pPr>
    </w:p>
    <w:p>
      <w:pPr>
        <w:ind w:right="480" w:firstLine="648"/>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hereunto duly authorized.</w:t>
      </w:r>
    </w:p>
    <w:p>
      <w:pPr>
        <w:spacing w:after="0" w:line="170" w:lineRule="exact"/>
        <w:rPr>
          <w:sz w:val="24"/>
          <w:szCs w:val="24"/>
          <w:color w:val="auto"/>
        </w:rPr>
      </w:pPr>
    </w:p>
    <w:tbl>
      <w:tblPr>
        <w:tblLayout w:type="fixed"/>
        <w:tblInd w:w="0" w:type="dxa"/>
        <w:tblCellMar>
          <w:top w:w="0" w:type="dxa"/>
          <w:left w:w="0" w:type="dxa"/>
          <w:bottom w:w="0" w:type="dxa"/>
          <w:right w:w="0" w:type="dxa"/>
        </w:tblCellMar>
      </w:tblPr>
      <w:tr>
        <w:trPr>
          <w:trHeight w:val="230"/>
        </w:trPr>
        <w:tc>
          <w:tcPr>
            <w:tcW w:w="3340" w:type="dxa"/>
            <w:vAlign w:val="bottom"/>
          </w:tcPr>
          <w:p>
            <w:pPr>
              <w:spacing w:after="0"/>
              <w:rPr>
                <w:sz w:val="20"/>
                <w:szCs w:val="20"/>
                <w:color w:val="auto"/>
              </w:rPr>
            </w:pPr>
          </w:p>
        </w:tc>
        <w:tc>
          <w:tcPr>
            <w:tcW w:w="8080" w:type="dxa"/>
            <w:vAlign w:val="bottom"/>
            <w:gridSpan w:val="3"/>
          </w:tcPr>
          <w:p>
            <w:pPr>
              <w:ind w:left="1860"/>
              <w:spacing w:after="0"/>
              <w:rPr>
                <w:sz w:val="20"/>
                <w:szCs w:val="20"/>
                <w:color w:val="auto"/>
              </w:rPr>
            </w:pPr>
            <w:r>
              <w:rPr>
                <w:rFonts w:ascii="Arial" w:cs="Arial" w:eastAsia="Arial" w:hAnsi="Arial"/>
                <w:sz w:val="18"/>
                <w:szCs w:val="18"/>
                <w:color w:val="auto"/>
              </w:rPr>
              <w:t>PLAINS ALL AMERICAN PIPELINE, L.P.</w:t>
            </w:r>
          </w:p>
        </w:tc>
      </w:tr>
      <w:tr>
        <w:trPr>
          <w:trHeight w:val="432"/>
        </w:trPr>
        <w:tc>
          <w:tcPr>
            <w:tcW w:w="3340" w:type="dxa"/>
            <w:vAlign w:val="bottom"/>
          </w:tcPr>
          <w:p>
            <w:pPr>
              <w:spacing w:after="0"/>
              <w:rPr>
                <w:sz w:val="20"/>
                <w:szCs w:val="20"/>
                <w:color w:val="auto"/>
              </w:rPr>
            </w:pPr>
            <w:r>
              <w:rPr>
                <w:rFonts w:ascii="Arial" w:cs="Arial" w:eastAsia="Arial" w:hAnsi="Arial"/>
                <w:sz w:val="18"/>
                <w:szCs w:val="18"/>
                <w:color w:val="auto"/>
              </w:rPr>
              <w:t>Date: March 8, 2006</w:t>
            </w:r>
          </w:p>
        </w:tc>
        <w:tc>
          <w:tcPr>
            <w:tcW w:w="2220" w:type="dxa"/>
            <w:vAlign w:val="bottom"/>
          </w:tcPr>
          <w:p>
            <w:pPr>
              <w:ind w:left="1860"/>
              <w:spacing w:after="0"/>
              <w:rPr>
                <w:sz w:val="20"/>
                <w:szCs w:val="20"/>
                <w:color w:val="auto"/>
              </w:rPr>
            </w:pPr>
            <w:r>
              <w:rPr>
                <w:rFonts w:ascii="Arial" w:cs="Arial" w:eastAsia="Arial" w:hAnsi="Arial"/>
                <w:sz w:val="18"/>
                <w:szCs w:val="18"/>
                <w:color w:val="auto"/>
              </w:rPr>
              <w:t>By:</w:t>
            </w:r>
          </w:p>
        </w:tc>
        <w:tc>
          <w:tcPr>
            <w:tcW w:w="380" w:type="dxa"/>
            <w:vAlign w:val="bottom"/>
          </w:tcPr>
          <w:p>
            <w:pPr>
              <w:spacing w:after="0"/>
              <w:rPr>
                <w:sz w:val="24"/>
                <w:szCs w:val="24"/>
                <w:color w:val="auto"/>
              </w:rPr>
            </w:pPr>
          </w:p>
        </w:tc>
        <w:tc>
          <w:tcPr>
            <w:tcW w:w="5480" w:type="dxa"/>
            <w:vAlign w:val="bottom"/>
          </w:tcPr>
          <w:p>
            <w:pPr>
              <w:spacing w:after="0"/>
              <w:rPr>
                <w:sz w:val="20"/>
                <w:szCs w:val="20"/>
                <w:color w:val="auto"/>
              </w:rPr>
            </w:pPr>
            <w:r>
              <w:rPr>
                <w:rFonts w:ascii="Arial" w:cs="Arial" w:eastAsia="Arial" w:hAnsi="Arial"/>
                <w:sz w:val="18"/>
                <w:szCs w:val="18"/>
                <w:color w:val="auto"/>
              </w:rPr>
              <w:t>Plains AAP, L.P., its general partner</w:t>
            </w:r>
          </w:p>
        </w:tc>
      </w:tr>
      <w:tr>
        <w:trPr>
          <w:trHeight w:val="432"/>
        </w:trPr>
        <w:tc>
          <w:tcPr>
            <w:tcW w:w="3340" w:type="dxa"/>
            <w:vAlign w:val="bottom"/>
          </w:tcPr>
          <w:p>
            <w:pPr>
              <w:spacing w:after="0"/>
              <w:rPr>
                <w:sz w:val="24"/>
                <w:szCs w:val="24"/>
                <w:color w:val="auto"/>
              </w:rPr>
            </w:pPr>
          </w:p>
        </w:tc>
        <w:tc>
          <w:tcPr>
            <w:tcW w:w="2220" w:type="dxa"/>
            <w:vAlign w:val="bottom"/>
          </w:tcPr>
          <w:p>
            <w:pPr>
              <w:ind w:left="1860"/>
              <w:spacing w:after="0"/>
              <w:rPr>
                <w:sz w:val="20"/>
                <w:szCs w:val="20"/>
                <w:color w:val="auto"/>
              </w:rPr>
            </w:pPr>
            <w:r>
              <w:rPr>
                <w:rFonts w:ascii="Arial" w:cs="Arial" w:eastAsia="Arial" w:hAnsi="Arial"/>
                <w:sz w:val="18"/>
                <w:szCs w:val="18"/>
                <w:color w:val="auto"/>
              </w:rPr>
              <w:t>By:</w:t>
            </w:r>
          </w:p>
        </w:tc>
        <w:tc>
          <w:tcPr>
            <w:tcW w:w="380" w:type="dxa"/>
            <w:vAlign w:val="bottom"/>
          </w:tcPr>
          <w:p>
            <w:pPr>
              <w:spacing w:after="0"/>
              <w:rPr>
                <w:sz w:val="24"/>
                <w:szCs w:val="24"/>
                <w:color w:val="auto"/>
              </w:rPr>
            </w:pPr>
          </w:p>
        </w:tc>
        <w:tc>
          <w:tcPr>
            <w:tcW w:w="5480" w:type="dxa"/>
            <w:vAlign w:val="bottom"/>
          </w:tcPr>
          <w:p>
            <w:pPr>
              <w:spacing w:after="0"/>
              <w:rPr>
                <w:sz w:val="20"/>
                <w:szCs w:val="20"/>
                <w:color w:val="auto"/>
              </w:rPr>
            </w:pPr>
            <w:r>
              <w:rPr>
                <w:rFonts w:ascii="Arial" w:cs="Arial" w:eastAsia="Arial" w:hAnsi="Arial"/>
                <w:sz w:val="18"/>
                <w:szCs w:val="18"/>
                <w:color w:val="auto"/>
              </w:rPr>
              <w:t>Plains All American GP LLC, its general partner</w:t>
            </w:r>
          </w:p>
        </w:tc>
      </w:tr>
      <w:tr>
        <w:trPr>
          <w:trHeight w:val="432"/>
        </w:trPr>
        <w:tc>
          <w:tcPr>
            <w:tcW w:w="3340" w:type="dxa"/>
            <w:vAlign w:val="bottom"/>
          </w:tcPr>
          <w:p>
            <w:pPr>
              <w:spacing w:after="0"/>
              <w:rPr>
                <w:sz w:val="24"/>
                <w:szCs w:val="24"/>
                <w:color w:val="auto"/>
              </w:rPr>
            </w:pPr>
          </w:p>
        </w:tc>
        <w:tc>
          <w:tcPr>
            <w:tcW w:w="2220" w:type="dxa"/>
            <w:vAlign w:val="bottom"/>
          </w:tcPr>
          <w:p>
            <w:pPr>
              <w:ind w:left="1860"/>
              <w:spacing w:after="0"/>
              <w:rPr>
                <w:sz w:val="20"/>
                <w:szCs w:val="20"/>
                <w:color w:val="auto"/>
              </w:rPr>
            </w:pPr>
            <w:r>
              <w:rPr>
                <w:rFonts w:ascii="Arial" w:cs="Arial" w:eastAsia="Arial" w:hAnsi="Arial"/>
                <w:sz w:val="18"/>
                <w:szCs w:val="18"/>
                <w:color w:val="auto"/>
              </w:rPr>
              <w:t>By:</w:t>
            </w:r>
          </w:p>
        </w:tc>
        <w:tc>
          <w:tcPr>
            <w:tcW w:w="380" w:type="dxa"/>
            <w:vAlign w:val="bottom"/>
          </w:tcPr>
          <w:p>
            <w:pPr>
              <w:spacing w:after="0"/>
              <w:rPr>
                <w:sz w:val="24"/>
                <w:szCs w:val="24"/>
                <w:color w:val="auto"/>
              </w:rPr>
            </w:pPr>
          </w:p>
        </w:tc>
        <w:tc>
          <w:tcPr>
            <w:tcW w:w="548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TIM MOORE</w:t>
            </w:r>
          </w:p>
        </w:tc>
      </w:tr>
      <w:tr>
        <w:trPr>
          <w:trHeight w:val="195"/>
        </w:trPr>
        <w:tc>
          <w:tcPr>
            <w:tcW w:w="3340" w:type="dxa"/>
            <w:vAlign w:val="bottom"/>
          </w:tcPr>
          <w:p>
            <w:pPr>
              <w:spacing w:after="0"/>
              <w:rPr>
                <w:sz w:val="16"/>
                <w:szCs w:val="16"/>
                <w:color w:val="auto"/>
              </w:rPr>
            </w:pPr>
          </w:p>
        </w:tc>
        <w:tc>
          <w:tcPr>
            <w:tcW w:w="222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5480" w:type="dxa"/>
            <w:vAlign w:val="bottom"/>
          </w:tcPr>
          <w:p>
            <w:pPr>
              <w:spacing w:after="0" w:line="195" w:lineRule="exact"/>
              <w:rPr>
                <w:sz w:val="20"/>
                <w:szCs w:val="20"/>
                <w:color w:val="auto"/>
              </w:rPr>
            </w:pPr>
            <w:r>
              <w:rPr>
                <w:rFonts w:ascii="Arial" w:cs="Arial" w:eastAsia="Arial" w:hAnsi="Arial"/>
                <w:sz w:val="18"/>
                <w:szCs w:val="18"/>
                <w:color w:val="auto"/>
              </w:rPr>
              <w:t>Name: Tim Moore</w:t>
            </w:r>
          </w:p>
        </w:tc>
      </w:tr>
      <w:tr>
        <w:trPr>
          <w:trHeight w:val="230"/>
        </w:trPr>
        <w:tc>
          <w:tcPr>
            <w:tcW w:w="3340" w:type="dxa"/>
            <w:vAlign w:val="bottom"/>
          </w:tcPr>
          <w:p>
            <w:pPr>
              <w:spacing w:after="0"/>
              <w:rPr>
                <w:sz w:val="20"/>
                <w:szCs w:val="20"/>
                <w:color w:val="auto"/>
              </w:rPr>
            </w:pPr>
          </w:p>
        </w:tc>
        <w:tc>
          <w:tcPr>
            <w:tcW w:w="222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5480" w:type="dxa"/>
            <w:vAlign w:val="bottom"/>
          </w:tcPr>
          <w:p>
            <w:pPr>
              <w:spacing w:after="0"/>
              <w:rPr>
                <w:sz w:val="20"/>
                <w:szCs w:val="20"/>
                <w:color w:val="auto"/>
              </w:rPr>
            </w:pPr>
            <w:r>
              <w:rPr>
                <w:rFonts w:ascii="Arial" w:cs="Arial" w:eastAsia="Arial" w:hAnsi="Arial"/>
                <w:sz w:val="18"/>
                <w:szCs w:val="18"/>
                <w:color w:val="auto"/>
              </w:rPr>
              <w:t>Title:Vice President</w:t>
            </w:r>
          </w:p>
        </w:tc>
      </w:tr>
      <w:tr>
        <w:trPr>
          <w:trHeight w:val="432"/>
        </w:trPr>
        <w:tc>
          <w:tcPr>
            <w:tcW w:w="3340" w:type="dxa"/>
            <w:vAlign w:val="bottom"/>
          </w:tcPr>
          <w:p>
            <w:pPr>
              <w:spacing w:after="0"/>
              <w:rPr>
                <w:sz w:val="24"/>
                <w:szCs w:val="24"/>
                <w:color w:val="auto"/>
              </w:rPr>
            </w:pPr>
          </w:p>
        </w:tc>
        <w:tc>
          <w:tcPr>
            <w:tcW w:w="2220" w:type="dxa"/>
            <w:vAlign w:val="bottom"/>
          </w:tcPr>
          <w:p>
            <w:pPr>
              <w:spacing w:after="0"/>
              <w:rPr>
                <w:sz w:val="24"/>
                <w:szCs w:val="24"/>
                <w:color w:val="auto"/>
              </w:rPr>
            </w:pPr>
          </w:p>
        </w:tc>
        <w:tc>
          <w:tcPr>
            <w:tcW w:w="380" w:type="dxa"/>
            <w:vAlign w:val="bottom"/>
          </w:tcPr>
          <w:p>
            <w:pPr>
              <w:jc w:val="right"/>
              <w:ind w:right="90"/>
              <w:spacing w:after="0"/>
              <w:rPr>
                <w:sz w:val="20"/>
                <w:szCs w:val="20"/>
                <w:color w:val="auto"/>
              </w:rPr>
            </w:pPr>
            <w:r>
              <w:rPr>
                <w:rFonts w:ascii="Arial" w:cs="Arial" w:eastAsia="Arial" w:hAnsi="Arial"/>
                <w:sz w:val="18"/>
                <w:szCs w:val="18"/>
                <w:color w:val="auto"/>
              </w:rPr>
              <w:t>2</w:t>
            </w:r>
          </w:p>
        </w:tc>
        <w:tc>
          <w:tcPr>
            <w:tcW w:w="5480" w:type="dxa"/>
            <w:vAlign w:val="bottom"/>
          </w:tcPr>
          <w:p>
            <w:pPr>
              <w:spacing w:after="0"/>
              <w:rPr>
                <w:sz w:val="24"/>
                <w:szCs w:val="24"/>
                <w:color w:val="auto"/>
              </w:rPr>
            </w:pPr>
          </w:p>
        </w:tc>
      </w:tr>
    </w:tbl>
    <w:p>
      <w:pPr>
        <w:sectPr>
          <w:pgSz w:w="11900" w:h="16838" w:orient="portrait"/>
          <w:cols w:equalWidth="0" w:num="1">
            <w:col w:w="11420"/>
          </w:cols>
          <w:pgMar w:left="240" w:top="585" w:right="239" w:bottom="0" w:gutter="0" w:footer="0" w:header="0"/>
          <w:type w:val="continuous"/>
        </w:sectPr>
      </w:pPr>
    </w:p>
    <w:bookmarkStart w:id="1" w:name="page2"/>
    <w:bookmarkEnd w:id="1"/>
    <w:p>
      <w:pPr>
        <w:spacing w:after="0" w:line="1"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1905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267575" cy="19050"/>
                    </a:xfrm>
                    <a:prstGeom prst="rect">
                      <a:avLst/>
                    </a:prstGeom>
                    <a:noFill/>
                  </pic:spPr>
                </pic:pic>
              </a:graphicData>
            </a:graphic>
          </wp:anchor>
        </w:drawing>
      </w:r>
    </w:p>
    <w:sectPr>
      <w:pgSz w:w="11900" w:h="16838" w:orient="portrait"/>
      <w:cols w:equalWidth="1" w:num="1" w:space="0"/>
      <w:pgMar w:left="1440" w:top="1440" w:right="1440" w:bottom="875"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327B23C6"/>
    <w:multiLevelType w:val="hybridMultilevel"/>
    <w:lvl w:ilvl="0">
      <w:lvlJc w:val="left"/>
      <w:lvlText w:val="o"/>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2020-02-08T02:39:35Z</dcterms:created>
  <dcterms:modified xsi:type="dcterms:W3CDTF">2020-02-08T02:39:35Z</dcterms:modified>
</cp:coreProperties>
</file>