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4220" w:type="dxa"/>
            <w:vAlign w:val="bottom"/>
          </w:tcPr>
          <w:p>
            <w:pPr>
              <w:jc w:val="center"/>
              <w:ind w:right="22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center"/>
              <w:ind w:right="1102"/>
              <w:spacing w:after="0"/>
              <w:rPr>
                <w:sz w:val="20"/>
                <w:szCs w:val="20"/>
                <w:color w:val="auto"/>
              </w:rPr>
            </w:pPr>
            <w:r>
              <w:rPr>
                <w:rFonts w:ascii="Arial" w:cs="Arial" w:eastAsia="Arial" w:hAnsi="Arial"/>
                <w:sz w:val="18"/>
                <w:szCs w:val="18"/>
                <w:b w:val="1"/>
                <w:bCs w:val="1"/>
                <w:color w:val="auto"/>
                <w:w w:val="90"/>
              </w:rPr>
              <w:t>1-14569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76-0582150</w:t>
            </w:r>
          </w:p>
        </w:tc>
      </w:tr>
      <w:tr>
        <w:trPr>
          <w:trHeight w:val="149"/>
        </w:trPr>
        <w:tc>
          <w:tcPr>
            <w:tcW w:w="422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4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incorporation or organization)</w:t>
            </w:r>
          </w:p>
        </w:tc>
        <w:tc>
          <w:tcPr>
            <w:tcW w:w="24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220" w:type="dxa"/>
            <w:vAlign w:val="bottom"/>
          </w:tcPr>
          <w:p>
            <w:pPr>
              <w:jc w:val="center"/>
              <w:ind w:left="1359"/>
              <w:spacing w:after="0"/>
              <w:rPr>
                <w:sz w:val="20"/>
                <w:szCs w:val="20"/>
                <w:color w:val="auto"/>
              </w:rPr>
            </w:pPr>
            <w:r>
              <w:rPr>
                <w:rFonts w:ascii="Arial" w:cs="Arial" w:eastAsia="Arial" w:hAnsi="Arial"/>
                <w:sz w:val="18"/>
                <w:szCs w:val="18"/>
                <w:b w:val="1"/>
                <w:bCs w:val="1"/>
                <w:color w:val="auto"/>
                <w:w w:val="90"/>
              </w:rPr>
              <w:t>333 Clay Street, Suite 1600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220" w:type="dxa"/>
            <w:vAlign w:val="bottom"/>
          </w:tcPr>
          <w:p>
            <w:pPr>
              <w:jc w:val="center"/>
              <w:ind w:left="1379"/>
              <w:spacing w:after="0"/>
              <w:rPr>
                <w:sz w:val="20"/>
                <w:szCs w:val="20"/>
                <w:color w:val="auto"/>
              </w:rPr>
            </w:pPr>
            <w:r>
              <w:rPr>
                <w:rFonts w:ascii="Arial" w:cs="Arial" w:eastAsia="Arial" w:hAnsi="Arial"/>
                <w:sz w:val="18"/>
                <w:szCs w:val="18"/>
                <w:b w:val="1"/>
                <w:bCs w:val="1"/>
                <w:color w:val="auto"/>
                <w:w w:val="86"/>
              </w:rPr>
              <w:t>Houston, Texas</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220" w:type="dxa"/>
            <w:vAlign w:val="bottom"/>
          </w:tcPr>
          <w:p>
            <w:pPr>
              <w:jc w:val="center"/>
              <w:ind w:left="1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646-4100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August 17, 2015, Plains All American Pipeline, L.P. (the “Partnership”) and PAA Finance Corp. (“PAA Finance,” and together with the Partnership, the “Issuers”) entered into an underwriting agreement (the “Underwriting Agreement”) with Citigroup Global Markets Inc., Mizuho Securities USA Inc., Mitsubishi UFJ Securities (USA), Inc. and UBS Securities LLC, as representatives of the several underwriters named therein (collectively, the “Underwriters”), relating to the issuance and sale to the Underwriters of $1.0 billion aggregate principal amount of 4.65% Senior Notes due 2025 (the “Notes”), subject to the terms and conditions therein.</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Notes are being offered and sold under the Issuers’ shelf registration statement on Form S-3 (Registration No. 333-184137) filed with the Securities and Exchange Commission on September 27, 2012 (the “Registration Statement”), and are described in a Prospectus Supplement dated August 17, 2015 to the Prospectus dated September 27, 2012, which is included in the Registration Statement.</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Notes will be issued pursuant to a supplemental indenture to be dated August 24, 2015 by and among the Issuers and U.S. Bank National Association (successor to Wachovia Bank, National Association), as trustee (the “Trustee”). The supplemental indenture will be entered into in accordance with the provisions of the Indenture dated September 25, 2002 by and among the Issuers and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closing of the offering of the Notes is expected to occur on August 24, 2015, subject to customary closing conditions.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is filed as Exhibit 1.1 to this Current Report on Form 8-K and is incorporated herein by reference.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84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1.1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1"/>
              </w:rPr>
              <w:t>Underwriting Agreement, dated August 17, 2015, by and among Plains All American Pipeline, L.P., PAA Finance Corp., and Citigroup Global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3"/>
              </w:rPr>
              <w:t>Markets Inc., Mizuho Securities USA Inc., Mitsubishi UFJ Securities (USA), Inc. and UBS Securities LLC, as representatives of the several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underwriters named therein.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5.1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Opinion of Vinson &amp; Elkins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23.1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Consent of Vinson &amp; Elkins L.L.P. (included in Exhibit 5.1).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380" w:type="dxa"/>
            <w:vAlign w:val="bottom"/>
          </w:tcPr>
          <w:p>
            <w:pPr>
              <w:ind w:left="514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McGee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4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84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1.1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1"/>
              </w:rPr>
              <w:t>Underwriting Agreement, dated August 17, 2015, by and among Plains All American Pipeline, L.P., PAA Finance Corp., and Citigroup Global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3"/>
              </w:rPr>
              <w:t>Markets Inc., Mizuho Securities USA Inc., Mitsubishi UFJ Securities (USA), Inc. and UBS Securities LLC, as representatives of the several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underwriters named therein.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5.1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Opinion of Vinson &amp; Elkins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23.1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Consent of Vinson &amp; Elkins L.L.P. (included in Exhibit 5.1).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380" w:type="dxa"/>
            <w:vAlign w:val="bottom"/>
          </w:tcPr>
          <w:p>
            <w:pPr>
              <w:ind w:left="514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FINANCE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$1,000,000,000 4.650% Senior Notes due 2025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August 17,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Mitsubishi UFJ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Plains All American Pipeline,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and PAA Finance Corp., a Delaware corporation (“</w:t>
      </w:r>
      <w:r>
        <w:rPr>
          <w:rFonts w:ascii="Arial" w:cs="Arial" w:eastAsia="Arial" w:hAnsi="Arial"/>
          <w:sz w:val="16"/>
          <w:szCs w:val="16"/>
          <w:b w:val="1"/>
          <w:bCs w:val="1"/>
          <w:color w:val="auto"/>
        </w:rPr>
        <w:t>PAA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w:t>
      </w:r>
      <w:r>
        <w:rPr>
          <w:rFonts w:ascii="Arial" w:cs="Arial" w:eastAsia="Arial" w:hAnsi="Arial"/>
          <w:sz w:val="17"/>
          <w:szCs w:val="17"/>
          <w:color w:val="auto"/>
        </w:rPr>
        <w:t>” and, together with the Partnership, the “</w:t>
      </w:r>
      <w:r>
        <w:rPr>
          <w:rFonts w:ascii="Arial" w:cs="Arial" w:eastAsia="Arial" w:hAnsi="Arial"/>
          <w:sz w:val="17"/>
          <w:szCs w:val="17"/>
          <w:b w:val="1"/>
          <w:bCs w:val="1"/>
          <w:color w:val="auto"/>
        </w:rPr>
        <w:t>Issuers</w:t>
      </w:r>
      <w:r>
        <w:rPr>
          <w:rFonts w:ascii="Arial" w:cs="Arial" w:eastAsia="Arial" w:hAnsi="Arial"/>
          <w:sz w:val="17"/>
          <w:szCs w:val="17"/>
          <w:color w:val="auto"/>
        </w:rPr>
        <w:t>”), propose to issue and sell to the several underwriters named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b w:val="1"/>
          <w:bCs w:val="1"/>
          <w:color w:val="auto"/>
        </w:rPr>
        <w:t xml:space="preserve"> </w:t>
      </w:r>
      <w:r>
        <w:rPr>
          <w:rFonts w:ascii="Arial" w:cs="Arial" w:eastAsia="Arial" w:hAnsi="Arial"/>
          <w:sz w:val="17"/>
          <w:szCs w:val="17"/>
          <w:color w:val="auto"/>
        </w:rPr>
        <w:t>hereto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for whom Citigroup Global Markets Inc., Mizuho Securities USA Inc., Mitsubishi UFJ Securities (USA), Inc. and UBS Securities LLC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acting as the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$1,000,000,000 aggregate principal amount of 4.650% Senior Notes due 2025 (the “</w:t>
      </w:r>
      <w:r>
        <w:rPr>
          <w:rFonts w:ascii="Arial" w:cs="Arial" w:eastAsia="Arial" w:hAnsi="Arial"/>
          <w:sz w:val="16"/>
          <w:szCs w:val="16"/>
          <w:b w:val="1"/>
          <w:bCs w:val="1"/>
          <w:color w:val="auto"/>
        </w:rPr>
        <w:t>Notes</w:t>
      </w:r>
      <w:r>
        <w:rPr>
          <w:rFonts w:ascii="Arial" w:cs="Arial" w:eastAsia="Arial" w:hAnsi="Arial"/>
          <w:sz w:val="16"/>
          <w:szCs w:val="16"/>
          <w:color w:val="auto"/>
        </w:rPr>
        <w:t>”).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to be issued under an indenture dated as of September 25, 2002 (the “</w:t>
      </w:r>
      <w:r>
        <w:rPr>
          <w:rFonts w:ascii="Arial" w:cs="Arial" w:eastAsia="Arial" w:hAnsi="Arial"/>
          <w:sz w:val="16"/>
          <w:szCs w:val="16"/>
          <w:b w:val="1"/>
          <w:bCs w:val="1"/>
          <w:color w:val="auto"/>
        </w:rPr>
        <w:t>Base Indenture</w:t>
      </w:r>
      <w:r>
        <w:rPr>
          <w:rFonts w:ascii="Arial" w:cs="Arial" w:eastAsia="Arial" w:hAnsi="Arial"/>
          <w:sz w:val="16"/>
          <w:szCs w:val="16"/>
          <w:color w:val="auto"/>
        </w:rPr>
        <w:t>”), among the Issuers and U.S. Bank National Association,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successor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Twenty-Ninth Supplemental Indenture to be dated as of August 24, 2015, among the Issuers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Trustee (the “</w:t>
      </w:r>
      <w:r>
        <w:rPr>
          <w:rFonts w:ascii="Arial" w:cs="Arial" w:eastAsia="Arial" w:hAnsi="Arial"/>
          <w:sz w:val="18"/>
          <w:szCs w:val="18"/>
          <w:b w:val="1"/>
          <w:bCs w:val="1"/>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207" w:lineRule="exact"/>
        <w:rPr>
          <w:sz w:val="20"/>
          <w:szCs w:val="20"/>
          <w:color w:val="auto"/>
        </w:rPr>
      </w:pPr>
    </w:p>
    <w:p>
      <w:pPr>
        <w:ind w:right="240" w:firstLine="913"/>
        <w:spacing w:after="0" w:line="314" w:lineRule="auto"/>
        <w:rPr>
          <w:sz w:val="20"/>
          <w:szCs w:val="20"/>
          <w:color w:val="auto"/>
        </w:rPr>
      </w:pPr>
      <w:r>
        <w:rPr>
          <w:rFonts w:ascii="Arial" w:cs="Arial" w:eastAsia="Arial" w:hAnsi="Arial"/>
          <w:sz w:val="16"/>
          <w:szCs w:val="16"/>
          <w:color w:val="auto"/>
        </w:rPr>
        <w:t>PAA GP LLC, a Delaware limited liability company (the “</w:t>
      </w:r>
      <w:r>
        <w:rPr>
          <w:rFonts w:ascii="Arial" w:cs="Arial" w:eastAsia="Arial" w:hAnsi="Arial"/>
          <w:sz w:val="16"/>
          <w:szCs w:val="16"/>
          <w:b w:val="1"/>
          <w:bCs w:val="1"/>
          <w:color w:val="auto"/>
        </w:rPr>
        <w:t>General Partner</w:t>
      </w:r>
      <w:r>
        <w:rPr>
          <w:rFonts w:ascii="Arial" w:cs="Arial" w:eastAsia="Arial" w:hAnsi="Arial"/>
          <w:sz w:val="16"/>
          <w:szCs w:val="16"/>
          <w:color w:val="auto"/>
        </w:rPr>
        <w:t>”), is the general partner of the Partnership. Plains AAP, L.P., a Delaware limited partnership (“</w:t>
      </w:r>
      <w:r>
        <w:rPr>
          <w:rFonts w:ascii="Arial" w:cs="Arial" w:eastAsia="Arial" w:hAnsi="Arial"/>
          <w:sz w:val="16"/>
          <w:szCs w:val="16"/>
          <w:b w:val="1"/>
          <w:bCs w:val="1"/>
          <w:color w:val="auto"/>
        </w:rPr>
        <w:t>Plains AAP</w:t>
      </w:r>
      <w:r>
        <w:rPr>
          <w:rFonts w:ascii="Arial" w:cs="Arial" w:eastAsia="Arial" w:hAnsi="Arial"/>
          <w:sz w:val="16"/>
          <w:szCs w:val="16"/>
          <w:color w:val="auto"/>
        </w:rPr>
        <w:t>”), owns a 100% membership interest in the General Partner. Plains All American GP LLC, a Delaware limited liability company (“</w:t>
      </w:r>
      <w:r>
        <w:rPr>
          <w:rFonts w:ascii="Arial" w:cs="Arial" w:eastAsia="Arial" w:hAnsi="Arial"/>
          <w:sz w:val="16"/>
          <w:szCs w:val="16"/>
          <w:b w:val="1"/>
          <w:bCs w:val="1"/>
          <w:color w:val="auto"/>
        </w:rPr>
        <w:t>GP LLC</w:t>
      </w:r>
      <w:r>
        <w:rPr>
          <w:rFonts w:ascii="Arial" w:cs="Arial" w:eastAsia="Arial" w:hAnsi="Arial"/>
          <w:sz w:val="16"/>
          <w:szCs w:val="16"/>
          <w:color w:val="auto"/>
        </w:rPr>
        <w:t>” and, collectively with the General Partner and Plains AAP, the “</w:t>
      </w:r>
      <w:r>
        <w:rPr>
          <w:rFonts w:ascii="Arial" w:cs="Arial" w:eastAsia="Arial" w:hAnsi="Arial"/>
          <w:sz w:val="16"/>
          <w:szCs w:val="16"/>
          <w:b w:val="1"/>
          <w:bCs w:val="1"/>
          <w:color w:val="auto"/>
        </w:rPr>
        <w:t>GP Entities</w:t>
      </w:r>
      <w:r>
        <w:rPr>
          <w:rFonts w:ascii="Arial" w:cs="Arial" w:eastAsia="Arial" w:hAnsi="Arial"/>
          <w:sz w:val="16"/>
          <w:szCs w:val="16"/>
          <w:color w:val="auto"/>
        </w:rPr>
        <w:t>”), is the general partner of Plains AAP.</w:t>
      </w:r>
    </w:p>
    <w:p>
      <w:pPr>
        <w:spacing w:after="0" w:line="142"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 xml:space="preserve">The subsidiaries of the Partnership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Domestic Subsidiaries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5" w:name="page6"/>
    <w:bookmarkEnd w:id="5"/>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to confirm the agreement among the Issuers and the Underwriters concerning the several purchases of the Notes by the Underwriters.</w:t>
      </w:r>
    </w:p>
    <w:p>
      <w:pPr>
        <w:spacing w:after="0" w:line="248" w:lineRule="exact"/>
        <w:rPr>
          <w:sz w:val="20"/>
          <w:szCs w:val="20"/>
          <w:color w:val="auto"/>
        </w:rPr>
      </w:pPr>
    </w:p>
    <w:p>
      <w:pPr>
        <w:ind w:left="620" w:hanging="176"/>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Issuers</w:t>
      </w:r>
      <w:r>
        <w:rPr>
          <w:rFonts w:ascii="Arial" w:cs="Arial" w:eastAsia="Arial" w:hAnsi="Arial"/>
          <w:sz w:val="18"/>
          <w:szCs w:val="18"/>
          <w:color w:val="auto"/>
        </w:rPr>
        <w:t>. The Issuers, jointly and severally, represent and warrant to the Underwriters that:</w:t>
      </w:r>
    </w:p>
    <w:p>
      <w:pPr>
        <w:spacing w:after="0" w:line="225" w:lineRule="exact"/>
        <w:rPr>
          <w:rFonts w:ascii="Arial" w:cs="Arial" w:eastAsia="Arial" w:hAnsi="Arial"/>
          <w:sz w:val="18"/>
          <w:szCs w:val="18"/>
          <w:color w:val="auto"/>
        </w:rPr>
      </w:pPr>
    </w:p>
    <w:p>
      <w:pPr>
        <w:ind w:left="-20" w:firstLine="921"/>
        <w:spacing w:after="0" w:line="257" w:lineRule="auto"/>
        <w:tabs>
          <w:tab w:leader="none" w:pos="1137"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w:t>
      </w:r>
      <w:r>
        <w:rPr>
          <w:rFonts w:ascii="Arial" w:cs="Arial" w:eastAsia="Arial" w:hAnsi="Arial"/>
          <w:sz w:val="18"/>
          <w:szCs w:val="18"/>
          <w:color w:val="auto"/>
        </w:rPr>
        <w:t>A registration statement on Form S-3 relating to the Notes (File No. 333-184137) (i) has been prepared by the Issuers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conformity with the requirements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(the “</w:t>
      </w:r>
      <w:r>
        <w:rPr>
          <w:rFonts w:ascii="Arial" w:cs="Arial" w:eastAsia="Arial" w:hAnsi="Arial"/>
          <w:sz w:val="18"/>
          <w:szCs w:val="18"/>
          <w:b w:val="1"/>
          <w:bCs w:val="1"/>
          <w:color w:val="auto"/>
        </w:rPr>
        <w:t>Rules and</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thereunder; (ii) has been filed with the Commission under the 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(iii) is effective under the Securities Act. Copies of such registration statement and any amendment thereto have been delivered by the Issuers to the Representatives. As used in this Agreement:</w:t>
      </w:r>
    </w:p>
    <w:p>
      <w:pPr>
        <w:spacing w:after="0" w:line="76" w:lineRule="exact"/>
        <w:rPr>
          <w:rFonts w:ascii="Arial" w:cs="Arial" w:eastAsia="Arial" w:hAnsi="Arial"/>
          <w:sz w:val="18"/>
          <w:szCs w:val="18"/>
          <w:color w:val="auto"/>
        </w:rPr>
      </w:pPr>
    </w:p>
    <w:p>
      <w:pPr>
        <w:ind w:left="440" w:right="140" w:firstLine="881"/>
        <w:spacing w:after="0" w:line="282" w:lineRule="auto"/>
        <w:tabs>
          <w:tab w:leader="none" w:pos="1531"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4:15 p.m., New York City time, on August 17, 2015, which the Underwriters have informed the Issuers and their counsel is a time prior to the first sale of the Notes;</w:t>
      </w:r>
    </w:p>
    <w:p>
      <w:pPr>
        <w:spacing w:after="0" w:line="53" w:lineRule="exact"/>
        <w:rPr>
          <w:rFonts w:ascii="Arial" w:cs="Arial" w:eastAsia="Arial" w:hAnsi="Arial"/>
          <w:sz w:val="18"/>
          <w:szCs w:val="18"/>
          <w:color w:val="auto"/>
        </w:rPr>
      </w:pPr>
    </w:p>
    <w:p>
      <w:pPr>
        <w:ind w:left="1580" w:hanging="259"/>
        <w:spacing w:after="0"/>
        <w:tabs>
          <w:tab w:leader="none" w:pos="1580"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Prospectus</w:t>
      </w:r>
      <w:r>
        <w:rPr>
          <w:rFonts w:ascii="Arial" w:cs="Arial" w:eastAsia="Arial" w:hAnsi="Arial"/>
          <w:sz w:val="18"/>
          <w:szCs w:val="18"/>
          <w:color w:val="auto"/>
        </w:rPr>
        <w:t>” means the base prospectus included in the Registration Statement at the Applicable Time.</w:t>
      </w:r>
    </w:p>
    <w:p>
      <w:pPr>
        <w:spacing w:after="0" w:line="117" w:lineRule="exact"/>
        <w:rPr>
          <w:rFonts w:ascii="Arial" w:cs="Arial" w:eastAsia="Arial" w:hAnsi="Arial"/>
          <w:sz w:val="18"/>
          <w:szCs w:val="18"/>
          <w:color w:val="auto"/>
        </w:rPr>
      </w:pPr>
    </w:p>
    <w:p>
      <w:pPr>
        <w:ind w:left="440" w:firstLine="881"/>
        <w:spacing w:after="0" w:line="282" w:lineRule="auto"/>
        <w:tabs>
          <w:tab w:leader="none" w:pos="1631"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any date as of which any part of such registration statement relating to the Notes became, or is deemed to have become, effective under the Securities Act in accordance with the Rules and Regulations;</w:t>
      </w:r>
    </w:p>
    <w:p>
      <w:pPr>
        <w:spacing w:after="0" w:line="53" w:lineRule="exact"/>
        <w:rPr>
          <w:rFonts w:ascii="Arial" w:cs="Arial" w:eastAsia="Arial" w:hAnsi="Arial"/>
          <w:sz w:val="18"/>
          <w:szCs w:val="18"/>
          <w:color w:val="auto"/>
        </w:rPr>
      </w:pPr>
    </w:p>
    <w:p>
      <w:pPr>
        <w:ind w:left="440" w:right="160" w:firstLine="881"/>
        <w:spacing w:after="0" w:line="266" w:lineRule="auto"/>
        <w:tabs>
          <w:tab w:leader="none" w:pos="1621"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68" w:lineRule="exact"/>
        <w:rPr>
          <w:rFonts w:ascii="Arial" w:cs="Arial" w:eastAsia="Arial" w:hAnsi="Arial"/>
          <w:sz w:val="18"/>
          <w:szCs w:val="18"/>
          <w:color w:val="auto"/>
        </w:rPr>
      </w:pPr>
    </w:p>
    <w:p>
      <w:pPr>
        <w:ind w:left="440" w:right="80" w:firstLine="881"/>
        <w:spacing w:after="0" w:line="266" w:lineRule="auto"/>
        <w:tabs>
          <w:tab w:leader="none" w:pos="1571"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Notes included in such registration statement or filed with the Commission pursuant to Rule 424(b) of the Rules and Regulations, including the Base Prospectus and any preliminary prospectus supplement thereto relating to the Notes;</w:t>
      </w:r>
    </w:p>
    <w:p>
      <w:pPr>
        <w:spacing w:after="0" w:line="68" w:lineRule="exact"/>
        <w:rPr>
          <w:rFonts w:ascii="Arial" w:cs="Arial" w:eastAsia="Arial" w:hAnsi="Arial"/>
          <w:sz w:val="18"/>
          <w:szCs w:val="18"/>
          <w:color w:val="auto"/>
        </w:rPr>
      </w:pPr>
    </w:p>
    <w:p>
      <w:pPr>
        <w:ind w:left="440" w:right="100" w:firstLine="881"/>
        <w:spacing w:after="0" w:line="261" w:lineRule="auto"/>
        <w:tabs>
          <w:tab w:leader="none" w:pos="1621"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xml:space="preserve">” means, as of the Applicable Time, (A) the most recent Preliminary Prospectus, (B) the Issuer Free Writing Prospectus attached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(C) each other Issuer Free Writing Prospectuses filed or used by the Partnership on or before the Applicable Time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other than a road show that is an Issuer Free Writing Prospectus under Rule 433 of the Rules and Regulations;</w:t>
      </w:r>
    </w:p>
    <w:p>
      <w:pPr>
        <w:spacing w:after="0" w:line="71" w:lineRule="exact"/>
        <w:rPr>
          <w:rFonts w:ascii="Arial" w:cs="Arial" w:eastAsia="Arial" w:hAnsi="Arial"/>
          <w:sz w:val="18"/>
          <w:szCs w:val="18"/>
          <w:color w:val="auto"/>
        </w:rPr>
      </w:pPr>
    </w:p>
    <w:p>
      <w:pPr>
        <w:ind w:left="440" w:right="160" w:firstLine="881"/>
        <w:spacing w:after="0" w:line="282" w:lineRule="auto"/>
        <w:tabs>
          <w:tab w:leader="none" w:pos="1671"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6" w:name="page7"/>
    <w:bookmarkEnd w:id="6"/>
    <w:p>
      <w:pPr>
        <w:ind w:left="460" w:firstLine="881"/>
        <w:spacing w:after="0" w:line="282" w:lineRule="auto"/>
        <w:tabs>
          <w:tab w:leader="none" w:pos="1741"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registration statement on Form S-3 (File No. 333-184137), as amended as of the Effective Date, including any Preliminary Prospectus or the Prospectus and all exhibits to such registration statement.</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6"/>
          <w:szCs w:val="16"/>
          <w:b w:val="1"/>
          <w:bCs w:val="1"/>
          <w:color w:val="auto"/>
        </w:rPr>
        <w:t>Incorporated Documents</w:t>
      </w:r>
      <w:r>
        <w:rPr>
          <w:rFonts w:ascii="Arial" w:cs="Arial" w:eastAsia="Arial" w:hAnsi="Arial"/>
          <w:sz w:val="16"/>
          <w:szCs w:val="16"/>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388" w:lineRule="exact"/>
        <w:rPr>
          <w:sz w:val="20"/>
          <w:szCs w:val="20"/>
          <w:color w:val="auto"/>
        </w:rPr>
      </w:pPr>
    </w:p>
    <w:p>
      <w:pPr>
        <w:ind w:right="80" w:firstLine="921"/>
        <w:spacing w:after="0" w:line="271" w:lineRule="auto"/>
        <w:tabs>
          <w:tab w:leader="none" w:pos="1168"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Form of Documents. </w:t>
      </w:r>
      <w:r>
        <w:rPr>
          <w:rFonts w:ascii="Arial" w:cs="Arial" w:eastAsia="Arial" w:hAnsi="Arial"/>
          <w:sz w:val="17"/>
          <w:szCs w:val="17"/>
          <w:color w:val="auto"/>
        </w:rPr>
        <w:t>The Registration Statement conformed in all material respects on the Effective Date and on the Delivery Date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and the Prospectus conform in all material respects to the requirements applicable to them under the Trust Indenture Act of 1939, as amended (the “</w:t>
      </w:r>
      <w:r>
        <w:rPr>
          <w:rFonts w:ascii="Arial" w:cs="Arial" w:eastAsia="Arial" w:hAnsi="Arial"/>
          <w:sz w:val="17"/>
          <w:szCs w:val="17"/>
          <w:b w:val="1"/>
          <w:bCs w:val="1"/>
          <w:color w:val="auto"/>
        </w:rPr>
        <w:t>Trust Indenture Act</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20" w:firstLine="921"/>
        <w:spacing w:after="0" w:line="264" w:lineRule="auto"/>
        <w:tabs>
          <w:tab w:leader="none" w:pos="1157"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The Registration Statement did not, as of its most recent Effective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7" w:name="page8"/>
    <w:bookmarkEnd w:id="7"/>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Section 12.</w:t>
      </w:r>
    </w:p>
    <w:p>
      <w:pPr>
        <w:spacing w:after="0" w:line="147" w:lineRule="exact"/>
        <w:rPr>
          <w:sz w:val="20"/>
          <w:szCs w:val="20"/>
          <w:color w:val="auto"/>
        </w:rPr>
      </w:pPr>
    </w:p>
    <w:p>
      <w:pPr>
        <w:ind w:right="20" w:firstLine="921"/>
        <w:spacing w:after="0" w:line="257" w:lineRule="auto"/>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Prospectus</w:t>
      </w:r>
      <w:r>
        <w:rPr>
          <w:rFonts w:ascii="Arial" w:cs="Arial" w:eastAsia="Arial" w:hAnsi="Arial"/>
          <w:sz w:val="18"/>
          <w:szCs w:val="18"/>
          <w:color w:val="auto"/>
        </w:rPr>
        <w:t>. The Prospectus will not, as of its date and on the Delivery Date, include an untrue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Section 12.</w:t>
      </w:r>
    </w:p>
    <w:p>
      <w:pPr>
        <w:spacing w:after="0" w:line="188" w:lineRule="exact"/>
        <w:rPr>
          <w:rFonts w:ascii="Arial" w:cs="Arial" w:eastAsia="Arial" w:hAnsi="Arial"/>
          <w:sz w:val="18"/>
          <w:szCs w:val="18"/>
          <w:color w:val="auto"/>
        </w:rPr>
      </w:pPr>
    </w:p>
    <w:p>
      <w:pPr>
        <w:ind w:right="460" w:firstLine="921"/>
        <w:spacing w:after="0" w:line="264" w:lineRule="auto"/>
        <w:tabs>
          <w:tab w:leader="none" w:pos="115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Documents Incorporated by Reference</w:t>
      </w:r>
      <w:r>
        <w:rPr>
          <w:rFonts w:ascii="Arial" w:cs="Arial" w:eastAsia="Arial" w:hAnsi="Arial"/>
          <w:sz w:val="18"/>
          <w:szCs w:val="18"/>
          <w:color w:val="auto"/>
        </w:rPr>
        <w:t>. The Incorporated Documents, when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did not and will not include an untrue statement of a material fact or omit to state a material fact necessary in order to make the statements therein, in the light of the circumstances under which they were made, not misleading.</w:t>
      </w:r>
    </w:p>
    <w:p>
      <w:pPr>
        <w:spacing w:after="0" w:line="181" w:lineRule="exact"/>
        <w:rPr>
          <w:rFonts w:ascii="Arial" w:cs="Arial" w:eastAsia="Arial" w:hAnsi="Arial"/>
          <w:sz w:val="18"/>
          <w:szCs w:val="18"/>
          <w:color w:val="auto"/>
        </w:rPr>
      </w:pPr>
    </w:p>
    <w:p>
      <w:pPr>
        <w:ind w:firstLine="921"/>
        <w:spacing w:after="0" w:line="276" w:lineRule="auto"/>
        <w:tabs>
          <w:tab w:leader="none" w:pos="1138"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Pricing Disclosure Package</w:t>
      </w:r>
      <w:r>
        <w:rPr>
          <w:rFonts w:ascii="Arial" w:cs="Arial" w:eastAsia="Arial" w:hAnsi="Arial"/>
          <w:sz w:val="17"/>
          <w:szCs w:val="17"/>
          <w:color w:val="auto"/>
        </w:rPr>
        <w:t>. The Pricing Disclosure Package did not, as of the Applicable Time,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Section 12.</w:t>
      </w:r>
    </w:p>
    <w:p>
      <w:pPr>
        <w:spacing w:after="0" w:line="172" w:lineRule="exact"/>
        <w:rPr>
          <w:rFonts w:ascii="Arial" w:cs="Arial" w:eastAsia="Arial" w:hAnsi="Arial"/>
          <w:sz w:val="17"/>
          <w:szCs w:val="17"/>
          <w:color w:val="auto"/>
        </w:rPr>
      </w:pPr>
    </w:p>
    <w:p>
      <w:pPr>
        <w:ind w:right="160" w:firstLine="921"/>
        <w:spacing w:after="0" w:line="255" w:lineRule="auto"/>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Issuer Free Writing Prospectus and Pricing Disclosure Package</w:t>
      </w:r>
      <w:r>
        <w:rPr>
          <w:rFonts w:ascii="Arial" w:cs="Arial" w:eastAsia="Arial" w:hAnsi="Arial"/>
          <w:sz w:val="18"/>
          <w:szCs w:val="18"/>
          <w:color w:val="auto"/>
        </w:rPr>
        <w:t>.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Section 12.</w:t>
      </w:r>
    </w:p>
    <w:p>
      <w:pPr>
        <w:spacing w:after="0" w:line="189" w:lineRule="exact"/>
        <w:rPr>
          <w:rFonts w:ascii="Arial" w:cs="Arial" w:eastAsia="Arial" w:hAnsi="Arial"/>
          <w:sz w:val="18"/>
          <w:szCs w:val="18"/>
          <w:color w:val="auto"/>
        </w:rPr>
      </w:pPr>
    </w:p>
    <w:p>
      <w:pPr>
        <w:ind w:right="40" w:firstLine="921"/>
        <w:spacing w:after="0" w:line="259" w:lineRule="auto"/>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Prospectuses Conform to the Requirements of the Securities Act</w:t>
      </w:r>
      <w:r>
        <w:rPr>
          <w:rFonts w:ascii="Arial" w:cs="Arial" w:eastAsia="Arial" w:hAnsi="Arial"/>
          <w:sz w:val="18"/>
          <w:szCs w:val="18"/>
          <w:color w:val="auto"/>
        </w:rPr>
        <w:t>. Each Issuer Free Writing Prospectus conformed or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147" w:lineRule="exact"/>
        <w:rPr>
          <w:sz w:val="20"/>
          <w:szCs w:val="20"/>
          <w:color w:val="auto"/>
        </w:rPr>
      </w:pPr>
    </w:p>
    <w:p>
      <w:pPr>
        <w:ind w:firstLine="921"/>
        <w:spacing w:after="0" w:line="259"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Well-Known Seasoned Issuer and Not an Ineligible Issuer</w:t>
      </w:r>
      <w:r>
        <w:rPr>
          <w:rFonts w:ascii="Arial" w:cs="Arial" w:eastAsia="Arial" w:hAnsi="Arial"/>
          <w:sz w:val="18"/>
          <w:szCs w:val="18"/>
          <w:color w:val="auto"/>
        </w:rPr>
        <w:t>. Each of the Issuers is a “well-known seasoned issuer” (as defined in Rule 405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Rules and Regulations). At the earliest time after the initial filing of the Registration Statement that the Issuers or another offering participant made a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 (within the meaning of Rule 164(h)(2) of the Rules and Regulations) of the Notes, neither of the Issuers was an “ineligible issuer,”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 405 of the Rules and Regulations.</w:t>
      </w:r>
    </w:p>
    <w:p>
      <w:pPr>
        <w:spacing w:after="0" w:line="186" w:lineRule="exact"/>
        <w:rPr>
          <w:rFonts w:ascii="Arial" w:cs="Arial" w:eastAsia="Arial" w:hAnsi="Arial"/>
          <w:sz w:val="18"/>
          <w:szCs w:val="18"/>
          <w:color w:val="auto"/>
        </w:rPr>
      </w:pPr>
    </w:p>
    <w:p>
      <w:pPr>
        <w:ind w:right="20" w:firstLine="921"/>
        <w:spacing w:after="0" w:line="269" w:lineRule="auto"/>
        <w:tabs>
          <w:tab w:leader="none" w:pos="1128"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Formation and Qualification of Certain Entities</w:t>
      </w:r>
      <w:r>
        <w:rPr>
          <w:rFonts w:ascii="Arial" w:cs="Arial" w:eastAsia="Arial" w:hAnsi="Arial"/>
          <w:sz w:val="17"/>
          <w:szCs w:val="17"/>
          <w:color w:val="auto"/>
        </w:rPr>
        <w:t>. Each of the Issuers, the GP Entities and the Material Subsidiaries has been duly formed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and the Partnership (collectively, the “</w:t>
      </w:r>
      <w:r>
        <w:rPr>
          <w:rFonts w:ascii="Arial" w:cs="Arial" w:eastAsia="Arial" w:hAnsi="Arial"/>
          <w:sz w:val="17"/>
          <w:szCs w:val="17"/>
          <w:b w:val="1"/>
          <w:bCs w:val="1"/>
          <w:color w:val="auto"/>
        </w:rPr>
        <w:t>Plains Entities</w:t>
      </w:r>
      <w:r>
        <w:rPr>
          <w:rFonts w:ascii="Arial" w:cs="Arial" w:eastAsia="Arial" w:hAnsi="Arial"/>
          <w:sz w:val="17"/>
          <w:szCs w:val="17"/>
          <w:color w:val="auto"/>
        </w:rPr>
        <w:t>”), taken as a whole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or (ii) subject the limited partners of the Partnership to any material liability or disability.</w:t>
      </w:r>
    </w:p>
    <w:p>
      <w:pPr>
        <w:spacing w:after="0" w:line="182" w:lineRule="exact"/>
        <w:rPr>
          <w:rFonts w:ascii="Arial" w:cs="Arial" w:eastAsia="Arial" w:hAnsi="Arial"/>
          <w:sz w:val="17"/>
          <w:szCs w:val="17"/>
          <w:color w:val="auto"/>
        </w:rPr>
      </w:pPr>
    </w:p>
    <w:p>
      <w:pPr>
        <w:ind w:right="140" w:firstLine="921"/>
        <w:spacing w:after="0" w:line="264" w:lineRule="auto"/>
        <w:tabs>
          <w:tab w:leader="none" w:pos="116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Each Plains Entity or GP Entity that serves as a general partner of another Plains Entity or GP Entity has full corporate or</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power and authority, as the case may be, to serve as general partner of such Plains Entity or GP Entity, in each case in all material respects, as disclosed in the Pricing Disclosure Package and the Prospectus.</w:t>
      </w:r>
    </w:p>
    <w:p>
      <w:pPr>
        <w:spacing w:after="0" w:line="181" w:lineRule="exact"/>
        <w:rPr>
          <w:rFonts w:ascii="Arial" w:cs="Arial" w:eastAsia="Arial" w:hAnsi="Arial"/>
          <w:sz w:val="18"/>
          <w:szCs w:val="18"/>
          <w:color w:val="auto"/>
        </w:rPr>
      </w:pPr>
    </w:p>
    <w:p>
      <w:pPr>
        <w:ind w:right="40" w:firstLine="921"/>
        <w:spacing w:after="0" w:line="273" w:lineRule="auto"/>
        <w:tabs>
          <w:tab w:leader="none" w:pos="1128"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Ownership of Interests in the Partnership, the General Partner and Plains AAP</w:t>
      </w:r>
      <w:r>
        <w:rPr>
          <w:rFonts w:ascii="Arial" w:cs="Arial" w:eastAsia="Arial" w:hAnsi="Arial"/>
          <w:sz w:val="17"/>
          <w:szCs w:val="17"/>
          <w:color w:val="auto"/>
        </w:rPr>
        <w:t>. The GP Entities hold the general partner and membership</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Delivery Date, such agreement being referred to herein as the “</w:t>
      </w:r>
      <w:r>
        <w:rPr>
          <w:rFonts w:ascii="Arial" w:cs="Arial" w:eastAsia="Arial" w:hAnsi="Arial"/>
          <w:sz w:val="17"/>
          <w:szCs w:val="17"/>
          <w:b w:val="1"/>
          <w:bCs w:val="1"/>
          <w:color w:val="auto"/>
        </w:rPr>
        <w:t>General Partner LLC Agreement</w:t>
      </w:r>
      <w:r>
        <w:rPr>
          <w:rFonts w:ascii="Arial" w:cs="Arial" w:eastAsia="Arial" w:hAnsi="Arial"/>
          <w:sz w:val="17"/>
          <w:szCs w:val="17"/>
          <w:color w:val="auto"/>
        </w:rPr>
        <w:t>”) and nonassessable (except as such nonassessability may be affected by Sections 18-607 and 18-804 of the Delaware Limited Liability Company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ind w:right="6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Arial" w:cs="Arial" w:eastAsia="Arial" w:hAnsi="Arial"/>
          <w:sz w:val="18"/>
          <w:szCs w:val="18"/>
          <w:b w:val="1"/>
          <w:bCs w:val="1"/>
          <w:color w:val="auto"/>
        </w:rPr>
        <w:t>Delaware LLC Act</w:t>
      </w:r>
      <w:r>
        <w:rPr>
          <w:rFonts w:ascii="Arial" w:cs="Arial" w:eastAsia="Arial" w:hAnsi="Arial"/>
          <w:sz w:val="18"/>
          <w:szCs w:val="18"/>
          <w:color w:val="auto"/>
        </w:rPr>
        <w:t>”)); and such general partner and membership interests held by the GP Entities are owned free and clear of all liens, encumbrances, security interests, equities, charges or claims (“</w:t>
      </w:r>
      <w:r>
        <w:rPr>
          <w:rFonts w:ascii="Arial" w:cs="Arial" w:eastAsia="Arial" w:hAnsi="Arial"/>
          <w:sz w:val="18"/>
          <w:szCs w:val="18"/>
          <w:b w:val="1"/>
          <w:bCs w:val="1"/>
          <w:color w:val="auto"/>
        </w:rPr>
        <w:t>Liens</w:t>
      </w:r>
      <w:r>
        <w:rPr>
          <w:rFonts w:ascii="Arial" w:cs="Arial" w:eastAsia="Arial" w:hAnsi="Arial"/>
          <w:sz w:val="18"/>
          <w:szCs w:val="18"/>
          <w:color w:val="auto"/>
        </w:rPr>
        <w:t>”), except (i) as disclosed in the Pricing Disclosure 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w:t>
      </w:r>
    </w:p>
    <w:p>
      <w:pPr>
        <w:spacing w:after="0" w:line="188" w:lineRule="exact"/>
        <w:rPr>
          <w:sz w:val="20"/>
          <w:szCs w:val="20"/>
          <w:color w:val="auto"/>
        </w:rPr>
      </w:pPr>
    </w:p>
    <w:p>
      <w:pPr>
        <w:ind w:left="1220" w:hanging="299"/>
        <w:spacing w:after="0"/>
        <w:tabs>
          <w:tab w:leader="none" w:pos="122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Ownership of the Material Subsidiaries</w:t>
      </w:r>
      <w:r>
        <w:rPr>
          <w:rFonts w:ascii="Arial" w:cs="Arial" w:eastAsia="Arial" w:hAnsi="Arial"/>
          <w:sz w:val="16"/>
          <w:szCs w:val="16"/>
          <w:color w:val="auto"/>
        </w:rPr>
        <w:t>. All of the outstanding shares of capital stock or other equity interests of each Material Subsidiary</w:t>
      </w:r>
    </w:p>
    <w:p>
      <w:pPr>
        <w:spacing w:after="0" w:line="46" w:lineRule="exact"/>
        <w:rPr>
          <w:rFonts w:ascii="Arial" w:cs="Arial" w:eastAsia="Arial" w:hAnsi="Arial"/>
          <w:sz w:val="16"/>
          <w:szCs w:val="16"/>
          <w:color w:val="auto"/>
        </w:rPr>
      </w:pPr>
    </w:p>
    <w:p>
      <w:pPr>
        <w:ind w:firstLine="8"/>
        <w:spacing w:after="0" w:line="285"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Arial" w:cs="Arial" w:eastAsia="Arial" w:hAnsi="Arial"/>
          <w:sz w:val="16"/>
          <w:szCs w:val="16"/>
          <w:b w:val="1"/>
          <w:bCs w:val="1"/>
          <w:color w:val="auto"/>
        </w:rPr>
        <w:t>Organizational Documents</w:t>
      </w:r>
      <w:r>
        <w:rPr>
          <w:rFonts w:ascii="Arial" w:cs="Arial" w:eastAsia="Arial" w:hAnsi="Arial"/>
          <w:sz w:val="16"/>
          <w:szCs w:val="16"/>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Arial" w:cs="Arial" w:eastAsia="Arial" w:hAnsi="Arial"/>
          <w:sz w:val="16"/>
          <w:szCs w:val="16"/>
          <w:b w:val="1"/>
          <w:bCs w:val="1"/>
          <w:color w:val="auto"/>
        </w:rPr>
        <w:t>Delaware LP Act</w:t>
      </w:r>
      <w:r>
        <w:rPr>
          <w:rFonts w:ascii="Arial" w:cs="Arial" w:eastAsia="Arial" w:hAnsi="Arial"/>
          <w:sz w:val="16"/>
          <w:szCs w:val="16"/>
          <w:color w:val="auto"/>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the Partnership, free and clear of all Liens. The Subsidiaries other than the Material Subsidiaries would not have, individually or in the aggregate, accounted for (i) more than 10% of the total assets of the Plains Entities, taken as a whole, as of the most recent fiscal year end or (ii) more than 10% of the net income of the Plains Entities, taken as a whole, for the most recent fiscal year.</w:t>
      </w:r>
    </w:p>
    <w:p>
      <w:pPr>
        <w:spacing w:after="0" w:line="170" w:lineRule="exact"/>
        <w:rPr>
          <w:rFonts w:ascii="Arial" w:cs="Arial" w:eastAsia="Arial" w:hAnsi="Arial"/>
          <w:sz w:val="16"/>
          <w:szCs w:val="16"/>
          <w:color w:val="auto"/>
        </w:rPr>
      </w:pPr>
    </w:p>
    <w:p>
      <w:pPr>
        <w:ind w:right="80" w:firstLine="921"/>
        <w:spacing w:after="0" w:line="277" w:lineRule="auto"/>
        <w:tabs>
          <w:tab w:leader="none" w:pos="1168"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The offering and sale of the Notes as contemplated by this Agreement do not give rise to any rights for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of any other securities of the Issuers, except such rights as have been waived or satisfied.</w:t>
      </w:r>
    </w:p>
    <w:p>
      <w:pPr>
        <w:spacing w:after="0" w:line="170" w:lineRule="exact"/>
        <w:rPr>
          <w:rFonts w:ascii="Arial" w:cs="Arial" w:eastAsia="Arial" w:hAnsi="Arial"/>
          <w:sz w:val="18"/>
          <w:szCs w:val="18"/>
          <w:color w:val="auto"/>
        </w:rPr>
      </w:pPr>
    </w:p>
    <w:p>
      <w:pPr>
        <w:ind w:right="100" w:firstLine="921"/>
        <w:spacing w:after="0" w:line="264" w:lineRule="auto"/>
        <w:tabs>
          <w:tab w:leader="none" w:pos="1168"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Conformity to Description of Notes</w:t>
      </w:r>
      <w:r>
        <w:rPr>
          <w:rFonts w:ascii="Arial" w:cs="Arial" w:eastAsia="Arial" w:hAnsi="Arial"/>
          <w:sz w:val="18"/>
          <w:szCs w:val="18"/>
          <w:color w:val="auto"/>
        </w:rPr>
        <w:t>. The Notes, when issued and delivered against payment therefor as provided herein and in the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Indenture will conform in all material respects to the descriptions thereof contained in the Pricing Disclosure Package and the Prospectus (and any amendment or supplement thereto).</w:t>
      </w:r>
    </w:p>
    <w:p>
      <w:pPr>
        <w:spacing w:after="0" w:line="181" w:lineRule="exact"/>
        <w:rPr>
          <w:rFonts w:ascii="Arial" w:cs="Arial" w:eastAsia="Arial" w:hAnsi="Arial"/>
          <w:sz w:val="18"/>
          <w:szCs w:val="18"/>
          <w:color w:val="auto"/>
        </w:rPr>
      </w:pPr>
    </w:p>
    <w:p>
      <w:pPr>
        <w:ind w:right="40" w:firstLine="921"/>
        <w:spacing w:after="0" w:line="276" w:lineRule="auto"/>
        <w:tabs>
          <w:tab w:leader="none" w:pos="1168"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Authority</w:t>
      </w:r>
      <w:r>
        <w:rPr>
          <w:rFonts w:ascii="Arial" w:cs="Arial" w:eastAsia="Arial" w:hAnsi="Arial"/>
          <w:sz w:val="17"/>
          <w:szCs w:val="17"/>
          <w:color w:val="auto"/>
        </w:rPr>
        <w:t>. Each of the Issuers has all requisite partnership or corporate, as applicable, power and authority to issue, sell and deliver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and upon the terms and conditions set forth in this Agreement, its Organizational Documents, the Indenture, the Registration Statement, the Pricing Disclosure Package and the Prospectus.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10" w:name="page11"/>
    <w:bookmarkEnd w:id="10"/>
    <w:p>
      <w:pPr>
        <w:ind w:left="-40" w:right="20" w:firstLine="921"/>
        <w:spacing w:after="0" w:line="277" w:lineRule="auto"/>
        <w:tabs>
          <w:tab w:leader="none" w:pos="112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Execution and Delivery of this Agreement</w:t>
      </w:r>
      <w:r>
        <w:rPr>
          <w:rFonts w:ascii="Arial" w:cs="Arial" w:eastAsia="Arial" w:hAnsi="Arial"/>
          <w:sz w:val="18"/>
          <w:szCs w:val="18"/>
          <w:color w:val="auto"/>
        </w:rPr>
        <w:t>. This Agreement has been duly and validly authorized, executed and delivered by or</w:t>
      </w:r>
      <w:r>
        <w:rPr>
          <w:rFonts w:ascii="Arial" w:cs="Arial" w:eastAsia="Arial" w:hAnsi="Arial"/>
          <w:sz w:val="18"/>
          <w:szCs w:val="18"/>
          <w:i w:val="1"/>
          <w:iCs w:val="1"/>
          <w:color w:val="auto"/>
        </w:rPr>
        <w:t xml:space="preserve"> </w:t>
      </w:r>
      <w:r>
        <w:rPr>
          <w:rFonts w:ascii="Arial" w:cs="Arial" w:eastAsia="Arial" w:hAnsi="Arial"/>
          <w:sz w:val="18"/>
          <w:szCs w:val="18"/>
          <w:color w:val="auto"/>
        </w:rPr>
        <w:t>on behalf of the Issuers.</w:t>
      </w:r>
    </w:p>
    <w:p>
      <w:pPr>
        <w:spacing w:after="0" w:line="170" w:lineRule="exact"/>
        <w:rPr>
          <w:rFonts w:ascii="Arial" w:cs="Arial" w:eastAsia="Arial" w:hAnsi="Arial"/>
          <w:sz w:val="18"/>
          <w:szCs w:val="18"/>
          <w:color w:val="auto"/>
        </w:rPr>
      </w:pPr>
    </w:p>
    <w:p>
      <w:pPr>
        <w:ind w:left="-40" w:firstLine="921"/>
        <w:spacing w:after="0" w:line="254" w:lineRule="auto"/>
        <w:tabs>
          <w:tab w:leader="none" w:pos="109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Enforceability of the Indenture</w:t>
      </w:r>
      <w:r>
        <w:rPr>
          <w:rFonts w:ascii="Arial" w:cs="Arial" w:eastAsia="Arial" w:hAnsi="Arial"/>
          <w:sz w:val="18"/>
          <w:szCs w:val="18"/>
          <w:color w:val="auto"/>
        </w:rPr>
        <w:t>. The execution and delivery of, and the performance by each of the Issuers of their respective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Indenture have been duly and validly authorized by each of the Issuers; the Indenture has been duly qualified under the Trust Indenture Act and, assuming due authorization, execution and delivery of the Base Indenture and the Supplemental Indenture by the Trustee, when the Supplemental Indenture is executed and delivered by each of the Issuers, will constitute the valid and legally binding agreement of each of the Issuers, enforceable against each of the Issuers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192" w:lineRule="exact"/>
        <w:rPr>
          <w:rFonts w:ascii="Arial" w:cs="Arial" w:eastAsia="Arial" w:hAnsi="Arial"/>
          <w:sz w:val="18"/>
          <w:szCs w:val="18"/>
          <w:color w:val="auto"/>
        </w:rPr>
      </w:pPr>
    </w:p>
    <w:p>
      <w:pPr>
        <w:ind w:left="-40" w:right="20" w:firstLine="921"/>
        <w:spacing w:after="0" w:line="293" w:lineRule="auto"/>
        <w:tabs>
          <w:tab w:leader="none" w:pos="110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Valid Issuance of the Notes</w:t>
      </w:r>
      <w:r>
        <w:rPr>
          <w:rFonts w:ascii="Arial" w:cs="Arial" w:eastAsia="Arial" w:hAnsi="Arial"/>
          <w:sz w:val="16"/>
          <w:szCs w:val="16"/>
          <w:color w:val="auto"/>
        </w:rPr>
        <w:t>. The Notes have been duly authorized, and, when executed and authenticated in accordance with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164" w:lineRule="exact"/>
        <w:rPr>
          <w:rFonts w:ascii="Arial" w:cs="Arial" w:eastAsia="Arial" w:hAnsi="Arial"/>
          <w:sz w:val="16"/>
          <w:szCs w:val="16"/>
          <w:color w:val="auto"/>
        </w:rPr>
      </w:pPr>
    </w:p>
    <w:p>
      <w:pPr>
        <w:ind w:left="-40" w:right="40" w:firstLine="921"/>
        <w:spacing w:after="0" w:line="273" w:lineRule="auto"/>
        <w:tabs>
          <w:tab w:leader="none" w:pos="1088"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Authorization, Execution and Enforceability of the Operating Agreements</w:t>
      </w:r>
      <w:r>
        <w:rPr>
          <w:rFonts w:ascii="Arial" w:cs="Arial" w:eastAsia="Arial" w:hAnsi="Arial"/>
          <w:sz w:val="17"/>
          <w:szCs w:val="17"/>
          <w:color w:val="auto"/>
        </w:rPr>
        <w:t>. The partnership agreement or limited liability company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as applicable, of each of the Issuers, the GP Entities and the Material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78" w:lineRule="exact"/>
        <w:rPr>
          <w:rFonts w:ascii="Arial" w:cs="Arial" w:eastAsia="Arial" w:hAnsi="Arial"/>
          <w:sz w:val="17"/>
          <w:szCs w:val="17"/>
          <w:color w:val="auto"/>
        </w:rPr>
      </w:pPr>
    </w:p>
    <w:p>
      <w:pPr>
        <w:ind w:left="-40" w:right="20" w:firstLine="921"/>
        <w:spacing w:after="0" w:line="259" w:lineRule="auto"/>
        <w:tabs>
          <w:tab w:leader="none" w:pos="112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Conflicts or Violations</w:t>
      </w:r>
      <w:r>
        <w:rPr>
          <w:rFonts w:ascii="Arial" w:cs="Arial" w:eastAsia="Arial" w:hAnsi="Arial"/>
          <w:sz w:val="18"/>
          <w:szCs w:val="18"/>
          <w:color w:val="auto"/>
        </w:rPr>
        <w:t>. None of (i) the offering, issuance and sale by the Issuers of the Notes, (ii) the execution, delivery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 by each of the Issuers, (iii) the consummation of the transactions contemplated by this Agreement or (iv) the execution, delivery and performance of the Indenture by each of the Issuers or the consummation of the transactions contemplated thereby (A) conflicts or will conflict with or constitutes or will constitute a violation of the Organizational Documents of either of the Issuers,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274" w:right="259" w:bottom="1440" w:gutter="0" w:footer="0" w:header="0"/>
        </w:sectPr>
      </w:pPr>
    </w:p>
    <w:bookmarkStart w:id="11" w:name="page12"/>
    <w:bookmarkEnd w:id="1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clauses (B), (C) or (D), would reasonably be expected to have a Material Adverse Effect or materially impair the ability of the Issuers to consummate the transactions contemplated by this Agreement.</w:t>
      </w:r>
    </w:p>
    <w:p>
      <w:pPr>
        <w:spacing w:after="0" w:line="182" w:lineRule="exact"/>
        <w:rPr>
          <w:sz w:val="20"/>
          <w:szCs w:val="20"/>
          <w:color w:val="auto"/>
        </w:rPr>
      </w:pPr>
    </w:p>
    <w:p>
      <w:pPr>
        <w:ind w:right="40" w:firstLine="921"/>
        <w:spacing w:after="0" w:line="253" w:lineRule="auto"/>
        <w:tabs>
          <w:tab w:leader="none" w:pos="116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No Consents</w:t>
      </w:r>
      <w:r>
        <w:rPr>
          <w:rFonts w:ascii="Arial" w:cs="Arial" w:eastAsia="Arial" w:hAnsi="Arial"/>
          <w:sz w:val="18"/>
          <w:szCs w:val="18"/>
          <w:color w:val="auto"/>
        </w:rPr>
        <w:t>. No consent, approval, authorization, filing with or order of any court, governmental agency or body having jurisdiction over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(iii) the execution, delivery and performance of the Indenture by each of the Issuers or the consummation of the transactions contemplated thereby, except (A) such as have been obtained under the Securities Act, (B) such as may be required under the blue sky laws of any jurisdiction or the by-laws and rules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purchase and distribution by the Underwriters of the Notes in the manner contemplated herein and in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197" w:lineRule="exact"/>
        <w:rPr>
          <w:rFonts w:ascii="Arial" w:cs="Arial" w:eastAsia="Arial" w:hAnsi="Arial"/>
          <w:sz w:val="18"/>
          <w:szCs w:val="18"/>
          <w:color w:val="auto"/>
        </w:rPr>
      </w:pPr>
    </w:p>
    <w:p>
      <w:pPr>
        <w:ind w:firstLine="921"/>
        <w:spacing w:after="0" w:line="271" w:lineRule="auto"/>
        <w:tabs>
          <w:tab w:leader="none" w:pos="120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No Default</w:t>
      </w:r>
      <w:r>
        <w:rPr>
          <w:rFonts w:ascii="Arial" w:cs="Arial" w:eastAsia="Arial" w:hAnsi="Arial"/>
          <w:sz w:val="17"/>
          <w:szCs w:val="17"/>
          <w:color w:val="auto"/>
        </w:rPr>
        <w:t>. (i) None of the Issuers or the GP Entities or the Material Subsidiaries is in violation of its Organizational Documents in any</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either of the Issuers to perform its obligations under this Agreement.</w:t>
      </w:r>
    </w:p>
    <w:p>
      <w:pPr>
        <w:spacing w:after="0" w:line="178" w:lineRule="exact"/>
        <w:rPr>
          <w:rFonts w:ascii="Arial" w:cs="Arial" w:eastAsia="Arial" w:hAnsi="Arial"/>
          <w:sz w:val="17"/>
          <w:szCs w:val="17"/>
          <w:color w:val="auto"/>
        </w:rPr>
      </w:pPr>
    </w:p>
    <w:p>
      <w:pPr>
        <w:ind w:right="80" w:firstLine="921"/>
        <w:spacing w:after="0" w:line="308" w:lineRule="auto"/>
        <w:tabs>
          <w:tab w:leader="none" w:pos="116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Independent Registered Public Accounting Firm</w:t>
      </w:r>
      <w:r>
        <w:rPr>
          <w:rFonts w:ascii="Arial" w:cs="Arial" w:eastAsia="Arial" w:hAnsi="Arial"/>
          <w:sz w:val="17"/>
          <w:szCs w:val="17"/>
          <w:color w:val="auto"/>
        </w:rPr>
        <w:t>. PricewaterhouseCoopers LLP, which has certified the audited financial statements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or incorporated by reference in the Registration Statement, the most recent Preliminary Prospectus and the Prospectus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2" w:name="page13"/>
    <w:bookmarkEnd w:id="12"/>
    <w:p>
      <w:pPr>
        <w:ind w:right="5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124" w:lineRule="exact"/>
        <w:rPr>
          <w:sz w:val="20"/>
          <w:szCs w:val="20"/>
          <w:color w:val="auto"/>
        </w:rPr>
      </w:pPr>
    </w:p>
    <w:p>
      <w:pPr>
        <w:ind w:right="40" w:firstLine="921"/>
        <w:spacing w:after="0" w:line="288" w:lineRule="auto"/>
        <w:tabs>
          <w:tab w:leader="none" w:pos="116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At June 30, 2015, the Partnership had, on an as adjusted basis as indicated in the Prospectus (and any amendment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Issuers are required by the Securities Act or the Exchange Act to be included in the Registration Statement, the most recent Preliminary Prospectus or the Prospectus.</w:t>
      </w:r>
    </w:p>
    <w:p>
      <w:pPr>
        <w:spacing w:after="0" w:line="169" w:lineRule="exact"/>
        <w:rPr>
          <w:rFonts w:ascii="Arial" w:cs="Arial" w:eastAsia="Arial" w:hAnsi="Arial"/>
          <w:sz w:val="16"/>
          <w:szCs w:val="16"/>
          <w:color w:val="auto"/>
        </w:rPr>
      </w:pPr>
    </w:p>
    <w:p>
      <w:pPr>
        <w:ind w:firstLine="921"/>
        <w:spacing w:after="0" w:line="268" w:lineRule="auto"/>
        <w:tabs>
          <w:tab w:leader="none" w:pos="1157"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None of the Plains Entities or the GP Entities has sustained, since the date of the latest audited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 in each case other than as set forth in the Registration Statement, the Pricing Disclosure Package and the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ind w:firstLine="921"/>
        <w:spacing w:after="0" w:line="273" w:lineRule="auto"/>
        <w:tabs>
          <w:tab w:leader="none" w:pos="1237"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Disclosures and Descriptions</w:t>
      </w:r>
      <w:r>
        <w:rPr>
          <w:rFonts w:ascii="Arial" w:cs="Arial" w:eastAsia="Arial" w:hAnsi="Arial"/>
          <w:sz w:val="17"/>
          <w:szCs w:val="17"/>
          <w:color w:val="auto"/>
        </w:rPr>
        <w:t>. There are no legal or governmental proceedings pending or, to the knowledge of the Issuers,</w:t>
      </w:r>
      <w:r>
        <w:rPr>
          <w:rFonts w:ascii="Arial" w:cs="Arial" w:eastAsia="Arial" w:hAnsi="Arial"/>
          <w:sz w:val="17"/>
          <w:szCs w:val="17"/>
          <w:i w:val="1"/>
          <w:iCs w:val="1"/>
          <w:color w:val="auto"/>
        </w:rPr>
        <w:t xml:space="preserve"> </w:t>
      </w:r>
      <w:r>
        <w:rPr>
          <w:rFonts w:ascii="Arial" w:cs="Arial" w:eastAsia="Arial" w:hAnsi="Arial"/>
          <w:sz w:val="17"/>
          <w:szCs w:val="17"/>
          <w:color w:val="auto"/>
        </w:rPr>
        <w:t>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78" w:lineRule="exact"/>
        <w:rPr>
          <w:rFonts w:ascii="Arial" w:cs="Arial" w:eastAsia="Arial" w:hAnsi="Arial"/>
          <w:sz w:val="17"/>
          <w:szCs w:val="17"/>
          <w:color w:val="auto"/>
        </w:rPr>
      </w:pPr>
    </w:p>
    <w:p>
      <w:pPr>
        <w:ind w:firstLine="921"/>
        <w:spacing w:after="0" w:line="254" w:lineRule="auto"/>
        <w:tabs>
          <w:tab w:leader="none" w:pos="125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Title to Properties</w:t>
      </w:r>
      <w:r>
        <w:rPr>
          <w:rFonts w:ascii="Arial" w:cs="Arial" w:eastAsia="Arial" w:hAnsi="Arial"/>
          <w:sz w:val="18"/>
          <w:szCs w:val="18"/>
          <w:color w:val="auto"/>
        </w:rPr>
        <w:t>. The Plains Entities, directly or indirectly, have good and indefeasible title to all real property and good title to all</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property described in the Pricing Disclosure Package and the Prospectus as being owned by them, free and clear of all Liens except (i) as provided in the Third Amended and Restated Credit Agreement dated August 19, 2011, as amended (the “</w:t>
      </w:r>
      <w:r>
        <w:rPr>
          <w:rFonts w:ascii="Arial" w:cs="Arial" w:eastAsia="Arial" w:hAnsi="Arial"/>
          <w:sz w:val="18"/>
          <w:szCs w:val="18"/>
          <w:b w:val="1"/>
          <w:bCs w:val="1"/>
          <w:color w:val="auto"/>
        </w:rPr>
        <w:t>Hedged Inventory Facility</w:t>
      </w:r>
      <w:r>
        <w:rPr>
          <w:rFonts w:ascii="Arial" w:cs="Arial" w:eastAsia="Arial" w:hAnsi="Arial"/>
          <w:sz w:val="18"/>
          <w:szCs w:val="18"/>
          <w:color w:val="auto"/>
        </w:rPr>
        <w:t>”), among Plains Marketing, L.P. (“</w:t>
      </w:r>
      <w:r>
        <w:rPr>
          <w:rFonts w:ascii="Arial" w:cs="Arial" w:eastAsia="Arial" w:hAnsi="Arial"/>
          <w:sz w:val="18"/>
          <w:szCs w:val="18"/>
          <w:b w:val="1"/>
          <w:bCs w:val="1"/>
          <w:color w:val="auto"/>
        </w:rPr>
        <w:t>Plains Marketing</w:t>
      </w:r>
      <w:r>
        <w:rPr>
          <w:rFonts w:ascii="Arial" w:cs="Arial" w:eastAsia="Arial" w:hAnsi="Arial"/>
          <w:sz w:val="18"/>
          <w:szCs w:val="18"/>
          <w:color w:val="auto"/>
        </w:rPr>
        <w:t>”),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w:t>
      </w:r>
    </w:p>
    <w:p>
      <w:pPr>
        <w:spacing w:after="0" w:line="192" w:lineRule="exact"/>
        <w:rPr>
          <w:rFonts w:ascii="Arial" w:cs="Arial" w:eastAsia="Arial" w:hAnsi="Arial"/>
          <w:sz w:val="18"/>
          <w:szCs w:val="18"/>
          <w:color w:val="auto"/>
        </w:rPr>
      </w:pPr>
    </w:p>
    <w:p>
      <w:pPr>
        <w:ind w:right="40" w:firstLine="921"/>
        <w:spacing w:after="0" w:line="291" w:lineRule="auto"/>
        <w:tabs>
          <w:tab w:leader="none" w:pos="1237"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Permits</w:t>
      </w:r>
      <w:r>
        <w:rPr>
          <w:rFonts w:ascii="Arial" w:cs="Arial" w:eastAsia="Arial" w:hAnsi="Arial"/>
          <w:sz w:val="16"/>
          <w:szCs w:val="16"/>
          <w:color w:val="auto"/>
        </w:rPr>
        <w:t>. Each of the Plains Entities, directly or indirectly, has such permits, consents, licenses, franchises, certificates and authorizations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spacing w:after="0" w:line="167" w:lineRule="exact"/>
        <w:rPr>
          <w:rFonts w:ascii="Arial" w:cs="Arial" w:eastAsia="Arial" w:hAnsi="Arial"/>
          <w:sz w:val="16"/>
          <w:szCs w:val="16"/>
          <w:color w:val="auto"/>
        </w:rPr>
      </w:pPr>
    </w:p>
    <w:p>
      <w:pPr>
        <w:ind w:left="1260" w:hanging="339"/>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Rights-of-Way</w:t>
      </w:r>
      <w:r>
        <w:rPr>
          <w:rFonts w:ascii="Arial" w:cs="Arial" w:eastAsia="Arial" w:hAnsi="Arial"/>
          <w:sz w:val="16"/>
          <w:szCs w:val="16"/>
          <w:color w:val="auto"/>
        </w:rPr>
        <w:t>. Each of the Plains Entities, directly or indirectly, has such consents, easements, rights-of-way or licenses from any person</w:t>
      </w:r>
    </w:p>
    <w:p>
      <w:pPr>
        <w:spacing w:after="0" w:line="4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rights-of-way</w:t>
      </w:r>
      <w:r>
        <w:rPr>
          <w:rFonts w:ascii="Arial" w:cs="Arial" w:eastAsia="Arial" w:hAnsi="Arial"/>
          <w:sz w:val="16"/>
          <w:szCs w:val="16"/>
          <w:color w:val="auto"/>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4" w:name="page15"/>
    <w:bookmarkEnd w:id="14"/>
    <w:p>
      <w:pPr>
        <w:ind w:left="-20" w:firstLine="921"/>
        <w:spacing w:after="0" w:line="273" w:lineRule="auto"/>
        <w:tabs>
          <w:tab w:leader="none" w:pos="1217"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w:t>
      </w:r>
      <w:r>
        <w:rPr>
          <w:rFonts w:ascii="Arial" w:cs="Arial" w:eastAsia="Arial" w:hAnsi="Arial"/>
          <w:sz w:val="17"/>
          <w:szCs w:val="17"/>
          <w:color w:val="auto"/>
        </w:rPr>
        <w:t>. None of the Plains Entities is now, and after sale of the Notes to be sold by the Issuers hereunder and application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178" w:lineRule="exact"/>
        <w:rPr>
          <w:rFonts w:ascii="Arial" w:cs="Arial" w:eastAsia="Arial" w:hAnsi="Arial"/>
          <w:sz w:val="17"/>
          <w:szCs w:val="17"/>
          <w:color w:val="auto"/>
        </w:rPr>
      </w:pPr>
    </w:p>
    <w:p>
      <w:pPr>
        <w:ind w:left="-20" w:right="40" w:firstLine="921"/>
        <w:spacing w:after="0" w:line="273" w:lineRule="auto"/>
        <w:tabs>
          <w:tab w:leader="none" w:pos="1174"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Environmental Compliance</w:t>
      </w:r>
      <w:r>
        <w:rPr>
          <w:rFonts w:ascii="Arial" w:cs="Arial" w:eastAsia="Arial" w:hAnsi="Arial"/>
          <w:sz w:val="17"/>
          <w:szCs w:val="17"/>
          <w:color w:val="auto"/>
        </w:rPr>
        <w:t>. Except as described in the Pricing Disclosure Package and the Prospectus, none of the Plains Entities,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spacing w:after="0" w:line="178" w:lineRule="exact"/>
        <w:rPr>
          <w:rFonts w:ascii="Arial" w:cs="Arial" w:eastAsia="Arial" w:hAnsi="Arial"/>
          <w:sz w:val="17"/>
          <w:szCs w:val="17"/>
          <w:color w:val="auto"/>
        </w:rPr>
      </w:pPr>
    </w:p>
    <w:p>
      <w:pPr>
        <w:ind w:left="-20" w:right="240" w:firstLine="921"/>
        <w:spacing w:after="0" w:line="277" w:lineRule="auto"/>
        <w:tabs>
          <w:tab w:leader="none" w:pos="123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Plains Entities or the GP Entities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Issuers, is imminent, that would reasonably be expected to have a Material Adverse Effect.</w:t>
      </w:r>
    </w:p>
    <w:p>
      <w:pPr>
        <w:spacing w:after="0" w:line="170" w:lineRule="exact"/>
        <w:rPr>
          <w:rFonts w:ascii="Arial" w:cs="Arial" w:eastAsia="Arial" w:hAnsi="Arial"/>
          <w:sz w:val="18"/>
          <w:szCs w:val="18"/>
          <w:color w:val="auto"/>
        </w:rPr>
      </w:pPr>
    </w:p>
    <w:p>
      <w:pPr>
        <w:ind w:left="-20" w:right="120" w:firstLine="921"/>
        <w:spacing w:after="0" w:line="302" w:lineRule="auto"/>
        <w:tabs>
          <w:tab w:leader="none" w:pos="123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Partnership maintains or is entitled to the benefits of insurance covering its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54" w:lineRule="exact"/>
        <w:rPr>
          <w:rFonts w:ascii="Arial" w:cs="Arial" w:eastAsia="Arial" w:hAnsi="Arial"/>
          <w:sz w:val="16"/>
          <w:szCs w:val="16"/>
          <w:color w:val="auto"/>
        </w:rPr>
      </w:pPr>
    </w:p>
    <w:p>
      <w:pPr>
        <w:ind w:left="-20" w:right="40" w:firstLine="921"/>
        <w:spacing w:after="0" w:line="293" w:lineRule="auto"/>
        <w:tabs>
          <w:tab w:leader="none" w:pos="115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No Legal Actions</w:t>
      </w:r>
      <w:r>
        <w:rPr>
          <w:rFonts w:ascii="Arial" w:cs="Arial" w:eastAsia="Arial" w:hAnsi="Arial"/>
          <w:sz w:val="16"/>
          <w:szCs w:val="16"/>
          <w:color w:val="auto"/>
        </w:rPr>
        <w:t>. Except as described in the Pricing Disclosure Package and the Prospectus, there is (i) no action, suit or proceeding before</w:t>
      </w:r>
      <w:r>
        <w:rPr>
          <w:rFonts w:ascii="Arial" w:cs="Arial" w:eastAsia="Arial" w:hAnsi="Arial"/>
          <w:sz w:val="16"/>
          <w:szCs w:val="16"/>
          <w:i w:val="1"/>
          <w:iCs w:val="1"/>
          <w:color w:val="auto"/>
        </w:rPr>
        <w:t xml:space="preserve"> </w:t>
      </w:r>
      <w:r>
        <w:rPr>
          <w:rFonts w:ascii="Arial" w:cs="Arial" w:eastAsia="Arial" w:hAnsi="Arial"/>
          <w:sz w:val="16"/>
          <w:szCs w:val="16"/>
          <w:color w:val="auto"/>
        </w:rPr>
        <w:t>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and issuance of the Notes.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15" w:name="page16"/>
    <w:bookmarkEnd w:id="15"/>
    <w:p>
      <w:pPr>
        <w:ind w:left="-8" w:right="320" w:firstLine="921"/>
        <w:spacing w:after="0" w:line="273" w:lineRule="auto"/>
        <w:tabs>
          <w:tab w:leader="none" w:pos="1170" w:val="left"/>
        </w:tabs>
        <w:numPr>
          <w:ilvl w:val="1"/>
          <w:numId w:val="1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 Restrictions</w:t>
      </w:r>
      <w:r>
        <w:rPr>
          <w:rFonts w:ascii="Arial" w:cs="Arial" w:eastAsia="Arial" w:hAnsi="Arial"/>
          <w:sz w:val="17"/>
          <w:szCs w:val="17"/>
          <w:color w:val="auto"/>
        </w:rPr>
        <w:t>. No Subsidiary is currently prohibited, directly or indirectly, from making any distributions to the Partnership or</w:t>
      </w:r>
      <w:r>
        <w:rPr>
          <w:rFonts w:ascii="Arial" w:cs="Arial" w:eastAsia="Arial" w:hAnsi="Arial"/>
          <w:sz w:val="17"/>
          <w:szCs w:val="17"/>
          <w:i w:val="1"/>
          <w:iCs w:val="1"/>
          <w:color w:val="auto"/>
        </w:rPr>
        <w:t xml:space="preserve"> </w:t>
      </w:r>
      <w:r>
        <w:rPr>
          <w:rFonts w:ascii="Arial" w:cs="Arial" w:eastAsia="Arial" w:hAnsi="Arial"/>
          <w:sz w:val="17"/>
          <w:szCs w:val="17"/>
          <w:color w:val="auto"/>
        </w:rPr>
        <w:t>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reasonably be expected to have a Material Adverse Effect.</w:t>
      </w:r>
    </w:p>
    <w:p>
      <w:pPr>
        <w:spacing w:after="0" w:line="178" w:lineRule="exact"/>
        <w:rPr>
          <w:rFonts w:ascii="Arial" w:cs="Arial" w:eastAsia="Arial" w:hAnsi="Arial"/>
          <w:sz w:val="17"/>
          <w:szCs w:val="17"/>
          <w:color w:val="auto"/>
        </w:rPr>
      </w:pPr>
    </w:p>
    <w:p>
      <w:pPr>
        <w:ind w:left="1252" w:hanging="339"/>
        <w:spacing w:after="0"/>
        <w:tabs>
          <w:tab w:leader="none" w:pos="1252"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No Distribution of Other Offering Materials</w:t>
      </w:r>
      <w:r>
        <w:rPr>
          <w:rFonts w:ascii="Arial" w:cs="Arial" w:eastAsia="Arial" w:hAnsi="Arial"/>
          <w:sz w:val="16"/>
          <w:szCs w:val="16"/>
          <w:color w:val="auto"/>
        </w:rPr>
        <w:t>. None of the Plains Entities or the GP Entities has distributed and, prior to the later to occur of</w:t>
      </w:r>
    </w:p>
    <w:p>
      <w:pPr>
        <w:spacing w:after="0" w:line="46" w:lineRule="exact"/>
        <w:rPr>
          <w:rFonts w:ascii="Arial" w:cs="Arial" w:eastAsia="Arial" w:hAnsi="Arial"/>
          <w:sz w:val="16"/>
          <w:szCs w:val="16"/>
          <w:color w:val="auto"/>
        </w:rPr>
      </w:pPr>
    </w:p>
    <w:p>
      <w:pPr>
        <w:ind w:left="-8" w:right="200" w:firstLine="8"/>
        <w:spacing w:after="0" w:line="254" w:lineRule="auto"/>
        <w:tabs>
          <w:tab w:leader="none" w:pos="2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Section 1(h) of this Agreement, or other materials, if any, permitted by the Securities Act, including Rule 134 of the Rules and Regulations.</w:t>
      </w:r>
    </w:p>
    <w:p>
      <w:pPr>
        <w:spacing w:after="0" w:line="189" w:lineRule="exact"/>
        <w:rPr>
          <w:rFonts w:ascii="Arial" w:cs="Arial" w:eastAsia="Arial" w:hAnsi="Arial"/>
          <w:sz w:val="18"/>
          <w:szCs w:val="18"/>
          <w:color w:val="auto"/>
        </w:rPr>
      </w:pPr>
    </w:p>
    <w:p>
      <w:pPr>
        <w:ind w:left="-8" w:firstLine="921"/>
        <w:spacing w:after="0" w:line="297" w:lineRule="auto"/>
        <w:tabs>
          <w:tab w:leader="none" w:pos="1170"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Books and Records; Accounting Controls</w:t>
      </w:r>
      <w:r>
        <w:rPr>
          <w:rFonts w:ascii="Arial" w:cs="Arial" w:eastAsia="Arial" w:hAnsi="Arial"/>
          <w:sz w:val="16"/>
          <w:szCs w:val="16"/>
          <w:color w:val="auto"/>
        </w:rPr>
        <w:t>. The Partnership maintains a system of internal accounting controls sufficient to provide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58" w:lineRule="exact"/>
        <w:rPr>
          <w:rFonts w:ascii="Arial" w:cs="Arial" w:eastAsia="Arial" w:hAnsi="Arial"/>
          <w:sz w:val="16"/>
          <w:szCs w:val="16"/>
          <w:color w:val="auto"/>
        </w:rPr>
      </w:pPr>
    </w:p>
    <w:p>
      <w:pPr>
        <w:ind w:left="-8" w:right="60" w:firstLine="921"/>
        <w:spacing w:after="0" w:line="264" w:lineRule="auto"/>
        <w:tabs>
          <w:tab w:leader="none" w:pos="1350"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Issuers, the directors and officers of GP LLC in their capacities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are in compliance in all material respects with all applicable and effective provisions of the Sarbanes-Oxley Act of 2002 and the rules and regulations promulgated thereunder.</w:t>
      </w:r>
    </w:p>
    <w:p>
      <w:pPr>
        <w:spacing w:after="0" w:line="181" w:lineRule="exact"/>
        <w:rPr>
          <w:rFonts w:ascii="Arial" w:cs="Arial" w:eastAsia="Arial" w:hAnsi="Arial"/>
          <w:sz w:val="18"/>
          <w:szCs w:val="18"/>
          <w:color w:val="auto"/>
        </w:rPr>
      </w:pPr>
    </w:p>
    <w:p>
      <w:pPr>
        <w:ind w:left="-8" w:firstLine="921"/>
        <w:spacing w:after="0" w:line="293" w:lineRule="auto"/>
        <w:tabs>
          <w:tab w:leader="none" w:pos="1250"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Partnership maintains disclosure controls and procedures (to the extent required by and as such term is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64" w:lineRule="exact"/>
        <w:rPr>
          <w:rFonts w:ascii="Arial" w:cs="Arial" w:eastAsia="Arial" w:hAnsi="Arial"/>
          <w:sz w:val="16"/>
          <w:szCs w:val="16"/>
          <w:color w:val="auto"/>
        </w:rPr>
      </w:pPr>
    </w:p>
    <w:p>
      <w:pPr>
        <w:ind w:left="-8" w:right="440" w:firstLine="921"/>
        <w:spacing w:after="0" w:line="308" w:lineRule="auto"/>
        <w:tabs>
          <w:tab w:leader="none" w:pos="1250"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No Deficiency in Internal Controls</w:t>
      </w:r>
      <w:r>
        <w:rPr>
          <w:rFonts w:ascii="Arial" w:cs="Arial" w:eastAsia="Arial" w:hAnsi="Arial"/>
          <w:sz w:val="17"/>
          <w:szCs w:val="17"/>
          <w:color w:val="auto"/>
        </w:rPr>
        <w:t>. Based on the evaluation of its disclosure controls and procedures conducted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preparation and filing of the Partnership’s Annual Report on Form 10-K for the most recent fiscal year end, the Partnership is</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16" w:name="page17"/>
    <w:bookmarkEnd w:id="16"/>
    <w:p>
      <w:pPr>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66" w:lineRule="exact"/>
        <w:rPr>
          <w:sz w:val="20"/>
          <w:szCs w:val="20"/>
          <w:color w:val="auto"/>
        </w:rPr>
      </w:pPr>
    </w:p>
    <w:p>
      <w:pPr>
        <w:ind w:firstLine="921"/>
        <w:spacing w:after="0" w:line="286" w:lineRule="auto"/>
        <w:tabs>
          <w:tab w:leader="none" w:pos="125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FCPA</w:t>
      </w:r>
      <w:r>
        <w:rPr>
          <w:rFonts w:ascii="Arial" w:cs="Arial" w:eastAsia="Arial" w:hAnsi="Arial"/>
          <w:sz w:val="17"/>
          <w:szCs w:val="17"/>
          <w:color w:val="auto"/>
        </w:rPr>
        <w:t>. None of the Plains Entities or the GP Entities nor, to the knowledge of the Issuers, any director, officer, agent or employee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65" w:lineRule="exact"/>
        <w:rPr>
          <w:rFonts w:ascii="Arial" w:cs="Arial" w:eastAsia="Arial" w:hAnsi="Arial"/>
          <w:sz w:val="17"/>
          <w:szCs w:val="17"/>
          <w:color w:val="auto"/>
        </w:rPr>
      </w:pPr>
    </w:p>
    <w:p>
      <w:pPr>
        <w:ind w:right="200" w:firstLine="921"/>
        <w:spacing w:after="0" w:line="342" w:lineRule="auto"/>
        <w:tabs>
          <w:tab w:leader="none" w:pos="125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Money Laundering Laws</w:t>
      </w:r>
      <w:r>
        <w:rPr>
          <w:rFonts w:ascii="Arial" w:cs="Arial" w:eastAsia="Arial" w:hAnsi="Arial"/>
          <w:sz w:val="16"/>
          <w:szCs w:val="16"/>
          <w:color w:val="auto"/>
        </w:rPr>
        <w:t>. No action, suit or proceeding by or before any court or governmental agency, authority or body or any arbitrator</w:t>
      </w:r>
      <w:r>
        <w:rPr>
          <w:rFonts w:ascii="Arial" w:cs="Arial" w:eastAsia="Arial" w:hAnsi="Arial"/>
          <w:sz w:val="16"/>
          <w:szCs w:val="16"/>
          <w:i w:val="1"/>
          <w:iCs w:val="1"/>
          <w:color w:val="auto"/>
        </w:rPr>
        <w:t xml:space="preserve"> </w:t>
      </w:r>
      <w:r>
        <w:rPr>
          <w:rFonts w:ascii="Arial" w:cs="Arial" w:eastAsia="Arial" w:hAnsi="Arial"/>
          <w:sz w:val="16"/>
          <w:szCs w:val="16"/>
          <w:color w:val="auto"/>
        </w:rPr>
        <w:t>involving the Plains Entities or the GP Entities that involve allegations of money laundering is pending or, to the knowledge of the Issuers, threatened.</w:t>
      </w:r>
    </w:p>
    <w:p>
      <w:pPr>
        <w:spacing w:after="0" w:line="123" w:lineRule="exact"/>
        <w:rPr>
          <w:rFonts w:ascii="Arial" w:cs="Arial" w:eastAsia="Arial" w:hAnsi="Arial"/>
          <w:sz w:val="16"/>
          <w:szCs w:val="16"/>
          <w:color w:val="auto"/>
        </w:rPr>
      </w:pPr>
    </w:p>
    <w:p>
      <w:pPr>
        <w:ind w:right="140" w:firstLine="921"/>
        <w:spacing w:after="0" w:line="264" w:lineRule="auto"/>
        <w:tabs>
          <w:tab w:leader="none" w:pos="119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or the GP Entities nor, to the knowledge of the Issuers, any director, officer or employee of the Plains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or the GP Entities (in their capacity as director, officer or employee) has received notice that it is subject to any sanctions administered by the Office of Foreign Assets Control of the U.S. Treasury Department.</w:t>
      </w:r>
    </w:p>
    <w:p>
      <w:pPr>
        <w:spacing w:after="0" w:line="181" w:lineRule="exact"/>
        <w:rPr>
          <w:rFonts w:ascii="Arial" w:cs="Arial" w:eastAsia="Arial" w:hAnsi="Arial"/>
          <w:sz w:val="18"/>
          <w:szCs w:val="18"/>
          <w:color w:val="auto"/>
        </w:rPr>
      </w:pPr>
    </w:p>
    <w:p>
      <w:pPr>
        <w:ind w:right="140" w:firstLine="921"/>
        <w:spacing w:after="0" w:line="286" w:lineRule="auto"/>
        <w:tabs>
          <w:tab w:leader="none" w:pos="121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XBRL</w:t>
      </w:r>
      <w:r>
        <w:rPr>
          <w:rFonts w:ascii="Arial" w:cs="Arial" w:eastAsia="Arial" w:hAnsi="Arial"/>
          <w:sz w:val="17"/>
          <w:szCs w:val="17"/>
          <w:color w:val="auto"/>
        </w:rPr>
        <w:t>. The interactive data in eXtensible Business Reporting Language incorporated by reference in the Registration Statement, the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and the Prospectus fairly presents the information called for in all material respects and has been prepared in accordance with the Commission’s rules and guidelines applicable thereto.</w:t>
      </w:r>
    </w:p>
    <w:p>
      <w:pPr>
        <w:spacing w:after="0" w:line="166"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The applicable statements made in the certificates described in Sections 7(j) and 7(n) shall be deemed representations and warranties by the Issuers, as to matters covered thereby, to the Underwriters.</w:t>
      </w:r>
    </w:p>
    <w:p>
      <w:pPr>
        <w:spacing w:after="0" w:line="170" w:lineRule="exact"/>
        <w:rPr>
          <w:sz w:val="20"/>
          <w:szCs w:val="20"/>
          <w:color w:val="auto"/>
        </w:rPr>
      </w:pPr>
    </w:p>
    <w:p>
      <w:pPr>
        <w:ind w:right="80" w:firstLine="921"/>
        <w:spacing w:after="0" w:line="259" w:lineRule="auto"/>
        <w:tabs>
          <w:tab w:leader="none" w:pos="109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Subject to the terms and conditions and in reliance upon the representations and warranties herein set forth, the Issuers agree to sell to each Underwriter, and each Underwriter agrees, severally and not jointly, to purchase from the Issuers the principal amount of Notes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at a purchase price of 99.196% of the principal amount thereof, plus accrued interest, if any, from the Delivery Date.</w:t>
      </w:r>
    </w:p>
    <w:p>
      <w:pPr>
        <w:spacing w:after="0" w:line="186" w:lineRule="exact"/>
        <w:rPr>
          <w:rFonts w:ascii="Arial" w:cs="Arial" w:eastAsia="Arial" w:hAnsi="Arial"/>
          <w:sz w:val="18"/>
          <w:szCs w:val="18"/>
          <w:color w:val="auto"/>
        </w:rPr>
      </w:pPr>
    </w:p>
    <w:p>
      <w:pPr>
        <w:ind w:right="40" w:firstLine="921"/>
        <w:spacing w:after="0" w:line="297" w:lineRule="auto"/>
        <w:tabs>
          <w:tab w:leader="none" w:pos="109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Notes shall be made at the office of Vinson &amp; Elkins L.L.P., 1001 Fannin, Houston, Texas 77002 at 9:00 a.m., Houston time, on August 24, 2015, or at such time on such later date not more than three business days after the foregoing date as the Representatives shall designate, which date and time may be postponed by agreement between the Representatives and the Issuers or as provided in Section 9 hereof (such date and time of delivery and payment for the Notes being herein called the “</w:t>
      </w:r>
      <w:r>
        <w:rPr>
          <w:rFonts w:ascii="Arial" w:cs="Arial" w:eastAsia="Arial" w:hAnsi="Arial"/>
          <w:sz w:val="16"/>
          <w:szCs w:val="16"/>
          <w:b w:val="1"/>
          <w:bCs w:val="1"/>
          <w:color w:val="auto"/>
        </w:rPr>
        <w:t>Delivery Date</w:t>
      </w:r>
      <w:r>
        <w:rPr>
          <w:rFonts w:ascii="Arial" w:cs="Arial" w:eastAsia="Arial" w:hAnsi="Arial"/>
          <w:sz w:val="16"/>
          <w:szCs w:val="16"/>
          <w:color w:val="auto"/>
        </w:rPr>
        <w:t>”). Payment for the Notes shall be made by wire transfer in immediately available funds to the account(s) specified by the Issuers to the Representatives against delivery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ind w:right="2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Notes to the Underwriters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Concurrently, the Issuers shall deliver to the Trustee, as custodian for DTC, one or more global notes representing the Notes (collectively, the “</w:t>
      </w:r>
      <w:r>
        <w:rPr>
          <w:rFonts w:ascii="Arial" w:cs="Arial" w:eastAsia="Arial" w:hAnsi="Arial"/>
          <w:sz w:val="18"/>
          <w:szCs w:val="18"/>
          <w:b w:val="1"/>
          <w:bCs w:val="1"/>
          <w:color w:val="auto"/>
        </w:rPr>
        <w:t>Global Notes</w:t>
      </w:r>
      <w:r>
        <w:rPr>
          <w:rFonts w:ascii="Arial" w:cs="Arial" w:eastAsia="Arial" w:hAnsi="Arial"/>
          <w:sz w:val="18"/>
          <w:szCs w:val="18"/>
          <w:color w:val="auto"/>
        </w:rPr>
        <w:t>”).</w:t>
      </w:r>
    </w:p>
    <w:p>
      <w:pPr>
        <w:spacing w:after="0" w:line="166" w:lineRule="exact"/>
        <w:rPr>
          <w:sz w:val="20"/>
          <w:szCs w:val="20"/>
          <w:color w:val="auto"/>
        </w:rPr>
      </w:pPr>
    </w:p>
    <w:p>
      <w:pPr>
        <w:ind w:right="600" w:firstLine="464"/>
        <w:spacing w:after="0" w:line="277"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Offering by the Underwriters</w:t>
      </w:r>
      <w:r>
        <w:rPr>
          <w:rFonts w:ascii="Arial" w:cs="Arial" w:eastAsia="Arial" w:hAnsi="Arial"/>
          <w:sz w:val="18"/>
          <w:szCs w:val="18"/>
          <w:color w:val="auto"/>
        </w:rPr>
        <w:t>. It is understood that the several Underwriters propose to offer the Notes for sale to the public as set forth in the Prospectus.</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Agreements of the Issuers</w:t>
      </w:r>
      <w:r>
        <w:rPr>
          <w:rFonts w:ascii="Arial" w:cs="Arial" w:eastAsia="Arial" w:hAnsi="Arial"/>
          <w:sz w:val="18"/>
          <w:szCs w:val="18"/>
          <w:color w:val="auto"/>
        </w:rPr>
        <w:t>. Each of the Issuers, jointly and severally, acknowledges and agrees with the Underwriters that:</w:t>
      </w:r>
    </w:p>
    <w:p>
      <w:pPr>
        <w:spacing w:after="0" w:line="225" w:lineRule="exact"/>
        <w:rPr>
          <w:rFonts w:ascii="Arial" w:cs="Arial" w:eastAsia="Arial" w:hAnsi="Arial"/>
          <w:sz w:val="18"/>
          <w:szCs w:val="18"/>
          <w:color w:val="auto"/>
        </w:rPr>
      </w:pPr>
    </w:p>
    <w:p>
      <w:pPr>
        <w:ind w:right="180" w:firstLine="921"/>
        <w:spacing w:after="0" w:line="259" w:lineRule="auto"/>
        <w:tabs>
          <w:tab w:leader="none" w:pos="1157"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 Statement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186" w:lineRule="exact"/>
        <w:rPr>
          <w:rFonts w:ascii="Arial" w:cs="Arial" w:eastAsia="Arial" w:hAnsi="Arial"/>
          <w:sz w:val="18"/>
          <w:szCs w:val="18"/>
          <w:color w:val="auto"/>
        </w:rPr>
      </w:pPr>
    </w:p>
    <w:p>
      <w:pPr>
        <w:ind w:firstLine="921"/>
        <w:spacing w:after="0" w:line="286" w:lineRule="auto"/>
        <w:tabs>
          <w:tab w:leader="none" w:pos="116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Preparation of Prospectus and Registration Statement</w:t>
      </w:r>
      <w:r>
        <w:rPr>
          <w:rFonts w:ascii="Arial" w:cs="Arial" w:eastAsia="Arial" w:hAnsi="Arial"/>
          <w:sz w:val="16"/>
          <w:szCs w:val="16"/>
          <w:color w:val="auto"/>
        </w:rPr>
        <w:t>. The Issuers will advise the Representatives promptly and, if requested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74" w:lineRule="exact"/>
        <w:rPr>
          <w:rFonts w:ascii="Arial" w:cs="Arial" w:eastAsia="Arial" w:hAnsi="Arial"/>
          <w:sz w:val="16"/>
          <w:szCs w:val="16"/>
          <w:color w:val="auto"/>
        </w:rPr>
      </w:pPr>
    </w:p>
    <w:p>
      <w:pPr>
        <w:ind w:right="200" w:firstLine="921"/>
        <w:spacing w:after="0" w:line="279" w:lineRule="auto"/>
        <w:tabs>
          <w:tab w:leader="none" w:pos="1157"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Final Term Sheet and Issuer Free Writing Prospectuses</w:t>
      </w:r>
      <w:r>
        <w:rPr>
          <w:rFonts w:ascii="Arial" w:cs="Arial" w:eastAsia="Arial" w:hAnsi="Arial"/>
          <w:sz w:val="17"/>
          <w:szCs w:val="17"/>
          <w:color w:val="auto"/>
        </w:rPr>
        <w:t>. The Issuers agree to (i) prepare a final term sheet, containing a description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final terms of the Notes and the offering thereof, in the form approved by the Representatives and attached as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8" w:name="page19"/>
    <w:bookmarkEnd w:id="18"/>
    <w:p>
      <w:pPr>
        <w:ind w:left="-20" w:right="80" w:firstLine="921"/>
        <w:spacing w:after="0" w:line="273" w:lineRule="auto"/>
        <w:tabs>
          <w:tab w:leader="none" w:pos="114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Copies of Registration Statement</w:t>
      </w:r>
      <w:r>
        <w:rPr>
          <w:rFonts w:ascii="Arial" w:cs="Arial" w:eastAsia="Arial" w:hAnsi="Arial"/>
          <w:sz w:val="17"/>
          <w:szCs w:val="17"/>
          <w:color w:val="auto"/>
        </w:rPr>
        <w:t>. The Issuers will furnish to the Underwriters, without charge, (i) one copy of the manually signed copy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statement corresponding to the Commission’s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w:t>
      </w:r>
    </w:p>
    <w:p>
      <w:pPr>
        <w:spacing w:after="0" w:line="178" w:lineRule="exact"/>
        <w:rPr>
          <w:rFonts w:ascii="Arial" w:cs="Arial" w:eastAsia="Arial" w:hAnsi="Arial"/>
          <w:sz w:val="17"/>
          <w:szCs w:val="17"/>
          <w:color w:val="auto"/>
        </w:rPr>
      </w:pPr>
    </w:p>
    <w:p>
      <w:pPr>
        <w:ind w:left="-20" w:right="180" w:firstLine="921"/>
        <w:spacing w:after="0" w:line="271" w:lineRule="auto"/>
        <w:tabs>
          <w:tab w:leader="none" w:pos="1137"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Filing of Amendment or Supplement</w:t>
      </w:r>
      <w:r>
        <w:rPr>
          <w:rFonts w:ascii="Arial" w:cs="Arial" w:eastAsia="Arial" w:hAnsi="Arial"/>
          <w:sz w:val="17"/>
          <w:szCs w:val="17"/>
          <w:color w:val="auto"/>
        </w:rPr>
        <w:t>. For such period as in the opinion of counsel for the Underwriters a prospectus is required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to be delivered in connection with sales by any Underwriter or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178" w:lineRule="exact"/>
        <w:rPr>
          <w:rFonts w:ascii="Arial" w:cs="Arial" w:eastAsia="Arial" w:hAnsi="Arial"/>
          <w:sz w:val="17"/>
          <w:szCs w:val="17"/>
          <w:color w:val="auto"/>
        </w:rPr>
      </w:pPr>
    </w:p>
    <w:p>
      <w:pPr>
        <w:ind w:left="-20" w:firstLine="921"/>
        <w:spacing w:after="0" w:line="286" w:lineRule="auto"/>
        <w:tabs>
          <w:tab w:leader="none" w:pos="111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Copies of Documents to the Underwriters</w:t>
      </w:r>
      <w:r>
        <w:rPr>
          <w:rFonts w:ascii="Arial" w:cs="Arial" w:eastAsia="Arial" w:hAnsi="Arial"/>
          <w:sz w:val="16"/>
          <w:szCs w:val="16"/>
          <w:color w:val="auto"/>
        </w:rPr>
        <w:t>. As soon after the Applicable Time as possible and thereafter from time to time for such period as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opinion of counsel for the Underwriters a prospectus is required by the Securities Act to be delivered in connection with sales by any Underwriter or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provided that a prospectus is required by the Securities Act to be delivered in connection with sales of the Notes by any Underwriter or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19" w:name="page20"/>
    <w:bookmarkEnd w:id="1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comply with the Securities Act or any other law, the Issuers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178" w:lineRule="exact"/>
        <w:rPr>
          <w:sz w:val="20"/>
          <w:szCs w:val="20"/>
          <w:color w:val="auto"/>
        </w:rPr>
      </w:pPr>
    </w:p>
    <w:p>
      <w:pPr>
        <w:ind w:firstLine="921"/>
        <w:spacing w:after="0" w:line="291" w:lineRule="auto"/>
        <w:tabs>
          <w:tab w:leader="none" w:pos="116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Blue Sky Laws</w:t>
      </w:r>
      <w:r>
        <w:rPr>
          <w:rFonts w:ascii="Arial" w:cs="Arial" w:eastAsia="Arial" w:hAnsi="Arial"/>
          <w:sz w:val="16"/>
          <w:szCs w:val="16"/>
          <w:color w:val="auto"/>
        </w:rPr>
        <w:t>. The Issuers will cooperate with the Representatives and with counsel for the Underwriters in connection with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167" w:lineRule="exact"/>
        <w:rPr>
          <w:rFonts w:ascii="Arial" w:cs="Arial" w:eastAsia="Arial" w:hAnsi="Arial"/>
          <w:sz w:val="16"/>
          <w:szCs w:val="16"/>
          <w:color w:val="auto"/>
        </w:rPr>
      </w:pPr>
    </w:p>
    <w:p>
      <w:pPr>
        <w:jc w:val="both"/>
        <w:ind w:right="200" w:firstLine="921"/>
        <w:spacing w:after="0" w:line="279" w:lineRule="auto"/>
        <w:tabs>
          <w:tab w:leader="none" w:pos="116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Reports to Security Holders</w:t>
      </w:r>
      <w:r>
        <w:rPr>
          <w:rFonts w:ascii="Arial" w:cs="Arial" w:eastAsia="Arial" w:hAnsi="Arial"/>
          <w:sz w:val="17"/>
          <w:szCs w:val="17"/>
          <w:color w:val="auto"/>
        </w:rPr>
        <w:t>. In accordance with Section 11(a) of the Securities Act and Rule 158 of the Rules and Regulations, the Issuers</w:t>
      </w:r>
      <w:r>
        <w:rPr>
          <w:rFonts w:ascii="Arial" w:cs="Arial" w:eastAsia="Arial" w:hAnsi="Arial"/>
          <w:sz w:val="17"/>
          <w:szCs w:val="17"/>
          <w:i w:val="1"/>
          <w:iCs w:val="1"/>
          <w:color w:val="auto"/>
        </w:rPr>
        <w:t xml:space="preserve"> </w:t>
      </w:r>
      <w:r>
        <w:rPr>
          <w:rFonts w:ascii="Arial" w:cs="Arial" w:eastAsia="Arial" w:hAnsi="Arial"/>
          <w:sz w:val="17"/>
          <w:szCs w:val="17"/>
          <w:color w:val="auto"/>
        </w:rPr>
        <w:t>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171" w:lineRule="exact"/>
        <w:rPr>
          <w:rFonts w:ascii="Arial" w:cs="Arial" w:eastAsia="Arial" w:hAnsi="Arial"/>
          <w:sz w:val="17"/>
          <w:szCs w:val="17"/>
          <w:color w:val="auto"/>
        </w:rPr>
      </w:pPr>
    </w:p>
    <w:p>
      <w:pPr>
        <w:ind w:right="20" w:firstLine="921"/>
        <w:spacing w:after="0" w:line="259" w:lineRule="auto"/>
        <w:tabs>
          <w:tab w:leader="none" w:pos="112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Copies of Reports</w:t>
      </w:r>
      <w:r>
        <w:rPr>
          <w:rFonts w:ascii="Arial" w:cs="Arial" w:eastAsia="Arial" w:hAnsi="Arial"/>
          <w:sz w:val="18"/>
          <w:szCs w:val="18"/>
          <w:color w:val="auto"/>
        </w:rPr>
        <w:t>. Unless otherwise available on EDGAR, during the period of two years hereafter, the Issuers will furnish or make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186" w:lineRule="exact"/>
        <w:rPr>
          <w:rFonts w:ascii="Arial" w:cs="Arial" w:eastAsia="Arial" w:hAnsi="Arial"/>
          <w:sz w:val="18"/>
          <w:szCs w:val="18"/>
          <w:color w:val="auto"/>
        </w:rPr>
      </w:pPr>
    </w:p>
    <w:p>
      <w:pPr>
        <w:ind w:right="180" w:firstLine="921"/>
        <w:spacing w:after="0" w:line="276" w:lineRule="auto"/>
        <w:tabs>
          <w:tab w:leader="none" w:pos="112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Termination Expenses</w:t>
      </w:r>
      <w:r>
        <w:rPr>
          <w:rFonts w:ascii="Arial" w:cs="Arial" w:eastAsia="Arial" w:hAnsi="Arial"/>
          <w:sz w:val="17"/>
          <w:szCs w:val="17"/>
          <w:color w:val="auto"/>
        </w:rPr>
        <w:t>. If this Agreement shall terminate or shall be terminated after execution pursuant to any provisions hereof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than pursuant to Section 9 hereof or Section 10 hereof (except pursuant to the first clause of Section 10(i)))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out-of-pocket expenses (including reasonable fees and expenses of counsel for the Underwriters) incurred by the Underwriters in connection herewith.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0" w:name="page21"/>
    <w:bookmarkEnd w:id="20"/>
    <w:p>
      <w:pPr>
        <w:ind w:left="-40" w:right="80" w:firstLine="921"/>
        <w:spacing w:after="0" w:line="277" w:lineRule="auto"/>
        <w:tabs>
          <w:tab w:leader="none" w:pos="112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Application of Proceeds</w:t>
      </w:r>
      <w:r>
        <w:rPr>
          <w:rFonts w:ascii="Arial" w:cs="Arial" w:eastAsia="Arial" w:hAnsi="Arial"/>
          <w:sz w:val="18"/>
          <w:szCs w:val="18"/>
          <w:color w:val="auto"/>
        </w:rPr>
        <w:t>. The Issuers will apply the net proceeds from the sale of the Notes in accordance with the description set forth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caption “Use of Proceeds” in the Pricing Disclosure Package and the Prospectus.</w:t>
      </w:r>
    </w:p>
    <w:p>
      <w:pPr>
        <w:spacing w:after="0" w:line="170" w:lineRule="exact"/>
        <w:rPr>
          <w:rFonts w:ascii="Arial" w:cs="Arial" w:eastAsia="Arial" w:hAnsi="Arial"/>
          <w:sz w:val="18"/>
          <w:szCs w:val="18"/>
          <w:color w:val="auto"/>
        </w:rPr>
      </w:pPr>
    </w:p>
    <w:p>
      <w:pPr>
        <w:ind w:left="-40" w:right="260" w:firstLine="921"/>
        <w:spacing w:after="0" w:line="277" w:lineRule="auto"/>
        <w:tabs>
          <w:tab w:leader="none" w:pos="108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Filing of Prospectus</w:t>
      </w:r>
      <w:r>
        <w:rPr>
          <w:rFonts w:ascii="Arial" w:cs="Arial" w:eastAsia="Arial" w:hAnsi="Arial"/>
          <w:sz w:val="18"/>
          <w:szCs w:val="18"/>
          <w:color w:val="auto"/>
        </w:rPr>
        <w:t>. The Issuers will timely file the Prospectus, and any amendment or supplement thereto, pursuant to Rule 424(b)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and will advise the Underwriters of the time and manner of such filing.</w:t>
      </w:r>
    </w:p>
    <w:p>
      <w:pPr>
        <w:spacing w:after="0" w:line="170" w:lineRule="exact"/>
        <w:rPr>
          <w:rFonts w:ascii="Arial" w:cs="Arial" w:eastAsia="Arial" w:hAnsi="Arial"/>
          <w:sz w:val="18"/>
          <w:szCs w:val="18"/>
          <w:color w:val="auto"/>
        </w:rPr>
      </w:pPr>
    </w:p>
    <w:p>
      <w:pPr>
        <w:ind w:left="-40" w:right="160" w:firstLine="921"/>
        <w:spacing w:after="0" w:line="264" w:lineRule="auto"/>
        <w:tabs>
          <w:tab w:leader="none" w:pos="117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neither of the Issuers has taken, or will take, directly or indirectly,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designed to or that might reasonably be expected to cause or result in stabilization or manipulation of the price of any security of the Issuers to facilitate the sale or resale of the Notes.</w:t>
      </w:r>
    </w:p>
    <w:p>
      <w:pPr>
        <w:spacing w:after="0" w:line="181" w:lineRule="exact"/>
        <w:rPr>
          <w:rFonts w:ascii="Arial" w:cs="Arial" w:eastAsia="Arial" w:hAnsi="Arial"/>
          <w:sz w:val="18"/>
          <w:szCs w:val="18"/>
          <w:color w:val="auto"/>
        </w:rPr>
      </w:pPr>
    </w:p>
    <w:p>
      <w:pPr>
        <w:ind w:left="-40" w:right="140" w:firstLine="921"/>
        <w:spacing w:after="0" w:line="264" w:lineRule="auto"/>
        <w:tabs>
          <w:tab w:leader="none" w:pos="112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Issuers will take such steps as shall be necessary to ensure that none of the Plains Entities or the GP Entities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an “investment company” within the meaning of such term under the Investment Company Act and the rules and regulations of the Commission thereunder.</w:t>
      </w:r>
    </w:p>
    <w:p>
      <w:pPr>
        <w:spacing w:after="0" w:line="181" w:lineRule="exact"/>
        <w:rPr>
          <w:rFonts w:ascii="Arial" w:cs="Arial" w:eastAsia="Arial" w:hAnsi="Arial"/>
          <w:sz w:val="18"/>
          <w:szCs w:val="18"/>
          <w:color w:val="auto"/>
        </w:rPr>
      </w:pPr>
    </w:p>
    <w:p>
      <w:pPr>
        <w:ind w:left="-40" w:right="280" w:firstLine="921"/>
        <w:spacing w:after="0" w:line="308" w:lineRule="auto"/>
        <w:tabs>
          <w:tab w:leader="none" w:pos="1128"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Exchange Act Reports</w:t>
      </w:r>
      <w:r>
        <w:rPr>
          <w:rFonts w:ascii="Arial" w:cs="Arial" w:eastAsia="Arial" w:hAnsi="Arial"/>
          <w:sz w:val="17"/>
          <w:szCs w:val="17"/>
          <w:color w:val="auto"/>
        </w:rPr>
        <w:t>. The Issuers, during the period when the Prospectus is required to be delivered under the Securities Act, will file all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required to be filed with the Commission pursuant to the Exchange Act within the time periods required by the Exchange Act.</w:t>
      </w:r>
    </w:p>
    <w:p>
      <w:pPr>
        <w:spacing w:after="0" w:line="146" w:lineRule="exact"/>
        <w:rPr>
          <w:rFonts w:ascii="Arial" w:cs="Arial" w:eastAsia="Arial" w:hAnsi="Arial"/>
          <w:sz w:val="17"/>
          <w:szCs w:val="17"/>
          <w:color w:val="auto"/>
        </w:rPr>
      </w:pPr>
    </w:p>
    <w:p>
      <w:pPr>
        <w:ind w:left="-40" w:firstLine="921"/>
        <w:spacing w:after="0" w:line="269" w:lineRule="auto"/>
        <w:tabs>
          <w:tab w:leader="none" w:pos="1128"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Free Writing Prospectuses</w:t>
      </w:r>
      <w:r>
        <w:rPr>
          <w:rFonts w:ascii="Arial" w:cs="Arial" w:eastAsia="Arial" w:hAnsi="Arial"/>
          <w:sz w:val="17"/>
          <w:szCs w:val="17"/>
          <w:color w:val="auto"/>
        </w:rPr>
        <w:t>. The Issuers have complied and will comply with the requirements of Rule 433 of the Rules and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to any Issuer Free Writing Prospectus, including appropriate legending and timely filing with the Commission or retention where required. The Issuers represent that they have satisfied and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Section 12.</w:t>
      </w:r>
    </w:p>
    <w:p>
      <w:pPr>
        <w:spacing w:after="0" w:line="182" w:lineRule="exact"/>
        <w:rPr>
          <w:rFonts w:ascii="Arial" w:cs="Arial" w:eastAsia="Arial" w:hAnsi="Arial"/>
          <w:sz w:val="17"/>
          <w:szCs w:val="17"/>
          <w:color w:val="auto"/>
        </w:rPr>
      </w:pPr>
    </w:p>
    <w:p>
      <w:pPr>
        <w:ind w:left="-40" w:right="40" w:firstLine="921"/>
        <w:spacing w:after="0" w:line="264" w:lineRule="auto"/>
        <w:tabs>
          <w:tab w:leader="none" w:pos="112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Clear Market</w:t>
      </w:r>
      <w:r>
        <w:rPr>
          <w:rFonts w:ascii="Arial" w:cs="Arial" w:eastAsia="Arial" w:hAnsi="Arial"/>
          <w:sz w:val="18"/>
          <w:szCs w:val="18"/>
          <w:color w:val="auto"/>
        </w:rPr>
        <w:t>. During the period from the date hereof through and including the business day following the Delivery Date, the Issuers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without the prior written consent of the Representatives, offer, sell, contract to sell or otherwise dispose of any debt securities issued or guaranteed by the Issuers and having a tenor of more than one year.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74" w:right="259" w:bottom="1440" w:gutter="0" w:footer="0" w:header="0"/>
        </w:sectPr>
      </w:pPr>
    </w:p>
    <w:bookmarkStart w:id="21" w:name="page22"/>
    <w:bookmarkEnd w:id="21"/>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85" w:lineRule="auto"/>
        <w:tabs>
          <w:tab w:leader="none" w:pos="115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of the Issuers, jointly and severally, agrees to indemnify and hold harmless each Underwriter, the directors, officers, employees and agents of each Underwriter, each affiliate of any Underwriter who has participated in the distribution of the Notes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Arial" w:cs="Arial" w:eastAsia="Arial" w:hAnsi="Arial"/>
          <w:sz w:val="16"/>
          <w:szCs w:val="16"/>
          <w:b w:val="1"/>
          <w:bCs w:val="1"/>
          <w:color w:val="auto"/>
        </w:rPr>
        <w:t>Non-Prospectus Road Show</w:t>
      </w:r>
      <w:r>
        <w:rPr>
          <w:rFonts w:ascii="Arial" w:cs="Arial" w:eastAsia="Arial" w:hAnsi="Arial"/>
          <w:sz w:val="16"/>
          <w:szCs w:val="16"/>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Section 12. The foregoing indemnity agreement is in addition to any liability that the Issuers may otherwise have to any Underwriter or to any director, officer, employee or controlling person of that Underwriter.</w:t>
      </w:r>
    </w:p>
    <w:p>
      <w:pPr>
        <w:spacing w:after="0" w:line="384" w:lineRule="exact"/>
        <w:rPr>
          <w:rFonts w:ascii="Arial" w:cs="Arial" w:eastAsia="Arial" w:hAnsi="Arial"/>
          <w:sz w:val="16"/>
          <w:szCs w:val="16"/>
          <w:color w:val="auto"/>
        </w:rPr>
      </w:pPr>
    </w:p>
    <w:p>
      <w:pPr>
        <w:ind w:firstLine="921"/>
        <w:spacing w:after="0" w:line="293" w:lineRule="auto"/>
        <w:tabs>
          <w:tab w:leader="none" w:pos="1168"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2" w:name="page23"/>
    <w:bookmarkEnd w:id="22"/>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67" w:lineRule="exact"/>
        <w:rPr>
          <w:sz w:val="20"/>
          <w:szCs w:val="20"/>
          <w:color w:val="auto"/>
        </w:rPr>
      </w:pPr>
    </w:p>
    <w:p>
      <w:pPr>
        <w:ind w:right="60" w:firstLine="921"/>
        <w:spacing w:after="0" w:line="268" w:lineRule="auto"/>
        <w:tabs>
          <w:tab w:leader="none" w:pos="1158" w:val="left"/>
        </w:tabs>
        <w:numPr>
          <w:ilvl w:val="1"/>
          <w:numId w:val="23"/>
        </w:numPr>
        <w:rPr>
          <w:rFonts w:ascii="Arial" w:cs="Arial" w:eastAsia="Arial" w:hAnsi="Arial"/>
          <w:sz w:val="17"/>
          <w:szCs w:val="17"/>
          <w:color w:val="auto"/>
        </w:rPr>
      </w:pPr>
      <w:r>
        <w:rPr>
          <w:rFonts w:ascii="Arial" w:cs="Arial" w:eastAsia="Arial" w:hAnsi="Arial"/>
          <w:sz w:val="17"/>
          <w:szCs w:val="17"/>
          <w:color w:val="auto"/>
        </w:rPr>
        <w:t>Each Underwriter agrees, severally and not jointly, to indemnify and hold harmless the Issuers, GP LLC’s directors and the officers who sign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12.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Issuers by paragraph (b)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paragraph (b) above. The foregoing indemnity agreement shall be in addition to any liability that the Underwriters may otherwise have.</w:t>
      </w:r>
    </w:p>
    <w:p>
      <w:pPr>
        <w:spacing w:after="0" w:line="187" w:lineRule="exact"/>
        <w:rPr>
          <w:rFonts w:ascii="Arial" w:cs="Arial" w:eastAsia="Arial" w:hAnsi="Arial"/>
          <w:sz w:val="17"/>
          <w:szCs w:val="17"/>
          <w:color w:val="auto"/>
        </w:rPr>
      </w:pPr>
    </w:p>
    <w:p>
      <w:pPr>
        <w:ind w:firstLine="921"/>
        <w:spacing w:after="0" w:line="286" w:lineRule="auto"/>
        <w:tabs>
          <w:tab w:leader="none" w:pos="11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w:t>
      </w:r>
    </w:p>
    <w:p>
      <w:pPr>
        <w:spacing w:after="0" w:line="1" w:lineRule="exact"/>
        <w:rPr>
          <w:rFonts w:ascii="Arial" w:cs="Arial" w:eastAsia="Arial" w:hAnsi="Arial"/>
          <w:sz w:val="16"/>
          <w:szCs w:val="16"/>
          <w:color w:val="auto"/>
        </w:rPr>
      </w:pPr>
    </w:p>
    <w:p>
      <w:pPr>
        <w:ind w:firstLine="8"/>
        <w:spacing w:after="0" w:line="261"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allocation provided by clause (i) above is not permitted by applicable law, in such proportion as is appropriate to reflect not only the relative benefits referred to in clause (i) above but also the relative fault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3" w:name="page24"/>
    <w:bookmarkEnd w:id="2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179" w:lineRule="exact"/>
        <w:rPr>
          <w:sz w:val="20"/>
          <w:szCs w:val="20"/>
          <w:color w:val="auto"/>
        </w:rPr>
      </w:pPr>
    </w:p>
    <w:p>
      <w:pPr>
        <w:ind w:firstLine="921"/>
        <w:spacing w:after="0" w:line="284" w:lineRule="auto"/>
        <w:tabs>
          <w:tab w:leader="none" w:pos="11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Issuers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w:t>
      </w:r>
    </w:p>
    <w:p>
      <w:pPr>
        <w:spacing w:after="0" w:line="1" w:lineRule="exact"/>
        <w:rPr>
          <w:rFonts w:ascii="Arial" w:cs="Arial" w:eastAsia="Arial" w:hAnsi="Arial"/>
          <w:sz w:val="16"/>
          <w:szCs w:val="16"/>
          <w:color w:val="auto"/>
        </w:rPr>
      </w:pPr>
    </w:p>
    <w:p>
      <w:pPr>
        <w:ind w:right="900"/>
        <w:spacing w:after="0" w:line="261" w:lineRule="auto"/>
        <w:rPr>
          <w:rFonts w:ascii="Arial" w:cs="Arial" w:eastAsia="Arial" w:hAnsi="Arial"/>
          <w:sz w:val="16"/>
          <w:szCs w:val="16"/>
          <w:color w:val="auto"/>
        </w:rPr>
      </w:pPr>
      <w:r>
        <w:rPr>
          <w:rFonts w:ascii="Arial" w:cs="Arial" w:eastAsia="Arial" w:hAnsi="Arial"/>
          <w:sz w:val="18"/>
          <w:szCs w:val="18"/>
          <w:color w:val="auto"/>
        </w:rPr>
        <w:t>Section 11(f) of the Securities Act) shall be entitled to contribution from any person who was not guilty of such fraudulent misrepresentation. The Underwriters’ obligations to contribute as provided in this Section 6 are several and not joint.</w:t>
      </w:r>
    </w:p>
    <w:p>
      <w:pPr>
        <w:spacing w:after="0" w:line="183" w:lineRule="exact"/>
        <w:rPr>
          <w:rFonts w:ascii="Arial" w:cs="Arial" w:eastAsia="Arial" w:hAnsi="Arial"/>
          <w:sz w:val="16"/>
          <w:szCs w:val="16"/>
          <w:color w:val="auto"/>
        </w:rPr>
      </w:pPr>
    </w:p>
    <w:p>
      <w:pPr>
        <w:ind w:right="60" w:firstLine="921"/>
        <w:spacing w:after="0" w:line="271" w:lineRule="auto"/>
        <w:tabs>
          <w:tab w:leader="none" w:pos="11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78" w:lineRule="exact"/>
        <w:rPr>
          <w:rFonts w:ascii="Arial" w:cs="Arial" w:eastAsia="Arial" w:hAnsi="Arial"/>
          <w:sz w:val="17"/>
          <w:szCs w:val="17"/>
          <w:color w:val="auto"/>
        </w:rPr>
      </w:pPr>
    </w:p>
    <w:p>
      <w:pPr>
        <w:ind w:right="240" w:firstLine="921"/>
        <w:spacing w:after="0" w:line="277"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losses, claims, damages, liabilities or expenses for which an indemnified party is entitled to indemnification or contribution under this Section 6 shall be paid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 w:name="page25"/>
    <w:bookmarkEnd w:id="24"/>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indemnifying party to the indemnified party as such losses, claims, damages, liabilities or expenses are incurred. The indemnity and contribution agreements contained in this Section 6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or any of their respective directors or officers or any person controlling an Issuer shall be entitled to the benefits of the indemnity, contribution and reimbursement agreements contained in this Section 6.</w:t>
      </w:r>
    </w:p>
    <w:p>
      <w:pPr>
        <w:spacing w:after="0" w:line="178" w:lineRule="exact"/>
        <w:rPr>
          <w:sz w:val="20"/>
          <w:szCs w:val="20"/>
          <w:color w:val="auto"/>
        </w:rPr>
      </w:pPr>
    </w:p>
    <w:p>
      <w:pPr>
        <w:ind w:right="300" w:firstLine="464"/>
        <w:spacing w:after="0" w:line="277" w:lineRule="auto"/>
        <w:tabs>
          <w:tab w:leader="none" w:pos="63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several obligations of the Underwriters to purchase the Notes are subject to the following conditions:</w:t>
      </w:r>
    </w:p>
    <w:p>
      <w:pPr>
        <w:spacing w:after="0" w:line="170" w:lineRule="exact"/>
        <w:rPr>
          <w:rFonts w:ascii="Arial" w:cs="Arial" w:eastAsia="Arial" w:hAnsi="Arial"/>
          <w:sz w:val="18"/>
          <w:szCs w:val="18"/>
          <w:color w:val="auto"/>
        </w:rPr>
      </w:pPr>
    </w:p>
    <w:p>
      <w:pPr>
        <w:ind w:firstLine="921"/>
        <w:spacing w:after="0" w:line="255" w:lineRule="auto"/>
        <w:tabs>
          <w:tab w:leader="none" w:pos="11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189" w:lineRule="exact"/>
        <w:rPr>
          <w:rFonts w:ascii="Arial" w:cs="Arial" w:eastAsia="Arial" w:hAnsi="Arial"/>
          <w:sz w:val="18"/>
          <w:szCs w:val="18"/>
          <w:color w:val="auto"/>
        </w:rPr>
      </w:pPr>
    </w:p>
    <w:p>
      <w:pPr>
        <w:ind w:right="120" w:firstLine="921"/>
        <w:spacing w:after="0" w:line="271" w:lineRule="auto"/>
        <w:tabs>
          <w:tab w:leader="none" w:pos="1168" w:val="left"/>
        </w:tabs>
        <w:numPr>
          <w:ilvl w:val="1"/>
          <w:numId w:val="26"/>
        </w:numPr>
        <w:rPr>
          <w:rFonts w:ascii="Arial" w:cs="Arial" w:eastAsia="Arial" w:hAnsi="Arial"/>
          <w:sz w:val="17"/>
          <w:szCs w:val="17"/>
          <w:color w:val="auto"/>
        </w:rPr>
      </w:pPr>
      <w:r>
        <w:rPr>
          <w:rFonts w:ascii="Arial" w:cs="Arial" w:eastAsia="Arial" w:hAnsi="Arial"/>
          <w:sz w:val="17"/>
          <w:szCs w:val="17"/>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178" w:lineRule="exact"/>
        <w:rPr>
          <w:rFonts w:ascii="Arial" w:cs="Arial" w:eastAsia="Arial" w:hAnsi="Arial"/>
          <w:sz w:val="17"/>
          <w:szCs w:val="17"/>
          <w:color w:val="auto"/>
        </w:rPr>
      </w:pPr>
    </w:p>
    <w:p>
      <w:pPr>
        <w:ind w:firstLine="921"/>
        <w:spacing w:after="0" w:line="277" w:lineRule="auto"/>
        <w:tabs>
          <w:tab w:leader="none" w:pos="11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Vinson &amp; Elkins L.L.P., counsel for the Issuers, dated the Delivery Date and addressed to the Underwriters, to the effect that:</w:t>
      </w:r>
    </w:p>
    <w:p>
      <w:pPr>
        <w:spacing w:after="0" w:line="62" w:lineRule="exact"/>
        <w:rPr>
          <w:rFonts w:ascii="Arial" w:cs="Arial" w:eastAsia="Arial" w:hAnsi="Arial"/>
          <w:sz w:val="18"/>
          <w:szCs w:val="18"/>
          <w:color w:val="auto"/>
        </w:rPr>
      </w:pPr>
    </w:p>
    <w:p>
      <w:pPr>
        <w:ind w:left="460" w:right="60" w:firstLine="881"/>
        <w:spacing w:after="0" w:line="277" w:lineRule="auto"/>
        <w:tabs>
          <w:tab w:leader="none" w:pos="1551" w:val="left"/>
        </w:tabs>
        <w:numPr>
          <w:ilvl w:val="2"/>
          <w:numId w:val="26"/>
        </w:numPr>
        <w:rPr>
          <w:rFonts w:ascii="Arial" w:cs="Arial" w:eastAsia="Arial" w:hAnsi="Arial"/>
          <w:sz w:val="18"/>
          <w:szCs w:val="18"/>
          <w:color w:val="auto"/>
        </w:rPr>
      </w:pPr>
      <w:r>
        <w:rPr>
          <w:rFonts w:ascii="Arial" w:cs="Arial" w:eastAsia="Arial" w:hAnsi="Arial"/>
          <w:sz w:val="18"/>
          <w:szCs w:val="18"/>
          <w:color w:val="auto"/>
        </w:rPr>
        <w:t>Each of the Issuers, the GP Entities and the Domestic Subsidiaries has been duly formed or incorporated and is validly existing in good standing as a limited partnership, limited liability company or corporation under the laws of its jurisdiction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formation or incorporation with full corporate, limited partnership or limited liability company power and authority, as the case may be, to own or lease its properties and to conduct its business, in each case in all material respects.</w:t>
      </w:r>
    </w:p>
    <w:p>
      <w:pPr>
        <w:spacing w:after="0" w:line="62" w:lineRule="exact"/>
        <w:rPr>
          <w:sz w:val="20"/>
          <w:szCs w:val="20"/>
          <w:color w:val="auto"/>
        </w:rPr>
      </w:pPr>
    </w:p>
    <w:p>
      <w:pPr>
        <w:ind w:firstLine="881"/>
        <w:spacing w:after="0" w:line="264" w:lineRule="auto"/>
        <w:tabs>
          <w:tab w:leader="none" w:pos="11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w:t>
      </w:r>
    </w:p>
    <w:p>
      <w:pPr>
        <w:spacing w:after="0" w:line="73" w:lineRule="exact"/>
        <w:rPr>
          <w:rFonts w:ascii="Arial" w:cs="Arial" w:eastAsia="Arial" w:hAnsi="Arial"/>
          <w:sz w:val="18"/>
          <w:szCs w:val="18"/>
          <w:color w:val="auto"/>
        </w:rPr>
      </w:pPr>
    </w:p>
    <w:p>
      <w:pPr>
        <w:jc w:val="both"/>
        <w:ind w:right="200" w:firstLine="881"/>
        <w:spacing w:after="0" w:line="302" w:lineRule="auto"/>
        <w:tabs>
          <w:tab w:leader="none" w:pos="119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46" w:lineRule="exact"/>
        <w:rPr>
          <w:rFonts w:ascii="Arial" w:cs="Arial" w:eastAsia="Arial" w:hAnsi="Arial"/>
          <w:sz w:val="16"/>
          <w:szCs w:val="16"/>
          <w:color w:val="auto"/>
        </w:rPr>
      </w:pPr>
    </w:p>
    <w:p>
      <w:pPr>
        <w:ind w:left="1180" w:hanging="299"/>
        <w:spacing w:after="0"/>
        <w:tabs>
          <w:tab w:leader="none" w:pos="11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(other than general partner interests) of each Domestic Subsidiary</w:t>
      </w:r>
    </w:p>
    <w:p>
      <w:pPr>
        <w:spacing w:after="0" w:line="46" w:lineRule="exact"/>
        <w:rPr>
          <w:rFonts w:ascii="Arial" w:cs="Arial" w:eastAsia="Arial" w:hAnsi="Arial"/>
          <w:sz w:val="16"/>
          <w:szCs w:val="16"/>
          <w:color w:val="auto"/>
        </w:rPr>
      </w:pPr>
    </w:p>
    <w:p>
      <w:pPr>
        <w:ind w:right="40" w:firstLine="4"/>
        <w:spacing w:after="0" w:line="285" w:lineRule="auto"/>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w:t>
      </w:r>
    </w:p>
    <w:p>
      <w:pPr>
        <w:spacing w:after="0" w:line="64" w:lineRule="exact"/>
        <w:rPr>
          <w:rFonts w:ascii="Arial" w:cs="Arial" w:eastAsia="Arial" w:hAnsi="Arial"/>
          <w:sz w:val="16"/>
          <w:szCs w:val="16"/>
          <w:color w:val="auto"/>
        </w:rPr>
      </w:pPr>
    </w:p>
    <w:p>
      <w:pPr>
        <w:jc w:val="both"/>
        <w:ind w:right="60" w:firstLine="881"/>
        <w:spacing w:after="0" w:line="259" w:lineRule="auto"/>
        <w:tabs>
          <w:tab w:leader="none" w:pos="113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w:t>
      </w:r>
    </w:p>
    <w:p>
      <w:pPr>
        <w:spacing w:after="0" w:line="79" w:lineRule="exact"/>
        <w:rPr>
          <w:sz w:val="20"/>
          <w:szCs w:val="20"/>
          <w:color w:val="auto"/>
        </w:rPr>
      </w:pPr>
    </w:p>
    <w:p>
      <w:pPr>
        <w:ind w:right="80" w:firstLine="881"/>
        <w:spacing w:after="0" w:line="264" w:lineRule="auto"/>
        <w:tabs>
          <w:tab w:leader="none" w:pos="11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73" w:lineRule="exact"/>
        <w:rPr>
          <w:rFonts w:ascii="Arial" w:cs="Arial" w:eastAsia="Arial" w:hAnsi="Arial"/>
          <w:sz w:val="18"/>
          <w:szCs w:val="18"/>
          <w:color w:val="auto"/>
        </w:rPr>
      </w:pPr>
    </w:p>
    <w:p>
      <w:pPr>
        <w:jc w:val="both"/>
        <w:ind w:right="80" w:firstLine="881"/>
        <w:spacing w:after="0" w:line="264" w:lineRule="auto"/>
        <w:tabs>
          <w:tab w:leader="none" w:pos="12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such counsel’s knowledge, neither the filing of the Registration Statement nor the offering or sale of the Notes as contemplated by this Agreement gives rise to any rights for or relating to the registration of any Notes or other securities of the Issuers, except such rights as have been waived or satisfied.</w:t>
      </w:r>
    </w:p>
    <w:p>
      <w:pPr>
        <w:spacing w:after="0" w:line="73" w:lineRule="exact"/>
        <w:rPr>
          <w:rFonts w:ascii="Arial" w:cs="Arial" w:eastAsia="Arial" w:hAnsi="Arial"/>
          <w:sz w:val="18"/>
          <w:szCs w:val="18"/>
          <w:color w:val="auto"/>
        </w:rPr>
      </w:pPr>
    </w:p>
    <w:p>
      <w:pPr>
        <w:ind w:left="1280" w:hanging="399"/>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17" w:lineRule="exact"/>
        <w:rPr>
          <w:rFonts w:ascii="Arial" w:cs="Arial" w:eastAsia="Arial" w:hAnsi="Arial"/>
          <w:sz w:val="18"/>
          <w:szCs w:val="18"/>
          <w:color w:val="auto"/>
        </w:rPr>
      </w:pPr>
    </w:p>
    <w:p>
      <w:pPr>
        <w:ind w:left="1180" w:hanging="299"/>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Issuers.</w:t>
      </w:r>
    </w:p>
    <w:p>
      <w:pPr>
        <w:spacing w:after="0" w:line="117" w:lineRule="exact"/>
        <w:rPr>
          <w:rFonts w:ascii="Arial" w:cs="Arial" w:eastAsia="Arial" w:hAnsi="Arial"/>
          <w:sz w:val="18"/>
          <w:szCs w:val="18"/>
          <w:color w:val="auto"/>
        </w:rPr>
      </w:pPr>
    </w:p>
    <w:p>
      <w:pPr>
        <w:ind w:right="20" w:firstLine="881"/>
        <w:spacing w:after="0" w:line="293" w:lineRule="auto"/>
        <w:tabs>
          <w:tab w:leader="none" w:pos="11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Base Indenture and the Supplemental Indenture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56" w:lineRule="exact"/>
        <w:rPr>
          <w:rFonts w:ascii="Arial" w:cs="Arial" w:eastAsia="Arial" w:hAnsi="Arial"/>
          <w:sz w:val="16"/>
          <w:szCs w:val="16"/>
          <w:color w:val="auto"/>
        </w:rPr>
      </w:pPr>
    </w:p>
    <w:p>
      <w:pPr>
        <w:ind w:right="100" w:firstLine="881"/>
        <w:spacing w:after="0" w:line="291" w:lineRule="auto"/>
        <w:tabs>
          <w:tab w:leader="none" w:pos="1181"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74" w:right="279" w:bottom="1440" w:gutter="0" w:footer="0" w:header="0"/>
        </w:sectPr>
      </w:pPr>
    </w:p>
    <w:bookmarkStart w:id="27" w:name="page28"/>
    <w:bookmarkEnd w:id="27"/>
    <w:p>
      <w:pPr>
        <w:ind w:firstLine="881"/>
        <w:spacing w:after="0" w:line="255" w:lineRule="auto"/>
        <w:tabs>
          <w:tab w:leader="none" w:pos="1231"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81" w:lineRule="exact"/>
        <w:rPr>
          <w:rFonts w:ascii="Arial" w:cs="Arial" w:eastAsia="Arial" w:hAnsi="Arial"/>
          <w:sz w:val="18"/>
          <w:szCs w:val="18"/>
          <w:color w:val="auto"/>
        </w:rPr>
      </w:pPr>
    </w:p>
    <w:p>
      <w:pPr>
        <w:ind w:right="20" w:firstLine="881"/>
        <w:spacing w:after="0" w:line="283" w:lineRule="auto"/>
        <w:tabs>
          <w:tab w:leader="none" w:pos="1281"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None of (A) the offering, issuance and sale by the Issuers of the Notes, (B) the execution, delivery and performance of this Agreement by the Issuers, (C) the consummation of the transactions contemplated by this Agreement, (D) the execution and delivery of the Base Indenture and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(i) the Hedged Inventory Facility, (ii) the Credit Agreement dated as of August 19, 2011, as amended, among the Partnership, certain subsidiaries of the Partnership from time to time party thereto and Bank of America, N.A., as administrative agent, and the other lenders party thereto (the “</w:t>
      </w:r>
      <w:r>
        <w:rPr>
          <w:rFonts w:ascii="Arial" w:cs="Arial" w:eastAsia="Arial" w:hAnsi="Arial"/>
          <w:sz w:val="16"/>
          <w:szCs w:val="16"/>
          <w:b w:val="1"/>
          <w:bCs w:val="1"/>
          <w:color w:val="auto"/>
        </w:rPr>
        <w:t>PAA Facility</w:t>
      </w:r>
      <w:r>
        <w:rPr>
          <w:rFonts w:ascii="Arial" w:cs="Arial" w:eastAsia="Arial" w:hAnsi="Arial"/>
          <w:sz w:val="16"/>
          <w:szCs w:val="16"/>
          <w:color w:val="auto"/>
        </w:rPr>
        <w:t>”), (iii) the Second Amended and Restated Credit Agreement dated September 26, 2013 (as amended, the “</w:t>
      </w:r>
      <w:r>
        <w:rPr>
          <w:rFonts w:ascii="Arial" w:cs="Arial" w:eastAsia="Arial" w:hAnsi="Arial"/>
          <w:sz w:val="16"/>
          <w:szCs w:val="16"/>
          <w:b w:val="1"/>
          <w:bCs w:val="1"/>
          <w:color w:val="auto"/>
        </w:rPr>
        <w:t>Plains AAP Facility</w:t>
      </w:r>
      <w:r>
        <w:rPr>
          <w:rFonts w:ascii="Arial" w:cs="Arial" w:eastAsia="Arial" w:hAnsi="Arial"/>
          <w:sz w:val="16"/>
          <w:szCs w:val="16"/>
          <w:color w:val="auto"/>
        </w:rPr>
        <w:t>”), by and among Plains AAP, the lenders party thereto and Citibank, N.A., as administrative agent and (iv) the</w:t>
      </w:r>
    </w:p>
    <w:p>
      <w:pPr>
        <w:spacing w:after="0" w:line="5"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color w:val="auto"/>
        </w:rPr>
        <w:t>364-Day Credit Agreement dated January 16, 2015 (the “</w:t>
      </w:r>
      <w:r>
        <w:rPr>
          <w:rFonts w:ascii="Arial" w:cs="Arial" w:eastAsia="Arial" w:hAnsi="Arial"/>
          <w:sz w:val="16"/>
          <w:szCs w:val="16"/>
          <w:b w:val="1"/>
          <w:bCs w:val="1"/>
          <w:color w:val="auto"/>
        </w:rPr>
        <w:t>364-Day Facility</w:t>
      </w:r>
      <w:r>
        <w:rPr>
          <w:rFonts w:ascii="Arial" w:cs="Arial" w:eastAsia="Arial" w:hAnsi="Arial"/>
          <w:sz w:val="16"/>
          <w:szCs w:val="16"/>
          <w:color w:val="auto"/>
        </w:rPr>
        <w:t>”), among the Partnership, the lenders party thereto and Bank of America, N.A., as administrative agent), (3) results or will result in any violation of the Delaware LP Act, the Delaware LLC Act,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the laws of the State of Texas or federal law, or (4) results or will result in the creation or imposition of any Lien upon any property or assets of either of the Issuers, the Domestic Subsidiaries or the GP Entities which conflicts, breaches, violations or defaults in the case of clauses (2), (3) or (4) would reasonably be expected to have a Material Adverse Effect or materially impair the ability of the Issuers to consummate the transactions contemplated by this Agreement, it being understood that such counsel need not express an opinion in clause (3) of this paragraph</w:t>
      </w:r>
    </w:p>
    <w:p>
      <w:pPr>
        <w:spacing w:after="0" w:line="4" w:lineRule="exact"/>
        <w:rPr>
          <w:rFonts w:ascii="Arial" w:cs="Arial" w:eastAsia="Arial" w:hAnsi="Arial"/>
          <w:sz w:val="16"/>
          <w:szCs w:val="16"/>
          <w:color w:val="auto"/>
        </w:rPr>
      </w:pPr>
    </w:p>
    <w:p>
      <w:pPr>
        <w:ind w:left="400" w:hanging="396"/>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any securities or other anti-fraud law.</w:t>
      </w:r>
    </w:p>
    <w:p>
      <w:pPr>
        <w:spacing w:after="0" w:line="102" w:lineRule="exact"/>
        <w:rPr>
          <w:rFonts w:ascii="Arial" w:cs="Arial" w:eastAsia="Arial" w:hAnsi="Arial"/>
          <w:sz w:val="18"/>
          <w:szCs w:val="18"/>
          <w:color w:val="auto"/>
        </w:rPr>
      </w:pPr>
    </w:p>
    <w:p>
      <w:pPr>
        <w:ind w:right="520" w:firstLine="881"/>
        <w:spacing w:after="0" w:line="277" w:lineRule="auto"/>
        <w:tabs>
          <w:tab w:leader="none" w:pos="1271"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federal, Delaware or Texas court, governmental agency or body having jurisdiction over the Issuers, the GP Entities, the Domestic Subsidiaries or any of their respective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28" w:name="page29"/>
    <w:bookmarkEnd w:id="2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Base Indenture and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and (3) such other that have been obtained or taken and are in full force and effect.</w:t>
      </w:r>
    </w:p>
    <w:p>
      <w:pPr>
        <w:spacing w:after="0" w:line="71" w:lineRule="exact"/>
        <w:rPr>
          <w:sz w:val="20"/>
          <w:szCs w:val="20"/>
          <w:color w:val="auto"/>
        </w:rPr>
      </w:pPr>
    </w:p>
    <w:p>
      <w:pPr>
        <w:ind w:right="260" w:firstLine="881"/>
        <w:spacing w:after="0" w:line="297" w:lineRule="auto"/>
        <w:tabs>
          <w:tab w:leader="none" w:pos="12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statements in the Registration Statement, the Pricing Disclosure Package and the Prospectus under the caption “Material U.S. Federal Income Tax Consequences” in relation to the Notes in each of the Pricing Disclosure Package and the Prospectus, insofar as such statements purport to summarize certain provisions of documents and legal matters referred to therein, fairly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50" w:lineRule="exact"/>
        <w:rPr>
          <w:rFonts w:ascii="Arial" w:cs="Arial" w:eastAsia="Arial" w:hAnsi="Arial"/>
          <w:sz w:val="16"/>
          <w:szCs w:val="16"/>
          <w:color w:val="auto"/>
        </w:rPr>
      </w:pPr>
    </w:p>
    <w:p>
      <w:pPr>
        <w:ind w:right="160" w:firstLine="881"/>
        <w:spacing w:after="0" w:line="302" w:lineRule="auto"/>
        <w:tabs>
          <w:tab w:leader="none" w:pos="12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Registration Statement became effective under the Securities Act upon its filing on September 27, 2012;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or the free writing prospectus pursuant to Rule 433 of the Rules and Regulations has been made in the manner and within the time period required by such Rule.</w:t>
      </w:r>
    </w:p>
    <w:p>
      <w:pPr>
        <w:spacing w:after="0" w:line="46" w:lineRule="exact"/>
        <w:rPr>
          <w:rFonts w:ascii="Arial" w:cs="Arial" w:eastAsia="Arial" w:hAnsi="Arial"/>
          <w:sz w:val="16"/>
          <w:szCs w:val="16"/>
          <w:color w:val="auto"/>
        </w:rPr>
      </w:pPr>
    </w:p>
    <w:p>
      <w:pPr>
        <w:ind w:right="60" w:firstLine="881"/>
        <w:spacing w:after="0" w:line="279" w:lineRule="auto"/>
        <w:tabs>
          <w:tab w:leader="none" w:pos="132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w:t>
      </w:r>
    </w:p>
    <w:p>
      <w:pPr>
        <w:spacing w:after="0" w:line="63" w:lineRule="exact"/>
        <w:rPr>
          <w:rFonts w:ascii="Arial" w:cs="Arial" w:eastAsia="Arial" w:hAnsi="Arial"/>
          <w:sz w:val="17"/>
          <w:szCs w:val="17"/>
          <w:color w:val="auto"/>
        </w:rPr>
      </w:pPr>
    </w:p>
    <w:p>
      <w:pPr>
        <w:ind w:right="60" w:firstLine="881"/>
        <w:spacing w:after="0" w:line="264" w:lineRule="auto"/>
        <w:tabs>
          <w:tab w:leader="none" w:pos="13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an “investment company” as such term is defined in the Investment Company Act.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74" w:right="239" w:bottom="1440" w:gutter="0" w:footer="0" w:header="0"/>
        </w:sectPr>
      </w:pPr>
    </w:p>
    <w:bookmarkStart w:id="29" w:name="page30"/>
    <w:bookmarkEnd w:id="29"/>
    <w:p>
      <w:pPr>
        <w:ind w:left="460" w:right="140" w:firstLine="87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such counsel shall state that they have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w:t>
      </w:r>
    </w:p>
    <w:p>
      <w:pPr>
        <w:spacing w:after="0" w:line="2" w:lineRule="exact"/>
        <w:rPr>
          <w:sz w:val="20"/>
          <w:szCs w:val="20"/>
          <w:color w:val="auto"/>
        </w:rPr>
      </w:pPr>
    </w:p>
    <w:p>
      <w:pPr>
        <w:ind w:left="800" w:hanging="33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above), on the basis of the foregoing, no facts have come to the attention of such counsel that lead them to believe that:</w:t>
      </w:r>
    </w:p>
    <w:p>
      <w:pPr>
        <w:spacing w:after="0" w:line="102" w:lineRule="exact"/>
        <w:rPr>
          <w:rFonts w:ascii="Arial" w:cs="Arial" w:eastAsia="Arial" w:hAnsi="Arial"/>
          <w:sz w:val="18"/>
          <w:szCs w:val="18"/>
          <w:color w:val="auto"/>
        </w:rPr>
      </w:pPr>
    </w:p>
    <w:p>
      <w:pPr>
        <w:ind w:left="460" w:right="220" w:firstLine="881"/>
        <w:spacing w:after="0" w:line="277" w:lineRule="auto"/>
        <w:tabs>
          <w:tab w:leader="none" w:pos="163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62" w:lineRule="exact"/>
        <w:rPr>
          <w:rFonts w:ascii="Arial" w:cs="Arial" w:eastAsia="Arial" w:hAnsi="Arial"/>
          <w:sz w:val="18"/>
          <w:szCs w:val="18"/>
          <w:color w:val="auto"/>
        </w:rPr>
      </w:pPr>
    </w:p>
    <w:p>
      <w:pPr>
        <w:ind w:left="460" w:right="60" w:firstLine="881"/>
        <w:spacing w:after="0" w:line="308" w:lineRule="auto"/>
        <w:tabs>
          <w:tab w:leader="none" w:pos="1621"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38" w:lineRule="exact"/>
        <w:rPr>
          <w:rFonts w:ascii="Arial" w:cs="Arial" w:eastAsia="Arial" w:hAnsi="Arial"/>
          <w:sz w:val="17"/>
          <w:szCs w:val="17"/>
          <w:color w:val="auto"/>
        </w:rPr>
      </w:pPr>
    </w:p>
    <w:p>
      <w:pPr>
        <w:jc w:val="both"/>
        <w:ind w:left="460" w:right="40" w:firstLine="881"/>
        <w:spacing w:after="0" w:line="342" w:lineRule="auto"/>
        <w:tabs>
          <w:tab w:leader="none" w:pos="1621"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6" w:lineRule="exact"/>
        <w:rPr>
          <w:sz w:val="20"/>
          <w:szCs w:val="20"/>
          <w:color w:val="auto"/>
        </w:rPr>
      </w:pPr>
    </w:p>
    <w:p>
      <w:pPr>
        <w:ind w:left="460" w:right="44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79" w:lineRule="exact"/>
        <w:rPr>
          <w:sz w:val="20"/>
          <w:szCs w:val="20"/>
          <w:color w:val="auto"/>
        </w:rPr>
      </w:pPr>
    </w:p>
    <w:p>
      <w:pPr>
        <w:ind w:left="460" w:right="60" w:firstLine="876"/>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GP LLC and the Issuers,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their opinion is limited to federal laws of the United States, the Delaware LP Act, the Delaware LLC Act, the DGCL, the laws of the State of Texas and the laws of the State of New York and (D) state that they express no opinion with respect to (i) any permits to own or operate any real or personal property or (ii) state or local taxes or tax statutes to which any of the limited partners of the Partnership or any of the Plains Entities may be subject.</w:t>
      </w:r>
    </w:p>
    <w:p>
      <w:pPr>
        <w:spacing w:after="0" w:line="189" w:lineRule="exact"/>
        <w:rPr>
          <w:sz w:val="20"/>
          <w:szCs w:val="20"/>
          <w:color w:val="auto"/>
        </w:rPr>
      </w:pPr>
    </w:p>
    <w:p>
      <w:pPr>
        <w:ind w:firstLine="921"/>
        <w:spacing w:after="0" w:line="277" w:lineRule="auto"/>
        <w:tabs>
          <w:tab w:leader="none" w:pos="1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Norton Rose Fulbright US LLP, special counsel for the Issuers, dated the Delivery Date and addressed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0" w:name="page31"/>
    <w:bookmarkEnd w:id="30"/>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to the effect that none of the offering, issuance or sale by the Issuers of the Notes, the execution, delivery and performance of this Agreement by the Issuers, the consummation of the transactions contemplated hereby, the execution, delivery and performance of the Indenture by the Issuers or the consummation of the transactions contemplated thereby, results in a breach of, or constitutes a default under (or an event which, with notice or lapse of time or both, would constitute such an event) the provisions of any Credit Facility (as defined in Annex A to such opinion).</w:t>
      </w:r>
    </w:p>
    <w:p>
      <w:pPr>
        <w:spacing w:after="0" w:line="17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GP LLC and the Issuers,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exclusive of conflict of law principles, excepting in the foregoing instance, municipal, local and county ordinances, laws, rules and regulations.</w:t>
      </w:r>
    </w:p>
    <w:p>
      <w:pPr>
        <w:spacing w:after="0" w:line="18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rendering such opinion, such counsel shall state that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181" w:lineRule="exact"/>
        <w:rPr>
          <w:sz w:val="20"/>
          <w:szCs w:val="20"/>
          <w:color w:val="auto"/>
        </w:rPr>
      </w:pPr>
    </w:p>
    <w:p>
      <w:pPr>
        <w:ind w:right="720" w:firstLine="921"/>
        <w:spacing w:after="0" w:line="277" w:lineRule="auto"/>
        <w:tabs>
          <w:tab w:leader="none" w:pos="11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the general counsel for GP LLC dated the Delivery Date and addressed to the Underwriters, to the effect that:</w:t>
      </w:r>
    </w:p>
    <w:p>
      <w:pPr>
        <w:spacing w:after="0" w:line="62" w:lineRule="exact"/>
        <w:rPr>
          <w:rFonts w:ascii="Arial" w:cs="Arial" w:eastAsia="Arial" w:hAnsi="Arial"/>
          <w:sz w:val="18"/>
          <w:szCs w:val="18"/>
          <w:color w:val="auto"/>
        </w:rPr>
      </w:pPr>
    </w:p>
    <w:p>
      <w:pPr>
        <w:ind w:left="460" w:firstLine="881"/>
        <w:spacing w:after="0" w:line="287" w:lineRule="auto"/>
        <w:tabs>
          <w:tab w:leader="none" w:pos="15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None of (A) the offering, issuance and sale by the Issuers of the Notes, (B) the execution, delivery and performance by the Issuers of this Agreement, (C) the consummation of the transactions contemplated by this Agreement or (D) the execution, delivery and performance of the Indenture by the Issuers or the consummation of the transactions contemplated thereby (1)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Material Subsidiaries is a party or by which any one of them may be bound (excluding, for this purpose, any document or agreement filed as an exhibit to the Registration Statement or an Incorporated Document or (i) the Hedged Inventory Facility, (ii) the PAA Facility, (iii) the Plains AAP Facility and (iv) the 364-Day Facility) or (2) violates or will violate any statute, law or regulation or any order, judgment, decree or injunction known to such counsel of any court or governmental agency or body directed to either of the Issuers, the GP Entities or the Material Subsidiaries or any of their respective properties in a proceeding to which any of them is a party, which would, in the case of either (1) or (2), reasonably be expected to have a Material Adverse Effect or materially impair the ability of the Issuers to consummate the transactions contemplated by this Agreement.</w:t>
      </w:r>
    </w:p>
    <w:p>
      <w:pPr>
        <w:spacing w:after="0" w:line="64" w:lineRule="exact"/>
        <w:rPr>
          <w:rFonts w:ascii="Arial" w:cs="Arial" w:eastAsia="Arial" w:hAnsi="Arial"/>
          <w:sz w:val="16"/>
          <w:szCs w:val="16"/>
          <w:color w:val="auto"/>
        </w:rPr>
      </w:pPr>
    </w:p>
    <w:p>
      <w:pPr>
        <w:ind w:left="460" w:right="100" w:firstLine="881"/>
        <w:spacing w:after="0" w:line="264" w:lineRule="auto"/>
        <w:tabs>
          <w:tab w:leader="none" w:pos="1601"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1" w:name="page32"/>
    <w:bookmarkEnd w:id="31"/>
    <w:p>
      <w:pPr>
        <w:ind w:right="60" w:firstLine="881"/>
        <w:spacing w:after="0" w:line="286" w:lineRule="auto"/>
        <w:tabs>
          <w:tab w:leader="none" w:pos="1191"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57" w:lineRule="exact"/>
        <w:rPr>
          <w:sz w:val="20"/>
          <w:szCs w:val="20"/>
          <w:color w:val="auto"/>
        </w:rPr>
      </w:pPr>
    </w:p>
    <w:p>
      <w:pPr>
        <w:ind w:right="100" w:firstLine="876"/>
        <w:spacing w:after="0" w:line="273" w:lineRule="auto"/>
        <w:rPr>
          <w:sz w:val="20"/>
          <w:szCs w:val="20"/>
          <w:color w:val="auto"/>
        </w:rPr>
      </w:pPr>
      <w:r>
        <w:rPr>
          <w:rFonts w:ascii="Arial" w:cs="Arial" w:eastAsia="Arial" w:hAnsi="Arial"/>
          <w:sz w:val="17"/>
          <w:szCs w:val="17"/>
          <w:color w:val="auto"/>
        </w:rPr>
        <w:t>In addition, such counsel shall state that he has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spacing w:after="0" w:line="70" w:lineRule="exact"/>
        <w:rPr>
          <w:sz w:val="20"/>
          <w:szCs w:val="20"/>
          <w:color w:val="auto"/>
        </w:rPr>
      </w:pPr>
    </w:p>
    <w:p>
      <w:pPr>
        <w:ind w:right="180" w:firstLine="881"/>
        <w:spacing w:after="0" w:line="277" w:lineRule="auto"/>
        <w:tabs>
          <w:tab w:leader="none" w:pos="11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62" w:lineRule="exact"/>
        <w:rPr>
          <w:rFonts w:ascii="Arial" w:cs="Arial" w:eastAsia="Arial" w:hAnsi="Arial"/>
          <w:sz w:val="18"/>
          <w:szCs w:val="18"/>
          <w:color w:val="auto"/>
        </w:rPr>
      </w:pPr>
    </w:p>
    <w:p>
      <w:pPr>
        <w:ind w:right="20" w:firstLine="881"/>
        <w:spacing w:after="0" w:line="308" w:lineRule="auto"/>
        <w:tabs>
          <w:tab w:leader="none" w:pos="116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38" w:lineRule="exact"/>
        <w:rPr>
          <w:rFonts w:ascii="Arial" w:cs="Arial" w:eastAsia="Arial" w:hAnsi="Arial"/>
          <w:sz w:val="17"/>
          <w:szCs w:val="17"/>
          <w:color w:val="auto"/>
        </w:rPr>
      </w:pPr>
    </w:p>
    <w:p>
      <w:pPr>
        <w:jc w:val="both"/>
        <w:ind w:firstLine="881"/>
        <w:spacing w:after="0" w:line="342" w:lineRule="auto"/>
        <w:tabs>
          <w:tab w:leader="none" w:pos="116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spacing w:after="0" w:line="79" w:lineRule="exact"/>
        <w:rPr>
          <w:sz w:val="20"/>
          <w:szCs w:val="20"/>
          <w:color w:val="auto"/>
        </w:rPr>
      </w:pPr>
    </w:p>
    <w:p>
      <w:pPr>
        <w:ind w:firstLine="876"/>
        <w:spacing w:after="0" w:line="312" w:lineRule="auto"/>
        <w:rPr>
          <w:sz w:val="20"/>
          <w:szCs w:val="20"/>
          <w:color w:val="auto"/>
        </w:rPr>
      </w:pPr>
      <w:r>
        <w:rPr>
          <w:rFonts w:ascii="Arial" w:cs="Arial" w:eastAsia="Arial" w:hAnsi="Arial"/>
          <w:sz w:val="16"/>
          <w:szCs w:val="16"/>
          <w:color w:val="auto"/>
        </w:rPr>
        <w:t>In rendering such opinion, such counsel may rely in respect of matters of fact upon (A) information obtained from public officials or public records and (B) to the extent such counsel deems appropriate, certificates of officers and employees of GP LLC and the Issuers. Further, such counsel may (A) assume that all documents submitted to him as originals are authentic, that all copies submitted to him conform to the originals</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700" w:top="274" w:right="279" w:bottom="1440" w:gutter="0" w:footer="0" w:header="0"/>
        </w:sectPr>
      </w:pPr>
    </w:p>
    <w:bookmarkStart w:id="32" w:name="page33"/>
    <w:bookmarkEnd w:id="32"/>
    <w:p>
      <w:pPr>
        <w:ind w:left="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the opinion referenced in Section 7(e)(i)(2) above or (y) state or local taxes or tax statutes.</w:t>
      </w:r>
    </w:p>
    <w:p>
      <w:pPr>
        <w:spacing w:after="0" w:line="166" w:lineRule="exact"/>
        <w:rPr>
          <w:sz w:val="20"/>
          <w:szCs w:val="20"/>
          <w:color w:val="auto"/>
        </w:rPr>
      </w:pPr>
    </w:p>
    <w:p>
      <w:pPr>
        <w:ind w:left="-20" w:right="40" w:firstLine="921"/>
        <w:spacing w:after="0" w:line="277" w:lineRule="auto"/>
        <w:tabs>
          <w:tab w:leader="none" w:pos="11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internal Canadian counsel for the Partnership, dated the Delivery Date and addressed to the Underwriters, to the effect that:</w:t>
      </w:r>
    </w:p>
    <w:p>
      <w:pPr>
        <w:spacing w:after="0" w:line="58" w:lineRule="exact"/>
        <w:rPr>
          <w:rFonts w:ascii="Arial" w:cs="Arial" w:eastAsia="Arial" w:hAnsi="Arial"/>
          <w:sz w:val="18"/>
          <w:szCs w:val="18"/>
          <w:color w:val="auto"/>
        </w:rPr>
      </w:pPr>
    </w:p>
    <w:p>
      <w:pPr>
        <w:ind w:left="440" w:right="260" w:firstLine="881"/>
        <w:spacing w:after="0" w:line="256" w:lineRule="auto"/>
        <w:tabs>
          <w:tab w:leader="none" w:pos="15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Plains Midstream Canada ULC, a British Columbia unlimited liability company (“</w:t>
      </w:r>
      <w:r>
        <w:rPr>
          <w:rFonts w:ascii="Arial" w:cs="Arial" w:eastAsia="Arial" w:hAnsi="Arial"/>
          <w:sz w:val="18"/>
          <w:szCs w:val="18"/>
          <w:b w:val="1"/>
          <w:bCs w:val="1"/>
          <w:color w:val="auto"/>
        </w:rPr>
        <w:t>Plains Midstream Canada</w:t>
      </w:r>
      <w:r>
        <w:rPr>
          <w:rFonts w:ascii="Arial" w:cs="Arial" w:eastAsia="Arial" w:hAnsi="Arial"/>
          <w:sz w:val="18"/>
          <w:szCs w:val="18"/>
          <w:color w:val="auto"/>
        </w:rPr>
        <w:t>”), has been duly 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New Brunswick, Nova Scotia, Ontario, Quebec and Saskatchewan.</w:t>
      </w:r>
    </w:p>
    <w:p>
      <w:pPr>
        <w:spacing w:after="0" w:line="83" w:lineRule="exact"/>
        <w:rPr>
          <w:rFonts w:ascii="Arial" w:cs="Arial" w:eastAsia="Arial" w:hAnsi="Arial"/>
          <w:sz w:val="18"/>
          <w:szCs w:val="18"/>
          <w:color w:val="auto"/>
        </w:rPr>
      </w:pPr>
    </w:p>
    <w:p>
      <w:pPr>
        <w:ind w:left="440" w:firstLine="881"/>
        <w:spacing w:after="0" w:line="259" w:lineRule="auto"/>
        <w:tabs>
          <w:tab w:leader="none" w:pos="15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the Province of Alberta).</w:t>
      </w:r>
    </w:p>
    <w:p>
      <w:pPr>
        <w:spacing w:after="0" w:line="78" w:lineRule="exact"/>
        <w:rPr>
          <w:rFonts w:ascii="Arial" w:cs="Arial" w:eastAsia="Arial" w:hAnsi="Arial"/>
          <w:sz w:val="18"/>
          <w:szCs w:val="18"/>
          <w:color w:val="auto"/>
        </w:rPr>
      </w:pPr>
    </w:p>
    <w:p>
      <w:pPr>
        <w:ind w:left="440" w:right="20" w:firstLine="881"/>
        <w:spacing w:after="0" w:line="302" w:lineRule="auto"/>
        <w:tabs>
          <w:tab w:leader="none" w:pos="1631" w:val="left"/>
        </w:tabs>
        <w:numPr>
          <w:ilvl w:val="1"/>
          <w:numId w:val="38"/>
        </w:numPr>
        <w:rPr>
          <w:rFonts w:ascii="Arial" w:cs="Arial" w:eastAsia="Arial" w:hAnsi="Arial"/>
          <w:sz w:val="16"/>
          <w:szCs w:val="16"/>
          <w:color w:val="auto"/>
        </w:rPr>
      </w:pPr>
      <w:r>
        <w:rPr>
          <w:rFonts w:ascii="Arial" w:cs="Arial" w:eastAsia="Arial" w:hAnsi="Arial"/>
          <w:sz w:val="16"/>
          <w:szCs w:val="16"/>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46" w:lineRule="exact"/>
        <w:rPr>
          <w:rFonts w:ascii="Arial" w:cs="Arial" w:eastAsia="Arial" w:hAnsi="Arial"/>
          <w:sz w:val="16"/>
          <w:szCs w:val="16"/>
          <w:color w:val="auto"/>
        </w:rPr>
      </w:pPr>
    </w:p>
    <w:p>
      <w:pPr>
        <w:ind w:left="440" w:right="80" w:firstLine="881"/>
        <w:spacing w:after="0" w:line="264" w:lineRule="auto"/>
        <w:tabs>
          <w:tab w:leader="none" w:pos="1621"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Issuers of the Notes or the execution, delivery and performance of the Indenture by the Issuers.</w:t>
      </w:r>
    </w:p>
    <w:p>
      <w:pPr>
        <w:spacing w:after="0" w:line="73" w:lineRule="exact"/>
        <w:rPr>
          <w:rFonts w:ascii="Arial" w:cs="Arial" w:eastAsia="Arial" w:hAnsi="Arial"/>
          <w:sz w:val="18"/>
          <w:szCs w:val="18"/>
          <w:color w:val="auto"/>
        </w:rPr>
      </w:pPr>
    </w:p>
    <w:p>
      <w:pPr>
        <w:ind w:left="440" w:right="100" w:firstLine="881"/>
        <w:spacing w:after="0" w:line="259" w:lineRule="auto"/>
        <w:tabs>
          <w:tab w:leader="none" w:pos="15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None of the offering, issuance and sale by the Issuers of the Notes, the execution, delivery and performance of this Agreement by the Issuers or the consummation of the transactions contemplated hereby,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60" w:top="274" w:right="239" w:bottom="1440" w:gutter="0" w:footer="0" w:header="0"/>
        </w:sectPr>
      </w:pPr>
    </w:p>
    <w:bookmarkStart w:id="33" w:name="page34"/>
    <w:bookmarkEnd w:id="33"/>
    <w:p>
      <w:pPr>
        <w:jc w:val="both"/>
        <w:ind w:left="440"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39" w:lineRule="exact"/>
        <w:rPr>
          <w:sz w:val="20"/>
          <w:szCs w:val="20"/>
          <w:color w:val="auto"/>
        </w:rPr>
      </w:pPr>
    </w:p>
    <w:p>
      <w:pPr>
        <w:ind w:left="440" w:right="200" w:firstLine="881"/>
        <w:spacing w:after="0" w:line="257" w:lineRule="auto"/>
        <w:tabs>
          <w:tab w:leader="none" w:pos="16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w:t>
      </w:r>
    </w:p>
    <w:p>
      <w:pPr>
        <w:spacing w:after="0" w:line="80" w:lineRule="exact"/>
        <w:rPr>
          <w:sz w:val="20"/>
          <w:szCs w:val="20"/>
          <w:color w:val="auto"/>
        </w:rPr>
      </w:pPr>
    </w:p>
    <w:p>
      <w:pPr>
        <w:ind w:left="440" w:right="40" w:firstLine="876"/>
        <w:spacing w:after="0" w:line="291" w:lineRule="auto"/>
        <w:rPr>
          <w:sz w:val="20"/>
          <w:szCs w:val="20"/>
          <w:color w:val="auto"/>
        </w:rPr>
      </w:pPr>
      <w:r>
        <w:rPr>
          <w:rFonts w:ascii="Arial" w:cs="Arial" w:eastAsia="Arial" w:hAnsi="Arial"/>
          <w:sz w:val="16"/>
          <w:szCs w:val="16"/>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w:t>
      </w:r>
    </w:p>
    <w:p>
      <w:pPr>
        <w:jc w:val="both"/>
        <w:ind w:left="440" w:right="400" w:firstLine="4"/>
        <w:spacing w:after="0" w:line="323" w:lineRule="auto"/>
        <w:tabs>
          <w:tab w:leader="none" w:pos="725"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138" w:lineRule="exact"/>
        <w:rPr>
          <w:rFonts w:ascii="Arial" w:cs="Arial" w:eastAsia="Arial" w:hAnsi="Arial"/>
          <w:sz w:val="16"/>
          <w:szCs w:val="16"/>
          <w:color w:val="auto"/>
        </w:rPr>
      </w:pPr>
    </w:p>
    <w:p>
      <w:pPr>
        <w:ind w:left="-20" w:firstLine="921"/>
        <w:spacing w:after="0" w:line="312" w:lineRule="auto"/>
        <w:tabs>
          <w:tab w:leader="none" w:pos="1148"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146" w:lineRule="exact"/>
        <w:rPr>
          <w:rFonts w:ascii="Arial" w:cs="Arial" w:eastAsia="Arial" w:hAnsi="Arial"/>
          <w:sz w:val="16"/>
          <w:szCs w:val="16"/>
          <w:color w:val="auto"/>
        </w:rPr>
      </w:pPr>
    </w:p>
    <w:p>
      <w:pPr>
        <w:ind w:left="-20" w:right="20" w:firstLine="921"/>
        <w:spacing w:after="0" w:line="255" w:lineRule="auto"/>
        <w:tabs>
          <w:tab w:leader="none" w:pos="11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 shall be a date not more than five days prior to the date of such letter.</w:t>
      </w:r>
    </w:p>
    <w:p>
      <w:pPr>
        <w:spacing w:after="0" w:line="193" w:lineRule="exact"/>
        <w:rPr>
          <w:rFonts w:ascii="Arial" w:cs="Arial" w:eastAsia="Arial" w:hAnsi="Arial"/>
          <w:sz w:val="18"/>
          <w:szCs w:val="18"/>
          <w:color w:val="auto"/>
        </w:rPr>
      </w:pPr>
    </w:p>
    <w:p>
      <w:pPr>
        <w:ind w:left="-20" w:firstLine="921"/>
        <w:spacing w:after="0" w:line="286" w:lineRule="auto"/>
        <w:tabs>
          <w:tab w:leader="none" w:pos="1108" w:val="left"/>
        </w:tabs>
        <w:numPr>
          <w:ilvl w:val="1"/>
          <w:numId w:val="40"/>
        </w:numPr>
        <w:rPr>
          <w:rFonts w:ascii="Arial" w:cs="Arial" w:eastAsia="Arial" w:hAnsi="Arial"/>
          <w:sz w:val="17"/>
          <w:szCs w:val="17"/>
          <w:color w:val="auto"/>
        </w:rPr>
      </w:pPr>
      <w:r>
        <w:rPr>
          <w:rFonts w:ascii="Arial" w:cs="Arial" w:eastAsia="Arial" w:hAnsi="Arial"/>
          <w:sz w:val="17"/>
          <w:szCs w:val="17"/>
          <w:color w:val="auto"/>
        </w:rPr>
        <w:t>On the Delivery Date, the Representatives shall have received from PricewaterhouseCoopers LLP a letter, dated as of the Delivery Date, to the effect that it reaffirms the statements made in the respective letter furnished pursuant to paragraph (h) of this Section 7, except that the date referred to in the proviso in Section 7(h) hereof shall be a date not more than three business days prior to the Delivery Date.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60" w:top="274" w:right="259" w:bottom="1440" w:gutter="0" w:footer="0" w:header="0"/>
        </w:sectPr>
      </w:pPr>
    </w:p>
    <w:bookmarkStart w:id="34" w:name="page35"/>
    <w:bookmarkEnd w:id="34"/>
    <w:p>
      <w:pPr>
        <w:ind w:left="-8" w:right="180" w:firstLine="921"/>
        <w:spacing w:after="0" w:line="259"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Partnership shall have furnished to the Representatives at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78" w:lineRule="exact"/>
        <w:rPr>
          <w:rFonts w:ascii="Arial" w:cs="Arial" w:eastAsia="Arial" w:hAnsi="Arial"/>
          <w:sz w:val="18"/>
          <w:szCs w:val="18"/>
          <w:color w:val="auto"/>
        </w:rPr>
      </w:pPr>
    </w:p>
    <w:p>
      <w:pPr>
        <w:ind w:left="452" w:firstLine="881"/>
        <w:spacing w:after="0" w:line="264" w:lineRule="auto"/>
        <w:tabs>
          <w:tab w:leader="none" w:pos="1543"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in this Agreement are true and correct on and as of the Delivery Date with the same effect as if made on the Delivery Date and the Partnership has complied in all material respects with all the agreements and satisfied all the conditions on its part to be performed or satisfied at or prior to the Delivery Date;</w:t>
      </w:r>
    </w:p>
    <w:p>
      <w:pPr>
        <w:spacing w:after="0" w:line="73" w:lineRule="exact"/>
        <w:rPr>
          <w:rFonts w:ascii="Arial" w:cs="Arial" w:eastAsia="Arial" w:hAnsi="Arial"/>
          <w:sz w:val="18"/>
          <w:szCs w:val="18"/>
          <w:color w:val="auto"/>
        </w:rPr>
      </w:pPr>
    </w:p>
    <w:p>
      <w:pPr>
        <w:ind w:left="452" w:right="520" w:firstLine="881"/>
        <w:spacing w:after="0" w:line="277" w:lineRule="auto"/>
        <w:tabs>
          <w:tab w:leader="none" w:pos="1593" w:val="left"/>
        </w:tabs>
        <w:numPr>
          <w:ilvl w:val="2"/>
          <w:numId w:val="41"/>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62" w:lineRule="exact"/>
        <w:rPr>
          <w:rFonts w:ascii="Arial" w:cs="Arial" w:eastAsia="Arial" w:hAnsi="Arial"/>
          <w:sz w:val="18"/>
          <w:szCs w:val="18"/>
          <w:color w:val="auto"/>
        </w:rPr>
      </w:pPr>
    </w:p>
    <w:p>
      <w:pPr>
        <w:jc w:val="both"/>
        <w:ind w:left="452" w:right="20" w:firstLine="881"/>
        <w:spacing w:after="0" w:line="259" w:lineRule="auto"/>
        <w:tabs>
          <w:tab w:leader="none" w:pos="1643" w:val="left"/>
        </w:tabs>
        <w:numPr>
          <w:ilvl w:val="2"/>
          <w:numId w:val="41"/>
        </w:numPr>
        <w:rPr>
          <w:rFonts w:ascii="Arial" w:cs="Arial" w:eastAsia="Arial" w:hAnsi="Arial"/>
          <w:sz w:val="18"/>
          <w:szCs w:val="18"/>
          <w:color w:val="auto"/>
        </w:rPr>
      </w:pPr>
      <w:r>
        <w:rPr>
          <w:rFonts w:ascii="Arial" w:cs="Arial" w:eastAsia="Arial" w:hAnsi="Arial"/>
          <w:sz w:val="18"/>
          <w:szCs w:val="18"/>
          <w:color w:val="auto"/>
        </w:rPr>
        <w:t>(A)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86" w:lineRule="exact"/>
        <w:rPr>
          <w:rFonts w:ascii="Arial" w:cs="Arial" w:eastAsia="Arial" w:hAnsi="Arial"/>
          <w:sz w:val="18"/>
          <w:szCs w:val="18"/>
          <w:color w:val="auto"/>
        </w:rPr>
      </w:pPr>
    </w:p>
    <w:p>
      <w:pPr>
        <w:ind w:left="-8" w:right="80" w:firstLine="921"/>
        <w:spacing w:after="0" w:line="255" w:lineRule="auto"/>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PAA Finance shall have furnished to the Representatives at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and PAA Finance has complied in all material respects with all the agreements and satisfied all the conditions on its part to be performed or satisfied at or prior to the Delivery Date.</w:t>
      </w:r>
    </w:p>
    <w:p>
      <w:pPr>
        <w:spacing w:after="0" w:line="189" w:lineRule="exact"/>
        <w:rPr>
          <w:rFonts w:ascii="Arial" w:cs="Arial" w:eastAsia="Arial" w:hAnsi="Arial"/>
          <w:sz w:val="18"/>
          <w:szCs w:val="18"/>
          <w:color w:val="auto"/>
        </w:rPr>
      </w:pPr>
    </w:p>
    <w:p>
      <w:pPr>
        <w:ind w:left="-8" w:firstLine="921"/>
        <w:spacing w:after="0" w:line="287" w:lineRule="auto"/>
        <w:tabs>
          <w:tab w:leader="none" w:pos="11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At the Delivery Date, the Notes shall be rated at least “Baa2” by Moody’s Investors Service, Inc. (“</w:t>
      </w:r>
      <w:r>
        <w:rPr>
          <w:rFonts w:ascii="Arial" w:cs="Arial" w:eastAsia="Arial" w:hAnsi="Arial"/>
          <w:sz w:val="16"/>
          <w:szCs w:val="16"/>
          <w:b w:val="1"/>
          <w:bCs w:val="1"/>
          <w:color w:val="auto"/>
        </w:rPr>
        <w:t>Moody’s</w:t>
      </w:r>
      <w:r>
        <w:rPr>
          <w:rFonts w:ascii="Arial" w:cs="Arial" w:eastAsia="Arial" w:hAnsi="Arial"/>
          <w:sz w:val="16"/>
          <w:szCs w:val="16"/>
          <w:color w:val="auto"/>
        </w:rPr>
        <w:t>”) and “BBB” by Standard &amp; Poor’s Ratings Services, a division of The McGraw-Hill Companies, Inc. (“</w:t>
      </w:r>
      <w:r>
        <w:rPr>
          <w:rFonts w:ascii="Arial" w:cs="Arial" w:eastAsia="Arial" w:hAnsi="Arial"/>
          <w:sz w:val="16"/>
          <w:szCs w:val="16"/>
          <w:b w:val="1"/>
          <w:bCs w:val="1"/>
          <w:color w:val="auto"/>
        </w:rPr>
        <w:t>S&amp;P</w:t>
      </w:r>
      <w:r>
        <w:rPr>
          <w:rFonts w:ascii="Arial" w:cs="Arial" w:eastAsia="Arial" w:hAnsi="Arial"/>
          <w:sz w:val="16"/>
          <w:szCs w:val="16"/>
          <w:color w:val="auto"/>
        </w:rPr>
        <w:t>”),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(A) the Notes below “Baa2” by Moody’s and “BBB” by S&amp;P or</w:t>
      </w:r>
    </w:p>
    <w:p>
      <w:pPr>
        <w:spacing w:after="0" w:line="2" w:lineRule="exact"/>
        <w:rPr>
          <w:rFonts w:ascii="Arial" w:cs="Arial" w:eastAsia="Arial" w:hAnsi="Arial"/>
          <w:sz w:val="16"/>
          <w:szCs w:val="16"/>
          <w:color w:val="auto"/>
        </w:rPr>
      </w:pPr>
    </w:p>
    <w:p>
      <w:pPr>
        <w:jc w:val="both"/>
        <w:ind w:left="-8" w:firstLine="8"/>
        <w:spacing w:after="0" w:line="255" w:lineRule="auto"/>
        <w:tabs>
          <w:tab w:leader="none" w:pos="2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 of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1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92"/>
          </w:cols>
          <w:pgMar w:left="248" w:top="274" w:right="259" w:bottom="1440" w:gutter="0" w:footer="0" w:header="0"/>
        </w:sectPr>
      </w:pPr>
    </w:p>
    <w:bookmarkStart w:id="35" w:name="page36"/>
    <w:bookmarkEnd w:id="35"/>
    <w:p>
      <w:pPr>
        <w:ind w:right="40" w:firstLine="921"/>
        <w:spacing w:after="0" w:line="277" w:lineRule="auto"/>
        <w:tabs>
          <w:tab w:leader="none" w:pos="1218"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and the Trustee shall have executed and delivered the Supplemental Indenture, and the Issuers shall have executed and delivered the Global Notes.</w:t>
      </w:r>
    </w:p>
    <w:p>
      <w:pPr>
        <w:spacing w:after="0" w:line="170"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Representatives shall have received from the Partnership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signed by the Chief Financial Officer of the General Partner.</w:t>
      </w:r>
    </w:p>
    <w:p>
      <w:pPr>
        <w:spacing w:after="0" w:line="170"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All such opinions, certificates, letters and other documents referred to in this Section 7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w:t>
      </w:r>
    </w:p>
    <w:p>
      <w:pPr>
        <w:spacing w:after="0" w:line="166"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w:t>
      </w:r>
    </w:p>
    <w:p>
      <w:pPr>
        <w:spacing w:after="0" w:line="188" w:lineRule="exact"/>
        <w:rPr>
          <w:sz w:val="20"/>
          <w:szCs w:val="20"/>
          <w:color w:val="auto"/>
        </w:rPr>
      </w:pPr>
    </w:p>
    <w:p>
      <w:pPr>
        <w:ind w:right="100" w:firstLine="464"/>
        <w:spacing w:after="0" w:line="284" w:lineRule="auto"/>
        <w:tabs>
          <w:tab w:leader="none" w:pos="636"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w:t>
      </w:r>
    </w:p>
    <w:p>
      <w:pPr>
        <w:spacing w:after="0" w:line="2" w:lineRule="exact"/>
        <w:rPr>
          <w:rFonts w:ascii="Arial" w:cs="Arial" w:eastAsia="Arial" w:hAnsi="Arial"/>
          <w:sz w:val="16"/>
          <w:szCs w:val="16"/>
          <w:color w:val="auto"/>
        </w:rPr>
      </w:pPr>
    </w:p>
    <w:p>
      <w:pPr>
        <w:ind w:firstLine="8"/>
        <w:spacing w:after="0" w:line="268" w:lineRule="auto"/>
        <w:tabs>
          <w:tab w:leader="none" w:pos="3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Section 5(g)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36" w:name="page37"/>
    <w:bookmarkEnd w:id="36"/>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understood, however, that except as otherwise provided in this Section 8 or Section 5(j)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w:t>
      </w:r>
    </w:p>
    <w:p>
      <w:pPr>
        <w:spacing w:after="0" w:line="187" w:lineRule="exact"/>
        <w:rPr>
          <w:sz w:val="20"/>
          <w:szCs w:val="20"/>
          <w:color w:val="auto"/>
        </w:rPr>
      </w:pPr>
    </w:p>
    <w:p>
      <w:pPr>
        <w:ind w:firstLine="464"/>
        <w:spacing w:after="0" w:line="285" w:lineRule="auto"/>
        <w:tabs>
          <w:tab w:leader="none" w:pos="63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principal amount of Notes set forth opposite the names of all non-defaulting Underwriters or in such other proportion as the Representatives may specify in accordance with the Agreement Among Underwriters of Citigroup Global Markets Inc.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Arial" w:cs="Arial" w:eastAsia="Arial" w:hAnsi="Arial"/>
          <w:sz w:val="16"/>
          <w:szCs w:val="16"/>
          <w:b w:val="1"/>
          <w:bCs w:val="1"/>
          <w:color w:val="auto"/>
        </w:rPr>
        <w:t>Underwriter</w:t>
      </w:r>
      <w:r>
        <w:rPr>
          <w:rFonts w:ascii="Arial" w:cs="Arial" w:eastAsia="Arial" w:hAnsi="Arial"/>
          <w:sz w:val="16"/>
          <w:szCs w:val="16"/>
          <w:color w:val="auto"/>
        </w:rPr>
        <w:t xml:space="preserve">” as used in this Agreement includes, for all purposes of this Agreement, any party not listed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who, with the Representatives’ approval and the approval of the Issuers, purchases Notes that a defaulting Underwriter is obligated, but fails or refuses, to purchase.</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notice under this Section 9 may be given by telegram, telecopy or telephone but shall be subsequently confirmed by letter.</w:t>
      </w:r>
    </w:p>
    <w:p>
      <w:pPr>
        <w:spacing w:after="0" w:line="225" w:lineRule="exact"/>
        <w:rPr>
          <w:sz w:val="20"/>
          <w:szCs w:val="20"/>
          <w:color w:val="auto"/>
        </w:rPr>
      </w:pPr>
    </w:p>
    <w:p>
      <w:pPr>
        <w:ind w:firstLine="464"/>
        <w:spacing w:after="0" w:line="312" w:lineRule="auto"/>
        <w:tabs>
          <w:tab w:leader="none" w:pos="72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This Agreement shall be subject to termination in the Representatives’ absolute discretion, without liability on the part of any Underwriter to any Issuer, by notice to the Issuers prior to delivery of and payment for the Notes, if at any time prior to such time (i) trading in the Partnership’s Common Units shall have been suspended by the Commission or the NYSE or trading in securities generally on the New York Stock Exchange,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4" w:right="299" w:bottom="1440" w:gutter="0" w:footer="0" w:header="0"/>
        </w:sectPr>
      </w:pPr>
    </w:p>
    <w:bookmarkStart w:id="37" w:name="page38"/>
    <w:bookmarkEnd w:id="37"/>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NYSE MKT LLC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or with respect to Euroclear S.A./N.V. and Clearstream Banking, société anonyme,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w:t>
      </w:r>
    </w:p>
    <w:p>
      <w:pPr>
        <w:spacing w:after="0" w:line="179" w:lineRule="exact"/>
        <w:rPr>
          <w:sz w:val="20"/>
          <w:szCs w:val="20"/>
          <w:color w:val="auto"/>
        </w:rPr>
      </w:pPr>
    </w:p>
    <w:p>
      <w:pPr>
        <w:ind w:firstLine="464"/>
        <w:spacing w:after="0" w:line="271"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Notice; Successors</w:t>
      </w:r>
      <w:r>
        <w:rPr>
          <w:rFonts w:ascii="Arial" w:cs="Arial" w:eastAsia="Arial" w:hAnsi="Arial"/>
          <w:sz w:val="17"/>
          <w:szCs w:val="17"/>
          <w:color w:val="auto"/>
        </w:rPr>
        <w:t>. Except as otherwise provided in Sections 5, 9 and 10 hereof, all communications hereunder will be in writing and effective only on receipt, and, if sent to the Underwriters, will be mailed, delivered or telefaxed to the Representatives c/o Citigroup Global Markets Inc., 388 Greenwich Street, New York, New York 10013, Attention: General Counsel (fax: (646) 291-1469); c/o Mizuho Securities USA Inc., 320 Park Avenue – 12th Floor, New York, New York 10022, Attention: Debt Capital Markets Desk (fax: (212) 205-7812); c/o Mitsubishi UFJ Securities (USA), Inc., 1633 Broadway, 29th Floor, New York, New York 10019, Attention: General Counsel (fax: (646) 434-3455); and UBS Securities LLC, 1285 Avenue of the Americas, New York, New York 10019 Attention: Fixed Income Syndicate (fax: (203) 719-0495); with a copy (which shall not constitute notice) to Baker Botts L.L.P., 910 Louisiana St., Houston, Texas 77002, Attention: Joshua Davidson; or, if sent to either of the Issuers, will be mailed, delivered or telefaxed to (713) 646-4313 and confirmed to it at 333 Clay St., Suite 1600, Houston, Texas 77002, Attention: General Counsel.</w:t>
      </w:r>
    </w:p>
    <w:p>
      <w:pPr>
        <w:spacing w:after="0" w:line="179"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This Agreement has been and is made solely for the benefit of the several Underwriters and their directors, officers, employees, agents and other controlling persons referred to in Section 6 hereof and the Issuers and GP LLC’s directors and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w:t>
      </w:r>
    </w:p>
    <w:p>
      <w:pPr>
        <w:spacing w:after="0" w:line="173" w:lineRule="exact"/>
        <w:rPr>
          <w:sz w:val="20"/>
          <w:szCs w:val="20"/>
          <w:color w:val="auto"/>
        </w:rPr>
      </w:pPr>
    </w:p>
    <w:p>
      <w:pPr>
        <w:ind w:right="100" w:firstLine="464"/>
        <w:spacing w:after="0" w:line="276" w:lineRule="auto"/>
        <w:tabs>
          <w:tab w:leader="none" w:pos="72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Information Furnished by the Underwriters</w:t>
      </w:r>
      <w:r>
        <w:rPr>
          <w:rFonts w:ascii="Arial" w:cs="Arial" w:eastAsia="Arial" w:hAnsi="Arial"/>
          <w:sz w:val="17"/>
          <w:szCs w:val="17"/>
          <w:color w:val="auto"/>
        </w:rPr>
        <w:t>. The Issuers acknowledge that the following statements set forth in the most recent Preliminary Prospectus and the Prospectus constitute the only information furnished by or on behalf of the Underwriters through the Representatives as such information is referred to in Sections 1(c), 1(d), 1(f), 1(g), 5(p), 6(a) and 6(c) hereof: (A) the names of the Underwriters, (B) the table under the first paragraph under the heading “Underwriting,” (C) the first paragraph under the heading “Underwriting — Underwriting Discounts” related to concessions and (D) the paragraph under the heading “Underwriting — Stabilization and Short Positions.”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8" w:name="page39"/>
    <w:bookmarkEnd w:id="38"/>
    <w:p>
      <w:pPr>
        <w:ind w:left="-20" w:right="20" w:firstLine="464"/>
        <w:spacing w:after="0" w:line="289" w:lineRule="auto"/>
        <w:tabs>
          <w:tab w:leader="none" w:pos="70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Research Analyst Independence</w:t>
      </w:r>
      <w:r>
        <w:rPr>
          <w:rFonts w:ascii="Arial" w:cs="Arial" w:eastAsia="Arial" w:hAnsi="Arial"/>
          <w:sz w:val="16"/>
          <w:szCs w:val="16"/>
          <w:color w:val="auto"/>
        </w:rPr>
        <w:t>. The Issuers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6" w:lineRule="exact"/>
        <w:rPr>
          <w:rFonts w:ascii="Arial" w:cs="Arial" w:eastAsia="Arial" w:hAnsi="Arial"/>
          <w:sz w:val="16"/>
          <w:szCs w:val="16"/>
          <w:color w:val="auto"/>
        </w:rPr>
      </w:pPr>
    </w:p>
    <w:p>
      <w:pPr>
        <w:ind w:left="-20" w:firstLine="464"/>
        <w:spacing w:after="0" w:line="277" w:lineRule="auto"/>
        <w:tabs>
          <w:tab w:leader="none" w:pos="70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Issuers and the Underwriters, or any of them, with respect to the subject matter hereof.</w:t>
      </w:r>
    </w:p>
    <w:p>
      <w:pPr>
        <w:spacing w:after="0" w:line="170" w:lineRule="exact"/>
        <w:rPr>
          <w:rFonts w:ascii="Arial" w:cs="Arial" w:eastAsia="Arial" w:hAnsi="Arial"/>
          <w:sz w:val="18"/>
          <w:szCs w:val="18"/>
          <w:color w:val="auto"/>
        </w:rPr>
      </w:pPr>
    </w:p>
    <w:p>
      <w:pPr>
        <w:ind w:left="720" w:hanging="27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720" w:hanging="27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Effective Date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left="-20" w:right="40" w:firstLine="464"/>
        <w:spacing w:after="0" w:line="270" w:lineRule="auto"/>
        <w:tabs>
          <w:tab w:leader="none" w:pos="70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w:t>
      </w:r>
    </w:p>
    <w:p>
      <w:pPr>
        <w:spacing w:after="0" w:line="181" w:lineRule="exact"/>
        <w:rPr>
          <w:rFonts w:ascii="Arial" w:cs="Arial" w:eastAsia="Arial" w:hAnsi="Arial"/>
          <w:sz w:val="17"/>
          <w:szCs w:val="17"/>
          <w:color w:val="auto"/>
        </w:rPr>
      </w:pPr>
    </w:p>
    <w:p>
      <w:pPr>
        <w:jc w:val="both"/>
        <w:ind w:left="-20" w:right="140" w:firstLine="464"/>
        <w:spacing w:after="0" w:line="259" w:lineRule="auto"/>
        <w:tabs>
          <w:tab w:leader="none" w:pos="70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60" w:top="27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019"/>
          </w:cols>
          <w:pgMar w:left="1440" w:top="274"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that the foregoing correctly sets forth the agreement among the Issuers and the Underwriters.</w:t>
      </w:r>
    </w:p>
    <w:p>
      <w:pPr>
        <w:spacing w:after="0" w:line="2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PAA GP LLC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PLAINS ALL AMERICAN GP LLC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Sharon Spurlin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198"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Sharon Spurlin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134"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PAA Signature Page to Underwriting Agreement</w:t>
      </w:r>
    </w:p>
    <w:p>
      <w:pPr>
        <w:sectPr>
          <w:pgSz w:w="11900" w:h="16838" w:orient="portrait"/>
          <w:cols w:equalWidth="0" w:num="1">
            <w:col w:w="10500"/>
          </w:cols>
          <w:pgMar w:left="116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by the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Mitsubishi UFJ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By: Citigroup Global Markets Inc.</w:t>
            </w:r>
          </w:p>
        </w:tc>
        <w:tc>
          <w:tcPr>
            <w:tcW w:w="600" w:type="dxa"/>
            <w:vAlign w:val="bottom"/>
          </w:tcPr>
          <w:p>
            <w:pPr>
              <w:ind w:left="22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Mizuho Securities USA Inc.</w:t>
            </w:r>
          </w:p>
        </w:tc>
      </w:tr>
      <w:tr>
        <w:trPr>
          <w:trHeight w:val="432"/>
        </w:trPr>
        <w:tc>
          <w:tcPr>
            <w:tcW w:w="960" w:type="dxa"/>
            <w:vAlign w:val="bottom"/>
          </w:tcPr>
          <w:p>
            <w:pPr>
              <w:ind w:left="3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Bednarski</w:t>
            </w:r>
          </w:p>
        </w:tc>
        <w:tc>
          <w:tcPr>
            <w:tcW w:w="60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Scott Trachsel</w:t>
            </w:r>
          </w:p>
        </w:tc>
      </w:tr>
      <w:tr>
        <w:trPr>
          <w:trHeight w:val="209"/>
        </w:trPr>
        <w:tc>
          <w:tcPr>
            <w:tcW w:w="960" w:type="dxa"/>
            <w:vAlign w:val="bottom"/>
          </w:tcPr>
          <w:p>
            <w:pPr>
              <w:ind w:left="38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Brian D. Bednarski</w:t>
            </w:r>
          </w:p>
        </w:tc>
        <w:tc>
          <w:tcPr>
            <w:tcW w:w="6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20"/>
                <w:szCs w:val="20"/>
                <w:color w:val="auto"/>
              </w:rPr>
            </w:pPr>
            <w:r>
              <w:rPr>
                <w:rFonts w:ascii="Arial" w:cs="Arial" w:eastAsia="Arial" w:hAnsi="Arial"/>
                <w:sz w:val="18"/>
                <w:szCs w:val="18"/>
                <w:color w:val="auto"/>
              </w:rPr>
              <w:t>Scott Trachsel</w:t>
            </w:r>
          </w:p>
        </w:tc>
      </w:tr>
      <w:tr>
        <w:trPr>
          <w:trHeight w:val="230"/>
        </w:trPr>
        <w:tc>
          <w:tcPr>
            <w:tcW w:w="960" w:type="dxa"/>
            <w:vAlign w:val="bottom"/>
          </w:tcPr>
          <w:p>
            <w:pPr>
              <w:ind w:left="38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Managing Director</w:t>
            </w:r>
          </w:p>
        </w:tc>
        <w:tc>
          <w:tcPr>
            <w:tcW w:w="6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By: Mitsubishi UFJ Securities (USA), Inc.</w:t>
            </w:r>
          </w:p>
        </w:tc>
        <w:tc>
          <w:tcPr>
            <w:tcW w:w="600" w:type="dxa"/>
            <w:vAlign w:val="bottom"/>
          </w:tcPr>
          <w:p>
            <w:pPr>
              <w:ind w:left="22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UBS Securities LLC</w:t>
            </w:r>
          </w:p>
        </w:tc>
      </w:tr>
      <w:tr>
        <w:trPr>
          <w:trHeight w:val="432"/>
        </w:trPr>
        <w:tc>
          <w:tcPr>
            <w:tcW w:w="960" w:type="dxa"/>
            <w:vAlign w:val="bottom"/>
          </w:tcPr>
          <w:p>
            <w:pPr>
              <w:ind w:left="3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Testa</w:t>
            </w:r>
          </w:p>
        </w:tc>
        <w:tc>
          <w:tcPr>
            <w:tcW w:w="60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Spadaccini</w:t>
            </w:r>
          </w:p>
        </w:tc>
      </w:tr>
      <w:tr>
        <w:trPr>
          <w:trHeight w:val="209"/>
        </w:trPr>
        <w:tc>
          <w:tcPr>
            <w:tcW w:w="960" w:type="dxa"/>
            <w:vAlign w:val="bottom"/>
          </w:tcPr>
          <w:p>
            <w:pPr>
              <w:ind w:left="38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Richard Testa</w:t>
            </w:r>
          </w:p>
        </w:tc>
        <w:tc>
          <w:tcPr>
            <w:tcW w:w="6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20"/>
                <w:szCs w:val="20"/>
                <w:color w:val="auto"/>
              </w:rPr>
            </w:pPr>
            <w:r>
              <w:rPr>
                <w:rFonts w:ascii="Arial" w:cs="Arial" w:eastAsia="Arial" w:hAnsi="Arial"/>
                <w:sz w:val="18"/>
                <w:szCs w:val="18"/>
                <w:color w:val="auto"/>
              </w:rPr>
              <w:t>Mark Spadaccini</w:t>
            </w:r>
          </w:p>
        </w:tc>
      </w:tr>
      <w:tr>
        <w:trPr>
          <w:trHeight w:val="230"/>
        </w:trPr>
        <w:tc>
          <w:tcPr>
            <w:tcW w:w="960" w:type="dxa"/>
            <w:vAlign w:val="bottom"/>
          </w:tcPr>
          <w:p>
            <w:pPr>
              <w:ind w:left="38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Managing Director</w:t>
            </w:r>
          </w:p>
        </w:tc>
        <w:tc>
          <w:tcPr>
            <w:tcW w:w="6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432"/>
        </w:trPr>
        <w:tc>
          <w:tcPr>
            <w:tcW w:w="9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Chang</w:t>
            </w:r>
          </w:p>
        </w:tc>
      </w:tr>
      <w:tr>
        <w:trPr>
          <w:trHeight w:val="209"/>
        </w:trPr>
        <w:tc>
          <w:tcPr>
            <w:tcW w:w="9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20"/>
                <w:szCs w:val="20"/>
                <w:color w:val="auto"/>
              </w:rPr>
            </w:pPr>
            <w:r>
              <w:rPr>
                <w:rFonts w:ascii="Arial" w:cs="Arial" w:eastAsia="Arial" w:hAnsi="Arial"/>
                <w:sz w:val="18"/>
                <w:szCs w:val="18"/>
                <w:color w:val="auto"/>
              </w:rPr>
              <w:t>Stephen Chang</w:t>
            </w:r>
          </w:p>
        </w:tc>
      </w:tr>
      <w:tr>
        <w:trPr>
          <w:trHeight w:val="230"/>
        </w:trPr>
        <w:tc>
          <w:tcPr>
            <w:tcW w:w="9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Underwriters’ Signature Page to Underwriting Agreement</w:t>
      </w:r>
    </w:p>
    <w:p>
      <w:pPr>
        <w:sectPr>
          <w:pgSz w:w="11900" w:h="16838" w:orient="portrait"/>
          <w:cols w:equalWidth="0" w:num="1">
            <w:col w:w="11420"/>
          </w:cols>
          <w:pgMar w:left="240" w:top="27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96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58"/>
        </w:trPr>
        <w:tc>
          <w:tcPr>
            <w:tcW w:w="5340" w:type="dxa"/>
            <w:vAlign w:val="bottom"/>
            <w:gridSpan w:val="2"/>
            <w:vMerge w:val="continue"/>
          </w:tcPr>
          <w:p>
            <w:pPr>
              <w:spacing w:after="0"/>
              <w:rPr>
                <w:sz w:val="13"/>
                <w:szCs w:val="13"/>
                <w:color w:val="auto"/>
              </w:rPr>
            </w:pPr>
          </w:p>
        </w:tc>
        <w:tc>
          <w:tcPr>
            <w:tcW w:w="2420" w:type="dxa"/>
            <w:vAlign w:val="bottom"/>
            <w:gridSpan w:val="4"/>
          </w:tcPr>
          <w:p>
            <w:pPr>
              <w:jc w:val="center"/>
              <w:ind w:left="779"/>
              <w:spacing w:after="0" w:line="158" w:lineRule="exact"/>
              <w:rPr>
                <w:sz w:val="20"/>
                <w:szCs w:val="20"/>
                <w:color w:val="auto"/>
              </w:rPr>
            </w:pPr>
            <w:r>
              <w:rPr>
                <w:rFonts w:ascii="Arial" w:cs="Arial" w:eastAsia="Arial" w:hAnsi="Arial"/>
                <w:sz w:val="14"/>
                <w:szCs w:val="14"/>
                <w:b w:val="1"/>
                <w:bCs w:val="1"/>
                <w:color w:val="auto"/>
                <w:w w:val="89"/>
              </w:rPr>
              <w:t>Notes to be Purchased</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BB&amp;T Capital Markets, a division of BB&amp;T Securities, LLC</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World Markets Corp.</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Fifth Third Securities,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820" w:type="dxa"/>
            <w:vAlign w:val="bottom"/>
          </w:tcPr>
          <w:p>
            <w:pPr>
              <w:spacing w:after="0"/>
              <w:rPr>
                <w:sz w:val="6"/>
                <w:szCs w:val="6"/>
                <w:color w:val="auto"/>
              </w:rPr>
            </w:pPr>
          </w:p>
        </w:tc>
        <w:tc>
          <w:tcPr>
            <w:tcW w:w="4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Schedule I to Underwriting Agreement</w:t>
      </w:r>
    </w:p>
    <w:p>
      <w:pPr>
        <w:sectPr>
          <w:pgSz w:w="11900" w:h="16838" w:orient="portrait"/>
          <w:cols w:equalWidth="0" w:num="1">
            <w:col w:w="10220"/>
          </w:cols>
          <w:pgMar w:left="1440" w:top="27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333-184137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17,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$1,000,000,000 4.650% Senior Notes due 2025</w:t>
      </w:r>
    </w:p>
    <w:p>
      <w:pPr>
        <w:sectPr>
          <w:pgSz w:w="11900" w:h="16838" w:orient="portrait"/>
          <w:cols w:equalWidth="0" w:num="1">
            <w:col w:w="11420"/>
          </w:cols>
          <w:pgMar w:left="240" w:top="270"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Issuers: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and PAA Finance Corp.</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Ratings (Moody’s / S&amp;P):*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[Ratings Intentionally Omitted]</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Senior Unsecured Notes</w:t>
      </w:r>
    </w:p>
    <w:p>
      <w:pPr>
        <w:spacing w:after="0" w:line="151"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Legal Format: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 Registered</w:t>
      </w:r>
    </w:p>
    <w:p>
      <w:pPr>
        <w:spacing w:after="0" w:line="151"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17, 2015</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 (T+5):</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Arial" w:cs="Arial" w:eastAsia="Arial" w:hAnsi="Arial"/>
          <w:sz w:val="16"/>
          <w:szCs w:val="16"/>
          <w:color w:val="auto"/>
        </w:rPr>
        <w:t>August 24, 2015</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15, 2025</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$1,000,000,000</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UST 2.000% due August 15, 2025</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2.168%</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+250 bps</w:t>
      </w:r>
    </w:p>
    <w:p>
      <w:pPr>
        <w:spacing w:after="0" w:line="151"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jc w:val="center"/>
        <w:ind w:right="4800"/>
        <w:spacing w:after="0"/>
        <w:rPr>
          <w:sz w:val="20"/>
          <w:szCs w:val="20"/>
          <w:color w:val="auto"/>
        </w:rPr>
      </w:pPr>
      <w:r>
        <w:rPr>
          <w:rFonts w:ascii="Arial" w:cs="Arial" w:eastAsia="Arial" w:hAnsi="Arial"/>
          <w:sz w:val="16"/>
          <w:szCs w:val="16"/>
          <w:color w:val="auto"/>
        </w:rPr>
        <w:t>4.668%</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Coupon: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4.650%</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Public Offering Price:</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Arial" w:cs="Arial" w:eastAsia="Arial" w:hAnsi="Arial"/>
          <w:sz w:val="16"/>
          <w:szCs w:val="16"/>
          <w:color w:val="auto"/>
        </w:rPr>
        <w:t>99.846%</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ind w:left="180" w:hanging="179"/>
        <w:spacing w:after="0" w:line="277" w:lineRule="auto"/>
        <w:rPr>
          <w:sz w:val="20"/>
          <w:szCs w:val="20"/>
          <w:color w:val="auto"/>
        </w:rPr>
      </w:pPr>
      <w:r>
        <w:rPr>
          <w:rFonts w:ascii="Arial" w:cs="Arial" w:eastAsia="Arial" w:hAnsi="Arial"/>
          <w:sz w:val="18"/>
          <w:szCs w:val="18"/>
          <w:color w:val="auto"/>
        </w:rPr>
        <w:t>Net Proceeds (after deducting the underwriting discount and estimated offering expenses) to the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$990.46 million</w:t>
      </w:r>
    </w:p>
    <w:p>
      <w:pPr>
        <w:spacing w:after="0" w:line="355" w:lineRule="exact"/>
        <w:rPr>
          <w:sz w:val="20"/>
          <w:szCs w:val="20"/>
          <w:color w:val="auto"/>
        </w:rPr>
      </w:pPr>
    </w:p>
    <w:p>
      <w:pPr>
        <w:sectPr>
          <w:pgSz w:w="11900" w:h="16838" w:orient="portrait"/>
          <w:cols w:equalWidth="0" w:num="2">
            <w:col w:w="5700" w:space="36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Make-Whole Call:</w:t>
      </w:r>
    </w:p>
    <w:p>
      <w:pPr>
        <w:spacing w:after="0" w:line="20" w:lineRule="exact"/>
        <w:rPr>
          <w:sz w:val="20"/>
          <w:szCs w:val="20"/>
          <w:color w:val="auto"/>
        </w:rPr>
      </w:pPr>
      <w:r>
        <w:rPr>
          <w:sz w:val="20"/>
          <w:szCs w:val="20"/>
          <w:color w:val="auto"/>
        </w:rPr>
        <w:br w:type="column"/>
      </w:r>
    </w:p>
    <w:p>
      <w:pPr>
        <w:jc w:val="center"/>
        <w:ind w:right="4500"/>
        <w:spacing w:after="0"/>
        <w:rPr>
          <w:sz w:val="20"/>
          <w:szCs w:val="20"/>
          <w:color w:val="auto"/>
        </w:rPr>
      </w:pPr>
      <w:r>
        <w:rPr>
          <w:rFonts w:ascii="Arial" w:cs="Arial" w:eastAsia="Arial" w:hAnsi="Arial"/>
          <w:sz w:val="16"/>
          <w:szCs w:val="16"/>
          <w:color w:val="auto"/>
        </w:rPr>
        <w:t>T+ 37.5 bps</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Call at Par: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or after July 15, 2025</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April 15 and October 15, beginning on April 15, 2016</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72650R BJ0 / US72650RBJ05</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116"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Scotia Capital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BB&amp;T Capital Markets, a division of BB&amp;T Securities, LLC</w:t>
      </w:r>
    </w:p>
    <w:p>
      <w:pPr>
        <w:spacing w:after="0" w:line="21"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ind w:left="6060"/>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CIBC World Markets Corp.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Fifth Third Securities, Inc.</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U.S. Bancorp Investments, Inc.</w:t>
      </w:r>
    </w:p>
    <w:p>
      <w:pPr>
        <w:spacing w:after="0" w:line="251" w:lineRule="exact"/>
        <w:rPr>
          <w:sz w:val="20"/>
          <w:szCs w:val="20"/>
          <w:color w:val="auto"/>
        </w:rPr>
      </w:pPr>
    </w:p>
    <w:p>
      <w:pPr>
        <w:ind w:left="4280" w:right="2160" w:hanging="4272"/>
        <w:spacing w:after="0" w:line="449" w:lineRule="auto"/>
        <w:tabs>
          <w:tab w:leader="none" w:pos="2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 Schedule II to Underwriting Agreement</w:t>
      </w:r>
    </w:p>
    <w:p>
      <w:pPr>
        <w:sectPr>
          <w:pgSz w:w="11900" w:h="16838" w:orient="portrait"/>
          <w:cols w:equalWidth="0" w:num="1">
            <w:col w:w="11420"/>
          </w:cols>
          <w:pgMar w:left="240" w:top="270" w:right="239" w:bottom="1440" w:gutter="0" w:footer="0" w:header="0"/>
          <w:type w:val="continuous"/>
        </w:sectPr>
      </w:pPr>
    </w:p>
    <w:bookmarkStart w:id="44" w:name="page45"/>
    <w:bookmarkEnd w:id="44"/>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the notes is expected to be made against payment therefor on or about August 24, 2015,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at 1-800-831-9146, Mizuho Securities USA Inc. at 1-866-271-7403, Mitsubishi UFJ Securities (USA), Inc. at 1-877-649-6848 or UBS Securities LLC at 1-888-827-7275.</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II to Underwriting Agreement</w:t>
      </w:r>
    </w:p>
    <w:p>
      <w:pPr>
        <w:sectPr>
          <w:pgSz w:w="11900" w:h="16838" w:orient="portrait"/>
          <w:cols w:equalWidth="0" w:num="1">
            <w:col w:w="11420"/>
          </w:cols>
          <w:pgMar w:left="240" w:top="274" w:right="239" w:bottom="1440" w:gutter="0" w:footer="0" w:header="0"/>
        </w:sectPr>
      </w:pPr>
    </w:p>
    <w:bookmarkStart w:id="45" w:name="page46"/>
    <w:bookmarkEnd w:id="4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158"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Schedule III to Underwriting Agreement</w:t>
      </w:r>
    </w:p>
    <w:p>
      <w:pPr>
        <w:sectPr>
          <w:pgSz w:w="11900" w:h="16838" w:orient="portrait"/>
          <w:cols w:equalWidth="0" w:num="1">
            <w:col w:w="10219"/>
          </w:cols>
          <w:pgMar w:left="240" w:top="270" w:right="1440" w:bottom="1440" w:gutter="0" w:footer="0" w:header="0"/>
        </w:sectPr>
      </w:pPr>
    </w:p>
    <w:bookmarkStart w:id="46" w:name="page47"/>
    <w:bookmarkEnd w:id="4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Domestic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158"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Schedule IV to Underwriting Agreement</w:t>
      </w:r>
    </w:p>
    <w:p>
      <w:pPr>
        <w:sectPr>
          <w:pgSz w:w="11900" w:h="16838" w:orient="portrait"/>
          <w:cols w:equalWidth="0" w:num="1">
            <w:col w:w="10219"/>
          </w:cols>
          <w:pgMar w:left="240" w:top="270"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6180" w:type="dxa"/>
            <w:vAlign w:val="bottom"/>
            <w:gridSpan w:val="3"/>
          </w:tcPr>
          <w:p>
            <w:pPr>
              <w:jc w:val="center"/>
              <w:ind w:right="5240"/>
              <w:spacing w:after="0"/>
              <w:rPr>
                <w:sz w:val="20"/>
                <w:szCs w:val="20"/>
                <w:color w:val="auto"/>
              </w:rPr>
            </w:pPr>
            <w:r>
              <w:rPr>
                <w:rFonts w:ascii="Arial" w:cs="Arial" w:eastAsia="Arial" w:hAnsi="Arial"/>
                <w:sz w:val="18"/>
                <w:szCs w:val="18"/>
                <w:b w:val="1"/>
                <w:bCs w:val="1"/>
                <w:color w:val="auto"/>
              </w:rPr>
              <w:t>EXHIBIT A</w:t>
            </w:r>
          </w:p>
        </w:tc>
      </w:tr>
      <w:tr>
        <w:trPr>
          <w:trHeight w:val="20"/>
        </w:trPr>
        <w:tc>
          <w:tcPr>
            <w:tcW w:w="52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4"/>
                <w:szCs w:val="14"/>
                <w:color w:val="auto"/>
              </w:rPr>
              <w:t>Entity</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4"/>
                <w:szCs w:val="14"/>
                <w:color w:val="auto"/>
              </w:rPr>
              <w:t>Jurisdiction in which registered or qualified</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3"/>
              </w:rPr>
              <w:t>Plains</w:t>
            </w:r>
          </w:p>
        </w:tc>
        <w:tc>
          <w:tcPr>
            <w:tcW w:w="4880" w:type="dxa"/>
            <w:vAlign w:val="bottom"/>
          </w:tcPr>
          <w:p>
            <w:pPr>
              <w:ind w:left="140"/>
              <w:spacing w:after="0" w:line="190" w:lineRule="exact"/>
              <w:rPr>
                <w:sz w:val="20"/>
                <w:szCs w:val="20"/>
                <w:color w:val="auto"/>
              </w:rPr>
            </w:pPr>
            <w:r>
              <w:rPr>
                <w:rFonts w:ascii="Arial" w:cs="Arial" w:eastAsia="Arial" w:hAnsi="Arial"/>
                <w:sz w:val="18"/>
                <w:szCs w:val="18"/>
                <w:color w:val="auto"/>
              </w:rPr>
              <w:t>All American Pipeline, L.P.</w:t>
            </w:r>
          </w:p>
        </w:tc>
        <w:tc>
          <w:tcPr>
            <w:tcW w:w="72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Texas</w:t>
            </w:r>
          </w:p>
        </w:tc>
      </w:tr>
      <w:tr>
        <w:trPr>
          <w:trHeight w:val="310"/>
        </w:trPr>
        <w:tc>
          <w:tcPr>
            <w:tcW w:w="5240" w:type="dxa"/>
            <w:vAlign w:val="bottom"/>
            <w:gridSpan w:val="2"/>
          </w:tcPr>
          <w:p>
            <w:pPr>
              <w:spacing w:after="0"/>
              <w:rPr>
                <w:sz w:val="20"/>
                <w:szCs w:val="20"/>
                <w:color w:val="auto"/>
              </w:rPr>
            </w:pPr>
            <w:r>
              <w:rPr>
                <w:rFonts w:ascii="Arial" w:cs="Arial" w:eastAsia="Arial" w:hAnsi="Arial"/>
                <w:sz w:val="18"/>
                <w:szCs w:val="18"/>
                <w:color w:val="auto"/>
              </w:rPr>
              <w:t>PAA GP LLC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Plains AAP, L.P.</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Plains All American GP LLC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324"/>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Plains Marketing, L.P.</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Plains Pipeline, L.P.</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Plains Products Terminals LLC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310"/>
        </w:trPr>
        <w:tc>
          <w:tcPr>
            <w:tcW w:w="5240" w:type="dxa"/>
            <w:vAlign w:val="bottom"/>
            <w:gridSpan w:val="2"/>
          </w:tcPr>
          <w:p>
            <w:pPr>
              <w:spacing w:after="0"/>
              <w:rPr>
                <w:sz w:val="20"/>
                <w:szCs w:val="20"/>
                <w:color w:val="auto"/>
              </w:rPr>
            </w:pPr>
            <w:r>
              <w:rPr>
                <w:rFonts w:ascii="Arial" w:cs="Arial" w:eastAsia="Arial" w:hAnsi="Arial"/>
                <w:sz w:val="18"/>
                <w:szCs w:val="18"/>
                <w:color w:val="auto"/>
              </w:rPr>
              <w:t>Plains Midstream Canada ULC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Alberta, Manitoba, New Brunswick, Nova Scotia, Ontario, Quebec,</w:t>
            </w:r>
          </w:p>
        </w:tc>
      </w:tr>
      <w:tr>
        <w:trPr>
          <w:trHeight w:val="230"/>
        </w:trPr>
        <w:tc>
          <w:tcPr>
            <w:tcW w:w="3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Saskatchewan</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Plains South Texas Gathering LLC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Oklahoma</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Pacific Pipeline System LLC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Plains West Coast Terminals LLC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Rocky Mountain Pipeline System LLC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Utah</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Pine Prairie Energy Center, LLC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SG Resources Mississippi LLC</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Alabama, Mississippi</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Plains LPG Services LP</w:t>
            </w:r>
          </w:p>
        </w:tc>
        <w:tc>
          <w:tcPr>
            <w:tcW w:w="7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California, Illinois, Oklahoma</w:t>
            </w:r>
          </w:p>
        </w:tc>
      </w:tr>
      <w:tr>
        <w:trPr>
          <w:trHeight w:val="365"/>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180" w:type="dxa"/>
            <w:vAlign w:val="bottom"/>
            <w:gridSpan w:val="3"/>
          </w:tcPr>
          <w:p>
            <w:pPr>
              <w:jc w:val="center"/>
              <w:ind w:right="5240"/>
              <w:spacing w:after="0"/>
              <w:rPr>
                <w:sz w:val="20"/>
                <w:szCs w:val="20"/>
                <w:color w:val="auto"/>
              </w:rPr>
            </w:pPr>
            <w:r>
              <w:rPr>
                <w:rFonts w:ascii="Arial" w:cs="Arial" w:eastAsia="Arial" w:hAnsi="Arial"/>
                <w:sz w:val="18"/>
                <w:szCs w:val="18"/>
                <w:color w:val="auto"/>
                <w:w w:val="98"/>
              </w:rPr>
              <w:t>Exhibit A-1</w:t>
            </w:r>
          </w:p>
        </w:tc>
      </w:tr>
    </w:tbl>
    <w:p>
      <w:pPr>
        <w:jc w:val="center"/>
        <w:ind w:right="5240"/>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8" w:name="page49"/>
    <w:bookmarkEnd w:id="4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August 17, 2015</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2015. In addition, as of the date of this certificate, the total debt of the Partnership is approximately $10.8 billion.</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PAA Finance Corp. and Citigroup Global Markets Inc., Mizuho Securities USA Inc., Mitsubishi UFJ Securities (USA), Inc. and UBS Securities LLC, as the representatives of the several Underwriters.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380"/>
          </w:cols>
          <w:pgMar w:left="240" w:top="270" w:right="27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hereunto affixed his signature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313690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5"/>
          <w:szCs w:val="15"/>
          <w:i w:val="1"/>
          <w:iCs w:val="1"/>
          <w:color w:val="auto"/>
        </w:rPr>
        <w:t>Executive Vice President and</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Chief Financial Officer</w:t>
      </w:r>
    </w:p>
    <w:p>
      <w:pPr>
        <w:spacing w:after="0" w:line="14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9759"/>
          </w:cols>
          <w:pgMar w:left="700" w:top="274"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3479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3479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August 19,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acted as counsel to Plains All American Pipeline,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with respect to certain legal matters in connection with the registration by the Partnership and PAA Finance Corp., a Delaware corporation and wholly owned subsidiary of the Partnership (“</w:t>
      </w:r>
      <w:r>
        <w:rPr>
          <w:rFonts w:ascii="Arial" w:cs="Arial" w:eastAsia="Arial" w:hAnsi="Arial"/>
          <w:sz w:val="16"/>
          <w:szCs w:val="16"/>
          <w:b w:val="1"/>
          <w:bCs w:val="1"/>
          <w:color w:val="auto"/>
        </w:rPr>
        <w:t>PAA Finance</w:t>
      </w:r>
      <w:r>
        <w:rPr>
          <w:rFonts w:ascii="Arial" w:cs="Arial" w:eastAsia="Arial" w:hAnsi="Arial"/>
          <w:sz w:val="16"/>
          <w:szCs w:val="16"/>
          <w:color w:val="auto"/>
        </w:rPr>
        <w:t>,” and together with the Partnership, the “</w:t>
      </w:r>
      <w:r>
        <w:rPr>
          <w:rFonts w:ascii="Arial" w:cs="Arial" w:eastAsia="Arial" w:hAnsi="Arial"/>
          <w:sz w:val="16"/>
          <w:szCs w:val="16"/>
          <w:b w:val="1"/>
          <w:bCs w:val="1"/>
          <w:color w:val="auto"/>
        </w:rPr>
        <w:t>Issuers</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the offer and sale by the Issuers of $1,000,000,000 aggregate principal amount of 4.65% Senior Notes due 2025 (the “</w:t>
      </w:r>
      <w:r>
        <w:rPr>
          <w:rFonts w:ascii="Arial" w:cs="Arial" w:eastAsia="Arial" w:hAnsi="Arial"/>
          <w:sz w:val="16"/>
          <w:szCs w:val="16"/>
          <w:b w:val="1"/>
          <w:bCs w:val="1"/>
          <w:color w:val="auto"/>
        </w:rPr>
        <w:t>Notes</w:t>
      </w:r>
      <w:r>
        <w:rPr>
          <w:rFonts w:ascii="Arial" w:cs="Arial" w:eastAsia="Arial" w:hAnsi="Arial"/>
          <w:sz w:val="16"/>
          <w:szCs w:val="16"/>
          <w:color w:val="auto"/>
        </w:rPr>
        <w:t>”), to be issued and sold pursuant to the Underwriting Agreement dated August 17, 2015, by and among the Issuers and the Underwriters named therein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w:t>
      </w:r>
    </w:p>
    <w:p>
      <w:pPr>
        <w:spacing w:after="0" w:line="154" w:lineRule="exact"/>
        <w:rPr>
          <w:sz w:val="20"/>
          <w:szCs w:val="20"/>
          <w:color w:val="auto"/>
        </w:rPr>
      </w:pPr>
    </w:p>
    <w:p>
      <w:pPr>
        <w:ind w:right="440" w:firstLine="456"/>
        <w:spacing w:after="0" w:line="258" w:lineRule="auto"/>
        <w:rPr>
          <w:sz w:val="20"/>
          <w:szCs w:val="20"/>
          <w:color w:val="auto"/>
        </w:rPr>
      </w:pPr>
      <w:r>
        <w:rPr>
          <w:rFonts w:ascii="Arial" w:cs="Arial" w:eastAsia="Arial" w:hAnsi="Arial"/>
          <w:sz w:val="18"/>
          <w:szCs w:val="18"/>
          <w:color w:val="auto"/>
        </w:rPr>
        <w:t>The Notes are being offered and sold pursuant to a prospectus supplement dated August 17, 2015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Rule 424(b)(5) on August 19, 2015, to the prospectus dated September 27, 2012, (such prospectus, as amended and supplemented by the Prospectus Supplement, the “</w:t>
      </w:r>
      <w:r>
        <w:rPr>
          <w:rFonts w:ascii="Arial" w:cs="Arial" w:eastAsia="Arial" w:hAnsi="Arial"/>
          <w:sz w:val="18"/>
          <w:szCs w:val="18"/>
          <w:b w:val="1"/>
          <w:bCs w:val="1"/>
          <w:color w:val="auto"/>
        </w:rPr>
        <w:t>Prospectus</w:t>
      </w:r>
      <w:r>
        <w:rPr>
          <w:rFonts w:ascii="Arial" w:cs="Arial" w:eastAsia="Arial" w:hAnsi="Arial"/>
          <w:sz w:val="18"/>
          <w:szCs w:val="18"/>
          <w:color w:val="auto"/>
        </w:rPr>
        <w:t>”), included in and forming part of the Registration Statement on Form S-3 (Registration No. 333-184137)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Capitalized terms used but not defined herein shall have the meanings given such terms in the Underwriting Agreement.</w:t>
      </w:r>
    </w:p>
    <w:p>
      <w:pPr>
        <w:spacing w:after="0" w:line="184"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color w:val="auto"/>
        </w:rPr>
        <w:t>The Notes are to be issued as securities pursuant to that certain Indenture, dated as of September 25, 2002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among the Issuers, and U.S. Bank National Association, as successor to Wachovia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and supplemented by the Twenty-Ninth Supplemental Indenture thereto, to be dated as of August 24, 2015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by and among the Issuers and the Trustee (the Base Indenture, as so amended and supplemented by the Supplemental Indenture, the “</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rendering the opinions set forth below, we have examined and relied upon (i) the Registration Statement, the Prospectus Supplement and the Prospectus; (ii) the Fourth Amended and Restated Agreement of Limited Partnership of the Partnership, dated as of May 17, 2012, as amended; (iii) the organizational certificates and the limited partnership or limited liability company agreements (as the case may be) of PAA GP LLC, a Delaware limited liability company (the “</w:t>
      </w:r>
      <w:r>
        <w:rPr>
          <w:rFonts w:ascii="Arial" w:cs="Arial" w:eastAsia="Arial" w:hAnsi="Arial"/>
          <w:sz w:val="18"/>
          <w:szCs w:val="18"/>
          <w:b w:val="1"/>
          <w:bCs w:val="1"/>
          <w:color w:val="auto"/>
        </w:rPr>
        <w:t>General Partner</w:t>
      </w:r>
      <w:r>
        <w:rPr>
          <w:rFonts w:ascii="Arial" w:cs="Arial" w:eastAsia="Arial" w:hAnsi="Arial"/>
          <w:sz w:val="18"/>
          <w:szCs w:val="18"/>
          <w:color w:val="auto"/>
        </w:rPr>
        <w:t>”), which is the general partner of the Partnership, of Plains AAP, L.P., a Delaware limited partnership (“</w:t>
      </w:r>
      <w:r>
        <w:rPr>
          <w:rFonts w:ascii="Arial" w:cs="Arial" w:eastAsia="Arial" w:hAnsi="Arial"/>
          <w:sz w:val="18"/>
          <w:szCs w:val="18"/>
          <w:b w:val="1"/>
          <w:bCs w:val="1"/>
          <w:color w:val="auto"/>
        </w:rPr>
        <w:t>Plains</w:t>
      </w:r>
      <w:r>
        <w:rPr>
          <w:rFonts w:ascii="Arial" w:cs="Arial" w:eastAsia="Arial" w:hAnsi="Arial"/>
          <w:sz w:val="18"/>
          <w:szCs w:val="18"/>
          <w:color w:val="auto"/>
        </w:rPr>
        <w:t xml:space="preserve"> </w:t>
      </w:r>
      <w:r>
        <w:rPr>
          <w:rFonts w:ascii="Arial" w:cs="Arial" w:eastAsia="Arial" w:hAnsi="Arial"/>
          <w:sz w:val="18"/>
          <w:szCs w:val="18"/>
          <w:b w:val="1"/>
          <w:bCs w:val="1"/>
          <w:color w:val="auto"/>
        </w:rPr>
        <w:t>AAP</w:t>
      </w:r>
      <w:r>
        <w:rPr>
          <w:rFonts w:ascii="Arial" w:cs="Arial" w:eastAsia="Arial" w:hAnsi="Arial"/>
          <w:sz w:val="18"/>
          <w:szCs w:val="18"/>
          <w:color w:val="auto"/>
        </w:rPr>
        <w:t>”), which owns a 100% membership interest in the General Partner, and of Plains All American GP LLC, a Delaware limited liability company,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partner of Plains AAP; (iv) the bylaws and certificate of incorporation of PAA Finance; (v) the Underwriting Agreement, a copy of which is being filed</w:t>
      </w:r>
    </w:p>
    <w:p>
      <w:pPr>
        <w:sectPr>
          <w:pgSz w:w="11900" w:h="16838" w:orient="portrait"/>
          <w:cols w:equalWidth="0" w:num="1">
            <w:col w:w="11420"/>
          </w:cols>
          <w:pgMar w:left="240" w:top="121" w:right="239" w:bottom="1440" w:gutter="0" w:footer="0" w:header="0"/>
        </w:sectPr>
      </w:pPr>
    </w:p>
    <w:bookmarkStart w:id="51" w:name="page52"/>
    <w:bookmarkEnd w:id="51"/>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Securities and Exchange Commission, together with this Exhibit 5.1, as an exhibit to the Partnership’s Current Report on Form 8-K prior to the closing of the sale of the Notes; (vi) the Base Indenture and the Supplemental Indenture and (vii) such other certificates, statutes and other instruments and documents as we consider appropriate for purposes of the opinions hereafter expressed. In addition, we reviewed such questions of law as we considered appropriate.</w:t>
      </w:r>
    </w:p>
    <w:p>
      <w:pPr>
        <w:spacing w:after="0" w:line="18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Based upon and subject to the foregoing and the assumptions, limitations and qualifications set forth herein, we are of the opinion that when (a) the Supplemental Indenture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constitute valid and legally binding obligations of the Issuers, enforceable against the Issuers in accordance with their terms.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(iv) each certificate from governmental officials reviewed by us is accurate, complete and authentic, and all official public records are accurate and complete and (v) each natural person signing any document reviewed by us had the legal capacity to do so and each person signing in a representative capacity any document reviewed by us had authority to sign in such capacity.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This opinion is limited in all respects to the laws of the State of New York. We do not express any opinions as to the laws of any other jurisdiction.</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of the Partnership dated on or about the date hereof, to the incorporation by</w:t>
      </w:r>
    </w:p>
    <w:p>
      <w:pPr>
        <w:sectPr>
          <w:pgSz w:w="11900" w:h="16838" w:orient="portrait"/>
          <w:cols w:equalWidth="0" w:num="1">
            <w:col w:w="11360"/>
          </w:cols>
          <w:pgMar w:left="240" w:top="274" w:right="299" w:bottom="1440" w:gutter="0" w:footer="0" w:header="0"/>
        </w:sectPr>
      </w:pPr>
    </w:p>
    <w:bookmarkStart w:id="52" w:name="page53"/>
    <w:bookmarkEnd w:id="5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Vinson &amp; Elkins L.L.P.</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54E49EB4"/>
    <w:multiLevelType w:val="hybridMultilevel"/>
    <w:lvl w:ilvl="0">
      <w:lvlJc w:val="left"/>
      <w:lvlText w:val="(%1)"/>
      <w:numFmt w:val="lowerRoman"/>
      <w:start w:val="8"/>
    </w:lvl>
  </w:abstractNum>
  <w:abstractNum w:abstractNumId="3">
    <w:nsid w:val="71F32454"/>
    <w:multiLevelType w:val="hybridMultilevel"/>
    <w:lvl w:ilvl="0">
      <w:lvlJc w:val="left"/>
      <w:lvlText w:val="(%1)"/>
      <w:numFmt w:val="lowerLetter"/>
      <w:start w:val="2"/>
    </w:lvl>
  </w:abstractNum>
  <w:abstractNum w:abstractNumId="4">
    <w:nsid w:val="2CA88611"/>
    <w:multiLevelType w:val="hybridMultilevel"/>
    <w:lvl w:ilvl="0">
      <w:lvlJc w:val="left"/>
      <w:lvlText w:val="(%1)"/>
      <w:numFmt w:val="lowerLetter"/>
      <w:start w:val="4"/>
    </w:lvl>
  </w:abstractNum>
  <w:abstractNum w:abstractNumId="5">
    <w:nsid w:val="836C40E"/>
    <w:multiLevelType w:val="hybridMultilevel"/>
    <w:lvl w:ilvl="0">
      <w:lvlJc w:val="left"/>
      <w:lvlText w:val="(%1)"/>
      <w:numFmt w:val="lowerLetter"/>
      <w:start w:val="9"/>
    </w:lvl>
  </w:abstractNum>
  <w:abstractNum w:abstractNumId="6">
    <w:nsid w:val="2901D82"/>
    <w:multiLevelType w:val="hybridMultilevel"/>
    <w:lvl w:ilvl="0">
      <w:lvlJc w:val="left"/>
      <w:lvlText w:val="%1"/>
      <w:numFmt w:val="lowerLetter"/>
      <w:start w:val="1"/>
    </w:lvl>
    <w:lvl w:ilvl="1">
      <w:lvlJc w:val="left"/>
      <w:lvlText w:val="(%2)"/>
      <w:numFmt w:val="lowerLetter"/>
      <w:start w:val="13"/>
    </w:lvl>
  </w:abstractNum>
  <w:abstractNum w:abstractNumId="7">
    <w:nsid w:val="3A95F874"/>
    <w:multiLevelType w:val="hybridMultilevel"/>
    <w:lvl w:ilvl="0">
      <w:lvlJc w:val="left"/>
      <w:lvlText w:val="(%1)"/>
      <w:numFmt w:val="lowerLetter"/>
      <w:start w:val="1"/>
    </w:lvl>
    <w:lvl w:ilvl="1">
      <w:lvlJc w:val="left"/>
      <w:lvlText w:val="(%2)"/>
      <w:numFmt w:val="lowerLetter"/>
      <w:start w:val="14"/>
    </w:lvl>
  </w:abstractNum>
  <w:abstractNum w:abstractNumId="8">
    <w:nsid w:val="8138641"/>
    <w:multiLevelType w:val="hybridMultilevel"/>
    <w:lvl w:ilvl="0">
      <w:lvlJc w:val="left"/>
      <w:lvlText w:val="(%1)"/>
      <w:numFmt w:val="lowerLetter"/>
      <w:start w:val="17"/>
    </w:lvl>
  </w:abstractNum>
  <w:abstractNum w:abstractNumId="9">
    <w:nsid w:val="1E7FF521"/>
    <w:multiLevelType w:val="hybridMultilevel"/>
    <w:lvl w:ilvl="0">
      <w:lvlJc w:val="left"/>
      <w:lvlText w:val="(%1)"/>
      <w:numFmt w:val="lowerLetter"/>
      <w:start w:val="22"/>
    </w:lvl>
  </w:abstractNum>
  <w:abstractNum w:abstractNumId="10">
    <w:nsid w:val="7C3DBD3D"/>
    <w:multiLevelType w:val="hybridMultilevel"/>
    <w:lvl w:ilvl="0">
      <w:lvlJc w:val="left"/>
      <w:lvlText w:val="(%1)"/>
      <w:numFmt w:val="lowerLetter"/>
      <w:start w:val="25"/>
    </w:lvl>
  </w:abstractNum>
  <w:abstractNum w:abstractNumId="11">
    <w:nsid w:val="737B8DDC"/>
    <w:multiLevelType w:val="hybridMultilevel"/>
    <w:lvl w:ilvl="0">
      <w:lvlJc w:val="left"/>
      <w:lvlText w:val="(%1)"/>
      <w:numFmt w:val="lowerLetter"/>
      <w:start w:val="27"/>
    </w:lvl>
  </w:abstractNum>
  <w:abstractNum w:abstractNumId="12">
    <w:nsid w:val="6CEAF087"/>
    <w:multiLevelType w:val="hybridMultilevel"/>
    <w:lvl w:ilvl="0">
      <w:lvlJc w:val="left"/>
      <w:lvlText w:val="(%1)"/>
      <w:numFmt w:val="lowerLetter"/>
      <w:start w:val="31"/>
    </w:lvl>
  </w:abstractNum>
  <w:abstractNum w:abstractNumId="13">
    <w:nsid w:val="22221A70"/>
    <w:multiLevelType w:val="hybridMultilevel"/>
    <w:lvl w:ilvl="0">
      <w:lvlJc w:val="left"/>
      <w:lvlText w:val="%1"/>
      <w:numFmt w:val="lowerLetter"/>
      <w:start w:val="1"/>
    </w:lvl>
    <w:lvl w:ilvl="1">
      <w:lvlJc w:val="left"/>
      <w:lvlText w:val="(%2)"/>
      <w:numFmt w:val="lowerLetter"/>
      <w:start w:val="36"/>
    </w:lvl>
  </w:abstractNum>
  <w:abstractNum w:abstractNumId="14">
    <w:nsid w:val="4516DDE9"/>
    <w:multiLevelType w:val="hybridMultilevel"/>
    <w:lvl w:ilvl="0">
      <w:lvlJc w:val="left"/>
      <w:lvlText w:val="(%1)"/>
      <w:numFmt w:val="lowerLetter"/>
      <w:start w:val="9"/>
    </w:lvl>
    <w:lvl w:ilvl="1">
      <w:lvlJc w:val="left"/>
      <w:lvlText w:val="(%2)"/>
      <w:numFmt w:val="lowerLetter"/>
      <w:start w:val="38"/>
    </w:lvl>
  </w:abstractNum>
  <w:abstractNum w:abstractNumId="15">
    <w:nsid w:val="3006C83E"/>
    <w:multiLevelType w:val="hybridMultilevel"/>
    <w:lvl w:ilvl="0">
      <w:lvlJc w:val="left"/>
      <w:lvlText w:val="(%1)"/>
      <w:numFmt w:val="lowerLetter"/>
      <w:start w:val="42"/>
    </w:lvl>
  </w:abstractNum>
  <w:abstractNum w:abstractNumId="16">
    <w:nsid w:val="614FD4A1"/>
    <w:multiLevelType w:val="hybridMultilevel"/>
    <w:lvl w:ilvl="0">
      <w:lvlJc w:val="left"/>
      <w:lvlText w:val="%1."/>
      <w:numFmt w:val="decimal"/>
      <w:start w:val="2"/>
    </w:lvl>
  </w:abstractNum>
  <w:abstractNum w:abstractNumId="17">
    <w:nsid w:val="419AC241"/>
    <w:multiLevelType w:val="hybridMultilevel"/>
    <w:lvl w:ilvl="0">
      <w:lvlJc w:val="left"/>
      <w:lvlText w:val="%1."/>
      <w:numFmt w:val="decimal"/>
      <w:start w:val="4"/>
    </w:lvl>
    <w:lvl w:ilvl="1">
      <w:lvlJc w:val="left"/>
      <w:lvlText w:val="(%2)"/>
      <w:numFmt w:val="lowerLetter"/>
      <w:start w:val="1"/>
    </w:lvl>
  </w:abstractNum>
  <w:abstractNum w:abstractNumId="18">
    <w:nsid w:val="5577F8E1"/>
    <w:multiLevelType w:val="hybridMultilevel"/>
    <w:lvl w:ilvl="0">
      <w:lvlJc w:val="left"/>
      <w:lvlText w:val="(%1)"/>
      <w:numFmt w:val="lowerLetter"/>
      <w:start w:val="4"/>
    </w:lvl>
  </w:abstractNum>
  <w:abstractNum w:abstractNumId="19">
    <w:nsid w:val="440BADFC"/>
    <w:multiLevelType w:val="hybridMultilevel"/>
    <w:lvl w:ilvl="0">
      <w:lvlJc w:val="left"/>
      <w:lvlText w:val="(%1)"/>
      <w:numFmt w:val="lowerLetter"/>
      <w:start w:val="7"/>
    </w:lvl>
  </w:abstractNum>
  <w:abstractNum w:abstractNumId="20">
    <w:nsid w:val="5072367"/>
    <w:multiLevelType w:val="hybridMultilevel"/>
    <w:lvl w:ilvl="0">
      <w:lvlJc w:val="left"/>
      <w:lvlText w:val="(%1)"/>
      <w:numFmt w:val="lowerLetter"/>
      <w:start w:val="11"/>
    </w:lvl>
  </w:abstractNum>
  <w:abstractNum w:abstractNumId="21">
    <w:nsid w:val="3804823E"/>
    <w:multiLevelType w:val="hybridMultilevel"/>
    <w:lvl w:ilvl="0">
      <w:lvlJc w:val="left"/>
      <w:lvlText w:val="%1."/>
      <w:numFmt w:val="decimal"/>
      <w:start w:val="6"/>
    </w:lvl>
    <w:lvl w:ilvl="1">
      <w:lvlJc w:val="left"/>
      <w:lvlText w:val="(%2)"/>
      <w:numFmt w:val="lowerLetter"/>
      <w:start w:val="1"/>
    </w:lvl>
  </w:abstractNum>
  <w:abstractNum w:abstractNumId="22">
    <w:nsid w:val="77465F01"/>
    <w:multiLevelType w:val="hybridMultilevel"/>
    <w:lvl w:ilvl="0">
      <w:lvlJc w:val="left"/>
      <w:lvlText w:val="%1"/>
      <w:numFmt w:val="lowerLetter"/>
      <w:start w:val="1"/>
    </w:lvl>
    <w:lvl w:ilvl="1">
      <w:lvlJc w:val="left"/>
      <w:lvlText w:val="(%2)"/>
      <w:numFmt w:val="lowerLetter"/>
      <w:start w:val="3"/>
    </w:lvl>
  </w:abstractNum>
  <w:abstractNum w:abstractNumId="23">
    <w:nsid w:val="7724C67E"/>
    <w:multiLevelType w:val="hybridMultilevel"/>
    <w:lvl w:ilvl="0">
      <w:lvlJc w:val="left"/>
      <w:lvlText w:val="(%1)"/>
      <w:numFmt w:val="lowerLetter"/>
      <w:start w:val="35"/>
    </w:lvl>
    <w:lvl w:ilvl="1">
      <w:lvlJc w:val="left"/>
      <w:lvlText w:val="%2"/>
      <w:numFmt w:val="lowerLetter"/>
      <w:start w:val="1"/>
    </w:lvl>
  </w:abstractNum>
  <w:abstractNum w:abstractNumId="24">
    <w:nsid w:val="5C482A97"/>
    <w:multiLevelType w:val="hybridMultilevel"/>
    <w:lvl w:ilvl="0">
      <w:lvlJc w:val="left"/>
      <w:lvlText w:val="(%1)"/>
      <w:numFmt w:val="lowerLetter"/>
      <w:start w:val="5"/>
    </w:lvl>
  </w:abstractNum>
  <w:abstractNum w:abstractNumId="25">
    <w:nsid w:val="2463B9E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6">
    <w:nsid w:val="5E884ADC"/>
    <w:multiLevelType w:val="hybridMultilevel"/>
    <w:lvl w:ilvl="0">
      <w:lvlJc w:val="left"/>
      <w:lvlText w:val="%1"/>
      <w:numFmt w:val="lowerLetter"/>
      <w:start w:val="1"/>
    </w:lvl>
    <w:lvl w:ilvl="1">
      <w:lvlJc w:val="left"/>
      <w:lvlText w:val="(%2)"/>
      <w:numFmt w:val="lowerRoman"/>
      <w:start w:val="2"/>
    </w:lvl>
  </w:abstractNum>
  <w:abstractNum w:abstractNumId="27">
    <w:nsid w:val="51EAD36B"/>
    <w:multiLevelType w:val="hybridMultilevel"/>
    <w:lvl w:ilvl="0">
      <w:lvlJc w:val="left"/>
      <w:lvlText w:val="(%1)"/>
      <w:numFmt w:val="lowerLetter"/>
      <w:start w:val="1"/>
    </w:lvl>
    <w:lvl w:ilvl="1">
      <w:lvlJc w:val="left"/>
      <w:lvlText w:val="(%2)"/>
      <w:numFmt w:val="lowerRoman"/>
      <w:start w:val="5"/>
    </w:lvl>
  </w:abstractNum>
  <w:abstractNum w:abstractNumId="28">
    <w:nsid w:val="2D517796"/>
    <w:multiLevelType w:val="hybridMultilevel"/>
    <w:lvl w:ilvl="0">
      <w:lvlJc w:val="left"/>
      <w:lvlText w:val="(%1)"/>
      <w:numFmt w:val="lowerRoman"/>
      <w:start w:val="6"/>
    </w:lvl>
  </w:abstractNum>
  <w:abstractNum w:abstractNumId="29">
    <w:nsid w:val="580BD78F"/>
    <w:multiLevelType w:val="hybridMultilevel"/>
    <w:lvl w:ilvl="0">
      <w:lvlJc w:val="left"/>
      <w:lvlText w:val="%1"/>
      <w:numFmt w:val="lowerRoman"/>
      <w:start w:val="1"/>
    </w:lvl>
    <w:lvl w:ilvl="1">
      <w:lvlJc w:val="left"/>
      <w:lvlText w:val="(%2)"/>
      <w:numFmt w:val="lowerRoman"/>
      <w:start w:val="12"/>
    </w:lvl>
  </w:abstractNum>
  <w:abstractNum w:abstractNumId="30">
    <w:nsid w:val="153EA438"/>
    <w:multiLevelType w:val="hybridMultilevel"/>
    <w:lvl w:ilvl="0">
      <w:lvlJc w:val="left"/>
      <w:lvlText w:val="(%1)"/>
      <w:numFmt w:val="lowerRoman"/>
      <w:start w:val="13"/>
    </w:lvl>
    <w:lvl w:ilvl="1">
      <w:lvlJc w:val="left"/>
      <w:lvlText w:val="(%2)"/>
      <w:numFmt w:val="lowerRoman"/>
      <w:start w:val="14"/>
    </w:lvl>
  </w:abstractNum>
  <w:abstractNum w:abstractNumId="31">
    <w:nsid w:val="3855585C"/>
    <w:multiLevelType w:val="hybridMultilevel"/>
    <w:lvl w:ilvl="0">
      <w:lvlJc w:val="left"/>
      <w:lvlText w:val="(%1)"/>
      <w:numFmt w:val="lowerRoman"/>
      <w:start w:val="15"/>
    </w:lvl>
  </w:abstractNum>
  <w:abstractNum w:abstractNumId="32">
    <w:nsid w:val="70A64E2A"/>
    <w:multiLevelType w:val="hybridMultilevel"/>
    <w:lvl w:ilvl="0">
      <w:lvlJc w:val="left"/>
      <w:lvlText w:val="(%1)"/>
      <w:numFmt w:val="lowerRoman"/>
      <w:start w:val="15"/>
    </w:lvl>
    <w:lvl w:ilvl="1">
      <w:lvlJc w:val="left"/>
      <w:lvlText w:val="(%2)"/>
      <w:numFmt w:val="upperLetter"/>
      <w:start w:val="1"/>
    </w:lvl>
  </w:abstractNum>
  <w:abstractNum w:abstractNumId="33">
    <w:nsid w:val="6A2342EC"/>
    <w:multiLevelType w:val="hybridMultilevel"/>
    <w:lvl w:ilvl="0">
      <w:lvlJc w:val="left"/>
      <w:lvlText w:val="(%1)"/>
      <w:numFmt w:val="lowerLetter"/>
      <w:start w:val="4"/>
    </w:lvl>
  </w:abstractNum>
  <w:abstractNum w:abstractNumId="34">
    <w:nsid w:val="2A487CB0"/>
    <w:multiLevelType w:val="hybridMultilevel"/>
    <w:lvl w:ilvl="0">
      <w:lvlJc w:val="left"/>
      <w:lvlText w:val="(%1)"/>
      <w:numFmt w:val="lowerLetter"/>
      <w:start w:val="5"/>
    </w:lvl>
    <w:lvl w:ilvl="1">
      <w:lvlJc w:val="left"/>
      <w:lvlText w:val="(%2)"/>
      <w:numFmt w:val="lowerRoman"/>
      <w:start w:val="1"/>
    </w:lvl>
  </w:abstractNum>
  <w:abstractNum w:abstractNumId="35">
    <w:nsid w:val="1D4ED43B"/>
    <w:multiLevelType w:val="hybridMultilevel"/>
    <w:lvl w:ilvl="0">
      <w:lvlJc w:val="left"/>
      <w:lvlText w:val="(%1)"/>
      <w:numFmt w:val="lowerRoman"/>
      <w:start w:val="3"/>
    </w:lvl>
  </w:abstractNum>
  <w:abstractNum w:abstractNumId="36">
    <w:nsid w:val="725A06FB"/>
    <w:multiLevelType w:val="hybridMultilevel"/>
    <w:lvl w:ilvl="0">
      <w:lvlJc w:val="left"/>
      <w:lvlText w:val="(%1)"/>
      <w:numFmt w:val="upperLetter"/>
      <w:start w:val="1"/>
    </w:lvl>
  </w:abstractNum>
  <w:abstractNum w:abstractNumId="37">
    <w:nsid w:val="2CD89A32"/>
    <w:multiLevelType w:val="hybridMultilevel"/>
    <w:lvl w:ilvl="0">
      <w:lvlJc w:val="left"/>
      <w:lvlText w:val="(%1)"/>
      <w:numFmt w:val="lowerLetter"/>
      <w:start w:val="6"/>
    </w:lvl>
    <w:lvl w:ilvl="1">
      <w:lvlJc w:val="left"/>
      <w:lvlText w:val="(%2)"/>
      <w:numFmt w:val="lowerRoman"/>
      <w:start w:val="1"/>
    </w:lvl>
  </w:abstractNum>
  <w:abstractNum w:abstractNumId="38">
    <w:nsid w:val="57E4CCAF"/>
    <w:multiLevelType w:val="hybridMultilevel"/>
    <w:lvl w:ilvl="0">
      <w:lvlJc w:val="left"/>
      <w:lvlText w:val="(%1)"/>
      <w:numFmt w:val="lowerRoman"/>
      <w:start w:val="6"/>
    </w:lvl>
  </w:abstractNum>
  <w:abstractNum w:abstractNumId="39">
    <w:nsid w:val="7A6D8D3C"/>
    <w:multiLevelType w:val="hybridMultilevel"/>
    <w:lvl w:ilvl="0">
      <w:lvlJc w:val="left"/>
      <w:lvlText w:val="(%1)"/>
      <w:numFmt w:val="upperLetter"/>
      <w:start w:val="2"/>
    </w:lvl>
    <w:lvl w:ilvl="1">
      <w:lvlJc w:val="left"/>
      <w:lvlText w:val="(%2)"/>
      <w:numFmt w:val="lowerLetter"/>
      <w:start w:val="7"/>
    </w:lvl>
  </w:abstractNum>
  <w:abstractNum w:abstractNumId="40">
    <w:nsid w:val="4B588F54"/>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41">
    <w:nsid w:val="542289E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2">
    <w:nsid w:val="6DE91B18"/>
    <w:multiLevelType w:val="hybridMultilevel"/>
    <w:lvl w:ilvl="0">
      <w:lvlJc w:val="left"/>
      <w:lvlText w:val="(%1)"/>
      <w:numFmt w:val="lowerLetter"/>
      <w:start w:val="13"/>
    </w:lvl>
  </w:abstractNum>
  <w:abstractNum w:abstractNumId="43">
    <w:nsid w:val="38437FDB"/>
    <w:multiLevelType w:val="hybridMultilevel"/>
    <w:lvl w:ilvl="0">
      <w:lvlJc w:val="left"/>
      <w:lvlText w:val="%1"/>
      <w:numFmt w:val="lowerRoman"/>
      <w:start w:val="1"/>
    </w:lvl>
    <w:lvl w:ilvl="1">
      <w:lvlJc w:val="left"/>
      <w:lvlText w:val="%2."/>
      <w:numFmt w:val="decimal"/>
      <w:start w:val="8"/>
    </w:lvl>
  </w:abstractNum>
  <w:abstractNum w:abstractNumId="44">
    <w:nsid w:val="7644A45C"/>
    <w:multiLevelType w:val="hybridMultilevel"/>
    <w:lvl w:ilvl="0">
      <w:lvlJc w:val="left"/>
      <w:lvlText w:val="(%1)"/>
      <w:numFmt w:val="lowerRoman"/>
      <w:start w:val="4"/>
    </w:lvl>
    <w:lvl w:ilvl="1">
      <w:lvlJc w:val="left"/>
      <w:lvlText w:val="%2"/>
      <w:numFmt w:val="decimal"/>
      <w:start w:val="1"/>
    </w:lvl>
  </w:abstractNum>
  <w:abstractNum w:abstractNumId="45">
    <w:nsid w:val="32FFF902"/>
    <w:multiLevelType w:val="hybridMultilevel"/>
    <w:lvl w:ilvl="0">
      <w:lvlJc w:val="left"/>
      <w:lvlText w:val="%1."/>
      <w:numFmt w:val="decimal"/>
      <w:start w:val="9"/>
    </w:lvl>
  </w:abstractNum>
  <w:abstractNum w:abstractNumId="46">
    <w:nsid w:val="684A481A"/>
    <w:multiLevelType w:val="hybridMultilevel"/>
    <w:lvl w:ilvl="0">
      <w:lvlJc w:val="left"/>
      <w:lvlText w:val="%1."/>
      <w:numFmt w:val="decimal"/>
      <w:start w:val="10"/>
    </w:lvl>
  </w:abstractNum>
  <w:abstractNum w:abstractNumId="47">
    <w:nsid w:val="579478FE"/>
    <w:multiLevelType w:val="hybridMultilevel"/>
    <w:lvl w:ilvl="0">
      <w:lvlJc w:val="left"/>
      <w:lvlText w:val="%1."/>
      <w:numFmt w:val="decimal"/>
      <w:start w:val="11"/>
    </w:lvl>
  </w:abstractNum>
  <w:abstractNum w:abstractNumId="48">
    <w:nsid w:val="749ABB43"/>
    <w:multiLevelType w:val="hybridMultilevel"/>
    <w:lvl w:ilvl="0">
      <w:lvlJc w:val="left"/>
      <w:lvlText w:val="%1."/>
      <w:numFmt w:val="decimal"/>
      <w:start w:val="12"/>
    </w:lvl>
  </w:abstractNum>
  <w:abstractNum w:abstractNumId="49">
    <w:nsid w:val="3DC240FB"/>
    <w:multiLevelType w:val="hybridMultilevel"/>
    <w:lvl w:ilvl="0">
      <w:lvlJc w:val="left"/>
      <w:lvlText w:val="%1."/>
      <w:numFmt w:val="decimal"/>
      <w:start w:val="13"/>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2020-01-24T09:33:18Z</dcterms:created>
  <dcterms:modified xsi:type="dcterms:W3CDTF">2020-01-24T09:33:18Z</dcterms:modified>
</cp:coreProperties>
</file>