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4,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August 4,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Plains All American Pipeline, L.P. (the “Partnership”) today issued a press release reporting its second-quarter 2015 results. We are furnishing the press release, attached as Exhibit 99.1, pursuant to Item 2.02 and Item 7.01 of Form 8-K. Pursuant to Item 7.01, we are also providing detailed guidance of financial performance for the third and fourth quarter and full year of 2015.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Third and Fourth Quarter 2015 Guidance; Update of Full-Year 2015 Guidance</w:t>
      </w:r>
    </w:p>
    <w:p>
      <w:pPr>
        <w:spacing w:after="0" w:line="229" w:lineRule="exact"/>
        <w:rPr>
          <w:sz w:val="24"/>
          <w:szCs w:val="24"/>
          <w:color w:val="auto"/>
        </w:rPr>
      </w:pPr>
    </w:p>
    <w:p>
      <w:pPr>
        <w:ind w:firstLine="648"/>
        <w:spacing w:after="0" w:line="288" w:lineRule="auto"/>
        <w:rPr>
          <w:sz w:val="20"/>
          <w:szCs w:val="20"/>
          <w:color w:val="auto"/>
        </w:rPr>
      </w:pPr>
      <w:r>
        <w:rPr>
          <w:rFonts w:ascii="Arial" w:cs="Arial" w:eastAsia="Arial" w:hAnsi="Arial"/>
          <w:sz w:val="16"/>
          <w:szCs w:val="16"/>
          <w:color w:val="auto"/>
        </w:rPr>
        <w:t>We based our guidance for the three-month period ending September 30, 2015 and three-month and twelve-month periods ending December 31, 2015 on assumptions and estimates that we believe are reasonable, given our assessment of historical trends (modified for changes in market conditions, including an assumption that crude oil prices do not meaningfully increase from current levels during the remainder of 2015 which we expect to result in continued reduced drilling activity and reduced oil production),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August 3, 2015. We undertake no obligation to publicly update or revise any forward-looking statements.</w:t>
      </w:r>
    </w:p>
    <w:p>
      <w:pPr>
        <w:spacing w:after="0" w:line="169" w:lineRule="exact"/>
        <w:rPr>
          <w:sz w:val="24"/>
          <w:szCs w:val="24"/>
          <w:color w:val="auto"/>
        </w:rPr>
      </w:pPr>
    </w:p>
    <w:p>
      <w:pPr>
        <w:ind w:right="4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EBITDA (as defined below in Note 1 to the “Operating and Financial Guidance” table) is a non-GAAP financial measure. Net income represents one of the two most directly comparable GAAP measures to EBITDA. In Note 9 below, we reconcile net income to EBITDA and adjusted EBITDA for the 2015 guidance periods presented. Cash flows from operating activities is the other most comparable GAAP measure. We do not, however, reconcile cash flows from operating activities to EBITDA, because such reconciliations are impractical for forecasted periods. We encourage you to visit our website at </w:t>
      </w:r>
      <w:r>
        <w:rPr>
          <w:rFonts w:ascii="Arial" w:cs="Arial" w:eastAsia="Arial" w:hAnsi="Arial"/>
          <w:sz w:val="17"/>
          <w:szCs w:val="17"/>
          <w:i w:val="1"/>
          <w:iCs w:val="1"/>
          <w:color w:val="auto"/>
        </w:rPr>
        <w:t xml:space="preserve">www.plainsallamerican.com </w:t>
      </w:r>
      <w:r>
        <w:rPr>
          <w:rFonts w:ascii="Arial" w:cs="Arial" w:eastAsia="Arial" w:hAnsi="Arial"/>
          <w:sz w:val="17"/>
          <w:szCs w:val="17"/>
          <w:color w:val="auto"/>
        </w:rPr>
        <w:t>(in particular the section under Investor Relations and Financial Information entitled “Non-GAAP Reconciliations”),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presents a historical reconciliation of EBITDA as well as certain other commonly used non-GAAP and supplemental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Actual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Guidance </w:t>
            </w:r>
            <w:r>
              <w:rPr>
                <w:rFonts w:ascii="Arial" w:cs="Arial" w:eastAsia="Arial" w:hAnsi="Arial"/>
                <w:sz w:val="17"/>
                <w:szCs w:val="17"/>
                <w:b w:val="1"/>
                <w:bCs w:val="1"/>
                <w:color w:val="auto"/>
                <w:vertAlign w:val="superscript"/>
              </w:rPr>
              <w:t>(a)</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rPr>
              <w:t>6 Months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5"/>
          </w:tcPr>
          <w:p>
            <w:pPr>
              <w:jc w:val="right"/>
              <w:ind w:right="540"/>
              <w:spacing w:after="0" w:line="119" w:lineRule="exact"/>
              <w:rPr>
                <w:sz w:val="20"/>
                <w:szCs w:val="20"/>
                <w:color w:val="auto"/>
              </w:rPr>
            </w:pPr>
            <w:r>
              <w:rPr>
                <w:rFonts w:ascii="Arial" w:cs="Arial" w:eastAsia="Arial" w:hAnsi="Arial"/>
                <w:sz w:val="13"/>
                <w:szCs w:val="13"/>
                <w:b w:val="1"/>
                <w:bCs w:val="1"/>
                <w:color w:val="auto"/>
              </w:rPr>
              <w:t>3 Months Ending</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5"/>
          </w:tcPr>
          <w:p>
            <w:pPr>
              <w:jc w:val="right"/>
              <w:ind w:right="600"/>
              <w:spacing w:after="0" w:line="119" w:lineRule="exact"/>
              <w:rPr>
                <w:sz w:val="20"/>
                <w:szCs w:val="20"/>
                <w:color w:val="auto"/>
              </w:rPr>
            </w:pPr>
            <w:r>
              <w:rPr>
                <w:rFonts w:ascii="Arial" w:cs="Arial" w:eastAsia="Arial" w:hAnsi="Arial"/>
                <w:sz w:val="13"/>
                <w:szCs w:val="13"/>
                <w:b w:val="1"/>
                <w:bCs w:val="1"/>
                <w:color w:val="auto"/>
              </w:rPr>
              <w:t>3 Months Ending</w:t>
            </w:r>
          </w:p>
        </w:tc>
        <w:tc>
          <w:tcPr>
            <w:tcW w:w="1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4"/>
          </w:tcPr>
          <w:p>
            <w:pPr>
              <w:jc w:val="right"/>
              <w:ind w:right="251"/>
              <w:spacing w:after="0" w:line="119" w:lineRule="exact"/>
              <w:rPr>
                <w:sz w:val="20"/>
                <w:szCs w:val="20"/>
                <w:color w:val="auto"/>
              </w:rPr>
            </w:pPr>
            <w:r>
              <w:rPr>
                <w:rFonts w:ascii="Arial" w:cs="Arial" w:eastAsia="Arial" w:hAnsi="Arial"/>
                <w:sz w:val="13"/>
                <w:szCs w:val="13"/>
                <w:b w:val="1"/>
                <w:bCs w:val="1"/>
                <w:color w:val="auto"/>
              </w:rPr>
              <w:t>12 Months Ending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 30, 2015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 31, 2015</w:t>
            </w:r>
          </w:p>
        </w:tc>
        <w:tc>
          <w:tcPr>
            <w:tcW w:w="18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Jun 30, 2015</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Low</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CCEEFF"/>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Profit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180"/>
              <w:spacing w:after="0" w:line="201" w:lineRule="exact"/>
              <w:rPr>
                <w:sz w:val="20"/>
                <w:szCs w:val="20"/>
                <w:color w:val="auto"/>
              </w:rPr>
            </w:pPr>
            <w:r>
              <w:rPr>
                <w:rFonts w:ascii="Arial" w:cs="Arial" w:eastAsia="Arial" w:hAnsi="Arial"/>
                <w:sz w:val="18"/>
                <w:szCs w:val="18"/>
                <w:color w:val="auto"/>
              </w:rPr>
              <w:t>Net revenues (including equity earnings from</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1,804</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1,076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(1,486)</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389</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income attributable to noncontrolling interests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Attributable to PAA</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line="216" w:lineRule="exact"/>
              <w:rPr>
                <w:sz w:val="20"/>
                <w:szCs w:val="20"/>
                <w:color w:val="auto"/>
              </w:rPr>
            </w:pPr>
            <w:r>
              <w:rPr>
                <w:rFonts w:ascii="Arial" w:cs="Arial" w:eastAsia="Arial" w:hAnsi="Arial"/>
                <w:sz w:val="18"/>
                <w:szCs w:val="18"/>
                <w:color w:val="auto"/>
              </w:rPr>
              <w:t xml:space="preserve">Net Income Attributable to Limited Partners </w:t>
            </w:r>
            <w:r>
              <w:rPr>
                <w:rFonts w:ascii="Arial" w:cs="Arial" w:eastAsia="Arial" w:hAnsi="Arial"/>
                <w:sz w:val="23"/>
                <w:szCs w:val="23"/>
                <w:color w:val="auto"/>
                <w:vertAlign w:val="superscript"/>
              </w:rPr>
              <w:t>(b)</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left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Basic Net Income Per Limited Partner Unit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Weighted Average Units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Unit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Borders>
              <w:left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Limited Partner Unit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Weighted Average Units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Unit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881</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495</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Selected Items Impacting Comparability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000000"/>
          </w:tcPr>
          <w:p>
            <w:pPr>
              <w:spacing w:after="0"/>
              <w:rPr>
                <w:sz w:val="17"/>
                <w:szCs w:val="17"/>
                <w:color w:val="auto"/>
              </w:rPr>
            </w:pPr>
          </w:p>
        </w:tc>
        <w:tc>
          <w:tcPr>
            <w:tcW w:w="3880" w:type="dxa"/>
            <w:vAlign w:val="bottom"/>
            <w:tcBorders>
              <w:left w:val="single" w:sz="8" w:color="auto"/>
            </w:tcBorders>
          </w:tcPr>
          <w:p>
            <w:pPr>
              <w:ind w:left="180"/>
              <w:spacing w:after="0" w:line="201" w:lineRule="exact"/>
              <w:rPr>
                <w:sz w:val="20"/>
                <w:szCs w:val="20"/>
                <w:color w:val="auto"/>
              </w:rPr>
            </w:pPr>
            <w:r>
              <w:rPr>
                <w:rFonts w:ascii="Arial" w:cs="Arial" w:eastAsia="Arial" w:hAnsi="Arial"/>
                <w:sz w:val="18"/>
                <w:szCs w:val="18"/>
                <w:color w:val="auto"/>
              </w:rPr>
              <w:t>Gains/(losses) from derivative activities net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20"/>
                <w:szCs w:val="20"/>
                <w:color w:val="auto"/>
              </w:rPr>
            </w:pPr>
          </w:p>
        </w:tc>
        <w:tc>
          <w:tcPr>
            <w:tcW w:w="388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inventory valuation adjustments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7"/>
              </w:rPr>
              <w:t>Net gain / (loss) on foreign currency revaluation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Line 901 incident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shd w:val="clear" w:color="auto" w:fill="000000"/>
          </w:tcPr>
          <w:p>
            <w:pPr>
              <w:spacing w:after="0"/>
              <w:rPr>
                <w:sz w:val="17"/>
                <w:szCs w:val="17"/>
                <w:color w:val="auto"/>
              </w:rPr>
            </w:pPr>
          </w:p>
        </w:tc>
        <w:tc>
          <w:tcPr>
            <w:tcW w:w="3880" w:type="dxa"/>
            <w:vAlign w:val="bottom"/>
            <w:tcBorders>
              <w:left w:val="single" w:sz="8" w:color="auto"/>
            </w:tcBorders>
          </w:tcPr>
          <w:p>
            <w:pPr>
              <w:ind w:left="180"/>
              <w:spacing w:after="0" w:line="201" w:lineRule="exact"/>
              <w:rPr>
                <w:sz w:val="20"/>
                <w:szCs w:val="20"/>
                <w:color w:val="auto"/>
              </w:rPr>
            </w:pPr>
            <w:r>
              <w:rPr>
                <w:rFonts w:ascii="Arial" w:cs="Arial" w:eastAsia="Arial" w:hAnsi="Arial"/>
                <w:sz w:val="18"/>
                <w:szCs w:val="18"/>
                <w:color w:val="auto"/>
              </w:rPr>
              <w:t>Tax effect on selected items impacting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20"/>
                <w:szCs w:val="20"/>
                <w:color w:val="auto"/>
              </w:rPr>
            </w:pPr>
          </w:p>
        </w:tc>
        <w:tc>
          <w:tcPr>
            <w:tcW w:w="388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comparability</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80" w:type="dxa"/>
            <w:vAlign w:val="bottom"/>
            <w:tcBorders>
              <w:left w:val="single" w:sz="8" w:color="auto"/>
            </w:tcBorders>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Net</w:t>
            </w: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000000"/>
          </w:tcPr>
          <w:p>
            <w:pPr>
              <w:spacing w:after="0"/>
              <w:rPr>
                <w:sz w:val="15"/>
                <w:szCs w:val="15"/>
                <w:color w:val="auto"/>
              </w:rPr>
            </w:pPr>
          </w:p>
        </w:tc>
        <w:tc>
          <w:tcPr>
            <w:tcW w:w="3880" w:type="dxa"/>
            <w:vAlign w:val="bottom"/>
            <w:tcBorders>
              <w:left w:val="single" w:sz="8" w:color="auto"/>
            </w:tcBorders>
            <w:vMerge w:val="continue"/>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26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6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97"/>
        </w:trPr>
        <w:tc>
          <w:tcPr>
            <w:tcW w:w="20" w:type="dxa"/>
            <w:vAlign w:val="bottom"/>
            <w:tcBorders>
              <w:bottom w:val="single" w:sz="8" w:color="auto"/>
            </w:tcBorders>
            <w:shd w:val="clear" w:color="auto" w:fill="000000"/>
          </w:tcPr>
          <w:p>
            <w:pPr>
              <w:spacing w:after="0"/>
              <w:rPr>
                <w:sz w:val="24"/>
                <w:szCs w:val="24"/>
                <w:color w:val="auto"/>
              </w:rPr>
            </w:pPr>
          </w:p>
        </w:tc>
        <w:tc>
          <w:tcPr>
            <w:tcW w:w="3880" w:type="dxa"/>
            <w:vAlign w:val="bottom"/>
            <w:tcBorders>
              <w:left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attributable to PAA</w:t>
            </w:r>
          </w:p>
        </w:tc>
        <w:tc>
          <w:tcPr>
            <w:tcW w:w="22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tcBorders>
              <w:bottom w:val="single" w:sz="8" w:color="auto"/>
            </w:tcBorders>
            <w:vMerge w:val="continue"/>
            <w:shd w:val="clear" w:color="auto" w:fill="CCEEFF"/>
          </w:tcPr>
          <w:p>
            <w:pPr>
              <w:spacing w:after="0"/>
              <w:rPr>
                <w:sz w:val="24"/>
                <w:szCs w:val="24"/>
                <w:color w:val="auto"/>
              </w:rPr>
            </w:pPr>
          </w:p>
        </w:tc>
        <w:tc>
          <w:tcPr>
            <w:tcW w:w="1080" w:type="dxa"/>
            <w:vAlign w:val="bottom"/>
            <w:tcBorders>
              <w:bottom w:val="single" w:sz="8" w:color="auto"/>
            </w:tcBorders>
            <w:gridSpan w:val="2"/>
            <w:vMerge w:val="continue"/>
            <w:shd w:val="clear" w:color="auto" w:fill="CCEEFF"/>
          </w:tcPr>
          <w:p>
            <w:pPr>
              <w:spacing w:after="0"/>
              <w:rPr>
                <w:sz w:val="24"/>
                <w:szCs w:val="24"/>
                <w:color w:val="auto"/>
              </w:rPr>
            </w:pPr>
          </w:p>
        </w:tc>
        <w:tc>
          <w:tcPr>
            <w:tcW w:w="260" w:type="dxa"/>
            <w:vAlign w:val="bottom"/>
            <w:tcBorders>
              <w:bottom w:val="single" w:sz="8" w:color="auto"/>
            </w:tcBorders>
            <w:gridSpan w:val="2"/>
            <w:vMerge w:val="continue"/>
            <w:shd w:val="clear" w:color="auto" w:fill="CCEEFF"/>
          </w:tcPr>
          <w:p>
            <w:pPr>
              <w:spacing w:after="0"/>
              <w:rPr>
                <w:sz w:val="24"/>
                <w:szCs w:val="24"/>
                <w:color w:val="auto"/>
              </w:rPr>
            </w:pPr>
          </w:p>
        </w:tc>
        <w:tc>
          <w:tcPr>
            <w:tcW w:w="860" w:type="dxa"/>
            <w:vAlign w:val="bottom"/>
            <w:tcBorders>
              <w:bottom w:val="single" w:sz="8" w:color="auto"/>
            </w:tcBorders>
            <w:gridSpan w:val="2"/>
            <w:vMerge w:val="continue"/>
            <w:shd w:val="clear" w:color="auto" w:fill="CCEEFF"/>
          </w:tcPr>
          <w:p>
            <w:pPr>
              <w:spacing w:after="0"/>
              <w:rPr>
                <w:sz w:val="24"/>
                <w:szCs w:val="24"/>
                <w:color w:val="auto"/>
              </w:rPr>
            </w:pPr>
          </w:p>
        </w:tc>
        <w:tc>
          <w:tcPr>
            <w:tcW w:w="160" w:type="dxa"/>
            <w:vAlign w:val="bottom"/>
            <w:tcBorders>
              <w:bottom w:val="single" w:sz="8" w:color="auto"/>
            </w:tcBorders>
            <w:vMerge w:val="continue"/>
            <w:shd w:val="clear" w:color="auto" w:fill="CCEEFF"/>
          </w:tcPr>
          <w:p>
            <w:pPr>
              <w:spacing w:after="0"/>
              <w:rPr>
                <w:sz w:val="24"/>
                <w:szCs w:val="24"/>
                <w:color w:val="auto"/>
              </w:rPr>
            </w:pPr>
          </w:p>
        </w:tc>
        <w:tc>
          <w:tcPr>
            <w:tcW w:w="800" w:type="dxa"/>
            <w:vAlign w:val="bottom"/>
            <w:tcBorders>
              <w:bottom w:val="single" w:sz="8" w:color="auto"/>
            </w:tcBorders>
            <w:gridSpan w:val="2"/>
            <w:vMerge w:val="continue"/>
            <w:shd w:val="clear" w:color="auto" w:fill="CCEEFF"/>
          </w:tcPr>
          <w:p>
            <w:pPr>
              <w:spacing w:after="0"/>
              <w:rPr>
                <w:sz w:val="24"/>
                <w:szCs w:val="24"/>
                <w:color w:val="auto"/>
              </w:rPr>
            </w:pPr>
          </w:p>
        </w:tc>
        <w:tc>
          <w:tcPr>
            <w:tcW w:w="260" w:type="dxa"/>
            <w:vAlign w:val="bottom"/>
            <w:tcBorders>
              <w:bottom w:val="single" w:sz="8" w:color="auto"/>
            </w:tcBorders>
            <w:gridSpan w:val="2"/>
            <w:vMerge w:val="continue"/>
            <w:shd w:val="clear" w:color="auto" w:fill="CCEEFF"/>
          </w:tcPr>
          <w:p>
            <w:pPr>
              <w:spacing w:after="0"/>
              <w:rPr>
                <w:sz w:val="24"/>
                <w:szCs w:val="24"/>
                <w:color w:val="auto"/>
              </w:rPr>
            </w:pPr>
          </w:p>
        </w:tc>
        <w:tc>
          <w:tcPr>
            <w:tcW w:w="860" w:type="dxa"/>
            <w:vAlign w:val="bottom"/>
            <w:tcBorders>
              <w:bottom w:val="single" w:sz="8" w:color="auto"/>
            </w:tcBorders>
            <w:gridSpan w:val="2"/>
            <w:vMerge w:val="continue"/>
            <w:shd w:val="clear" w:color="auto" w:fill="CCEEFF"/>
          </w:tcPr>
          <w:p>
            <w:pPr>
              <w:spacing w:after="0"/>
              <w:rPr>
                <w:sz w:val="24"/>
                <w:szCs w:val="24"/>
                <w:color w:val="auto"/>
              </w:rPr>
            </w:pPr>
          </w:p>
        </w:tc>
        <w:tc>
          <w:tcPr>
            <w:tcW w:w="220" w:type="dxa"/>
            <w:vAlign w:val="bottom"/>
            <w:tcBorders>
              <w:bottom w:val="single" w:sz="8" w:color="auto"/>
            </w:tcBorders>
            <w:vMerge w:val="continue"/>
            <w:shd w:val="clear" w:color="auto" w:fill="CCEEFF"/>
          </w:tcPr>
          <w:p>
            <w:pPr>
              <w:spacing w:after="0"/>
              <w:rPr>
                <w:sz w:val="24"/>
                <w:szCs w:val="24"/>
                <w:color w:val="auto"/>
              </w:rPr>
            </w:pPr>
          </w:p>
        </w:tc>
        <w:tc>
          <w:tcPr>
            <w:tcW w:w="780" w:type="dxa"/>
            <w:vAlign w:val="bottom"/>
            <w:tcBorders>
              <w:bottom w:val="single" w:sz="8" w:color="auto"/>
              <w:right w:val="single" w:sz="8" w:color="CCEEFF"/>
            </w:tcBorders>
            <w:gridSpan w:val="2"/>
            <w:vMerge w:val="continue"/>
            <w:shd w:val="clear" w:color="auto" w:fill="CCEEFF"/>
          </w:tcPr>
          <w:p>
            <w:pPr>
              <w:spacing w:after="0"/>
              <w:rPr>
                <w:sz w:val="24"/>
                <w:szCs w:val="24"/>
                <w:color w:val="auto"/>
              </w:rPr>
            </w:pPr>
          </w:p>
        </w:tc>
        <w:tc>
          <w:tcPr>
            <w:tcW w:w="180" w:type="dxa"/>
            <w:vAlign w:val="bottom"/>
            <w:tcBorders>
              <w:bottom w:val="single" w:sz="8" w:color="auto"/>
            </w:tcBorders>
            <w:vMerge w:val="continue"/>
            <w:shd w:val="clear" w:color="auto" w:fill="CCEEFF"/>
          </w:tcPr>
          <w:p>
            <w:pPr>
              <w:spacing w:after="0"/>
              <w:rPr>
                <w:sz w:val="24"/>
                <w:szCs w:val="24"/>
                <w:color w:val="auto"/>
              </w:rPr>
            </w:pPr>
          </w:p>
        </w:tc>
        <w:tc>
          <w:tcPr>
            <w:tcW w:w="820" w:type="dxa"/>
            <w:vAlign w:val="bottom"/>
            <w:tcBorders>
              <w:bottom w:val="single" w:sz="8" w:color="auto"/>
              <w:right w:val="single" w:sz="8" w:color="CCEEFF"/>
            </w:tcBorders>
            <w:gridSpan w:val="2"/>
            <w:vMerge w:val="continue"/>
            <w:shd w:val="clear" w:color="auto" w:fill="CCEEFF"/>
          </w:tcPr>
          <w:p>
            <w:pPr>
              <w:spacing w:after="0"/>
              <w:rPr>
                <w:sz w:val="24"/>
                <w:szCs w:val="24"/>
                <w:color w:val="auto"/>
              </w:rPr>
            </w:pPr>
          </w:p>
        </w:tc>
        <w:tc>
          <w:tcPr>
            <w:tcW w:w="180" w:type="dxa"/>
            <w:vAlign w:val="bottom"/>
            <w:tcBorders>
              <w:bottom w:val="single" w:sz="8" w:color="auto"/>
            </w:tcBorders>
            <w:vMerge w:val="continue"/>
            <w:shd w:val="clear" w:color="auto" w:fill="CCEEFF"/>
          </w:tcPr>
          <w:p>
            <w:pPr>
              <w:spacing w:after="0"/>
              <w:rPr>
                <w:sz w:val="24"/>
                <w:szCs w:val="24"/>
                <w:color w:val="auto"/>
              </w:rPr>
            </w:pPr>
          </w:p>
        </w:tc>
        <w:tc>
          <w:tcPr>
            <w:tcW w:w="740" w:type="dxa"/>
            <w:vAlign w:val="bottom"/>
            <w:tcBorders>
              <w:bottom w:val="single" w:sz="8" w:color="auto"/>
              <w:right w:val="single" w:sz="8" w:color="auto"/>
            </w:tcBorders>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auto"/>
            </w:tcBorders>
            <w:shd w:val="clear" w:color="auto" w:fill="000000"/>
          </w:tcPr>
          <w:p>
            <w:pPr>
              <w:spacing w:after="0"/>
              <w:rPr>
                <w:sz w:val="15"/>
                <w:szCs w:val="15"/>
                <w:color w:val="auto"/>
              </w:rPr>
            </w:pPr>
          </w:p>
        </w:tc>
        <w:tc>
          <w:tcPr>
            <w:tcW w:w="388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000000"/>
          </w:tcPr>
          <w:p>
            <w:pPr>
              <w:spacing w:after="0"/>
              <w:rPr>
                <w:sz w:val="16"/>
                <w:szCs w:val="16"/>
                <w:color w:val="auto"/>
              </w:rPr>
            </w:pPr>
          </w:p>
        </w:tc>
        <w:tc>
          <w:tcPr>
            <w:tcW w:w="3880" w:type="dxa"/>
            <w:vAlign w:val="bottom"/>
            <w:tcBorders>
              <w:left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Excluding Selected Items Impacting</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38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Comparability</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tcPr>
          <w:p>
            <w:pPr>
              <w:spacing w:after="0"/>
              <w:rPr>
                <w:sz w:val="20"/>
                <w:szCs w:val="20"/>
                <w:color w:val="auto"/>
              </w:rPr>
            </w:pPr>
            <w:r>
              <w:rPr>
                <w:rFonts w:ascii="Arial" w:cs="Arial" w:eastAsia="Arial" w:hAnsi="Arial"/>
                <w:sz w:val="18"/>
                <w:szCs w:val="18"/>
                <w:color w:val="auto"/>
              </w:rPr>
              <w:t>Adjusted Segment Profit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Facilities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3880" w:type="dxa"/>
            <w:vAlign w:val="bottom"/>
            <w:tcBorders>
              <w:top w:val="single" w:sz="8" w:color="CCEEFF"/>
              <w:left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3880" w:type="dxa"/>
            <w:vAlign w:val="bottom"/>
            <w:tcBorders>
              <w:left w:val="single" w:sz="8" w:color="auto"/>
            </w:tcBorders>
            <w:vMerge w:val="restart"/>
          </w:tcPr>
          <w:p>
            <w:pPr>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3880" w:type="dxa"/>
            <w:vAlign w:val="bottom"/>
            <w:tcBorders>
              <w:left w:val="single" w:sz="8" w:color="auto"/>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w:t>
            </w:r>
          </w:p>
        </w:tc>
        <w:tc>
          <w:tcPr>
            <w:tcW w:w="2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w:t>
            </w:r>
          </w:p>
        </w:tc>
        <w:tc>
          <w:tcPr>
            <w:tcW w:w="2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1,234</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1,358</w:t>
            </w:r>
          </w:p>
        </w:tc>
        <w:tc>
          <w:tcPr>
            <w:tcW w:w="120" w:type="dxa"/>
            <w:vAlign w:val="bottom"/>
            <w:tcBorders>
              <w:bottom w:val="single" w:sz="8" w:color="CCEEFF"/>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5" w:right="219" w:bottom="0" w:gutter="0" w:footer="0" w:header="0"/>
        </w:sectPr>
      </w:pPr>
    </w:p>
    <w:bookmarkStart w:id="2" w:name="page3"/>
    <w:bookmarkEnd w:id="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12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Basic Adjusted Net Income Per Limited Partner Unit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81"/>
        </w:trPr>
        <w:tc>
          <w:tcPr>
            <w:tcW w:w="4120" w:type="dxa"/>
            <w:vAlign w:val="bottom"/>
            <w:tcBorders>
              <w:left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(b)</w:t>
            </w:r>
          </w:p>
        </w:tc>
        <w:tc>
          <w:tcPr>
            <w:tcW w:w="4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left w:val="single" w:sz="8" w:color="auto"/>
              <w:bottom w:val="single" w:sz="8" w:color="CCEEFF"/>
            </w:tcBorders>
            <w:vMerge w:val="restart"/>
          </w:tcPr>
          <w:p>
            <w:pPr>
              <w:ind w:left="20"/>
              <w:spacing w:after="0" w:line="195" w:lineRule="exact"/>
              <w:rPr>
                <w:sz w:val="20"/>
                <w:szCs w:val="20"/>
                <w:color w:val="auto"/>
              </w:rPr>
            </w:pPr>
            <w:r>
              <w:rPr>
                <w:rFonts w:ascii="Arial" w:cs="Arial" w:eastAsia="Arial" w:hAnsi="Arial"/>
                <w:sz w:val="18"/>
                <w:szCs w:val="18"/>
                <w:color w:val="auto"/>
              </w:rPr>
              <w:t>Diluted Adjusted Net Income Per Limited Partner</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tcBorders>
              <w:left w:val="single" w:sz="8" w:color="auto"/>
            </w:tcBorders>
            <w:vMerge w:val="continue"/>
          </w:tcPr>
          <w:p>
            <w:pPr>
              <w:spacing w:after="0"/>
              <w:rPr>
                <w:sz w:val="13"/>
                <w:szCs w:val="13"/>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0.83</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0.15</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0.30</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0.60</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0.75</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1.58</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tcBorders>
          </w:tcPr>
          <w:p>
            <w:pPr>
              <w:ind w:left="200"/>
              <w:spacing w:after="0" w:line="216" w:lineRule="exact"/>
              <w:rPr>
                <w:sz w:val="20"/>
                <w:szCs w:val="20"/>
                <w:color w:val="auto"/>
              </w:rPr>
            </w:pPr>
            <w:r>
              <w:rPr>
                <w:rFonts w:ascii="Arial" w:cs="Arial" w:eastAsia="Arial" w:hAnsi="Arial"/>
                <w:sz w:val="18"/>
                <w:szCs w:val="18"/>
                <w:color w:val="auto"/>
              </w:rPr>
              <w:t xml:space="preserve">Unit </w:t>
            </w:r>
            <w:r>
              <w:rPr>
                <w:rFonts w:ascii="Arial" w:cs="Arial" w:eastAsia="Arial" w:hAnsi="Arial"/>
                <w:sz w:val="23"/>
                <w:szCs w:val="23"/>
                <w:color w:val="auto"/>
                <w:vertAlign w:val="superscript"/>
              </w:rPr>
              <w:t>(b)</w:t>
            </w:r>
          </w:p>
        </w:tc>
        <w:tc>
          <w:tcPr>
            <w:tcW w:w="42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left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40"/>
          </w:cols>
          <w:pgMar w:left="240" w:top="95" w:right="21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80" w:hanging="4"/>
        <w:spacing w:after="0" w:line="256" w:lineRule="auto"/>
        <w:rPr>
          <w:sz w:val="20"/>
          <w:szCs w:val="20"/>
          <w:color w:val="auto"/>
        </w:rPr>
      </w:pPr>
      <w:r>
        <w:rPr>
          <w:rFonts w:ascii="Arial" w:cs="Arial" w:eastAsia="Arial" w:hAnsi="Arial"/>
          <w:sz w:val="18"/>
          <w:szCs w:val="18"/>
          <w:color w:val="auto"/>
        </w:rPr>
        <w:t>The assumed average foreign exchange rate is $1.25 Canadian dollar (CAD) to $1.00 U.S. dollar (USD) for the three-month periods ending September 30, 2015 and December 31, 2015. The rate as of August 3, 2015 was $1.32 CAD to $1.00 USD. A $0.05 change in such average FX rate will impact the remaining six months of 2015 adjusted EBITDA by approximately $5 million.</w:t>
      </w:r>
    </w:p>
    <w:p>
      <w:pPr>
        <w:ind w:left="20" w:right="140" w:hanging="11"/>
        <w:spacing w:after="0" w:line="254" w:lineRule="auto"/>
        <w:rPr>
          <w:sz w:val="20"/>
          <w:szCs w:val="20"/>
          <w:color w:val="auto"/>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800"/>
          </w:cols>
          <w:pgMar w:left="240" w:top="95" w:right="219" w:bottom="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Definitions.</w:t>
      </w:r>
    </w:p>
    <w:p>
      <w:pPr>
        <w:spacing w:after="0" w:line="22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EBITDA</w:t>
      </w:r>
      <w:r>
        <w:rPr>
          <w:sz w:val="20"/>
          <w:szCs w:val="20"/>
          <w:color w:val="auto"/>
        </w:rPr>
        <w:tab/>
      </w:r>
      <w:r>
        <w:rPr>
          <w:rFonts w:ascii="Arial" w:cs="Arial" w:eastAsia="Arial" w:hAnsi="Arial"/>
          <w:sz w:val="18"/>
          <w:szCs w:val="18"/>
          <w:color w:val="auto"/>
        </w:rPr>
        <w:t>Earnings before interest, taxes and depreciation and amortization expense</w:t>
      </w:r>
    </w:p>
    <w:p>
      <w:pPr>
        <w:spacing w:after="0" w:line="23"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Segment Profit</w:t>
      </w:r>
      <w:r>
        <w:rPr>
          <w:sz w:val="20"/>
          <w:szCs w:val="20"/>
          <w:color w:val="auto"/>
        </w:rPr>
        <w:tab/>
      </w:r>
      <w:r>
        <w:rPr>
          <w:rFonts w:ascii="Arial" w:cs="Arial" w:eastAsia="Arial" w:hAnsi="Arial"/>
          <w:sz w:val="16"/>
          <w:szCs w:val="16"/>
          <w:color w:val="auto"/>
        </w:rPr>
        <w:t>Net revenues (including equity earnings, as applicable) less field operating costs and segment general and administrative expenses</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DCF</w:t>
      </w:r>
      <w:r>
        <w:rPr>
          <w:sz w:val="20"/>
          <w:szCs w:val="20"/>
          <w:color w:val="auto"/>
        </w:rPr>
        <w:tab/>
      </w:r>
      <w:r>
        <w:rPr>
          <w:rFonts w:ascii="Arial" w:cs="Arial" w:eastAsia="Arial" w:hAnsi="Arial"/>
          <w:sz w:val="18"/>
          <w:szCs w:val="18"/>
          <w:color w:val="auto"/>
        </w:rPr>
        <w:t>Distributable Cash Flow</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Bbls/d</w:t>
      </w:r>
      <w:r>
        <w:rPr>
          <w:sz w:val="20"/>
          <w:szCs w:val="20"/>
          <w:color w:val="auto"/>
        </w:rPr>
        <w:tab/>
      </w:r>
      <w:r>
        <w:rPr>
          <w:rFonts w:ascii="Arial" w:cs="Arial" w:eastAsia="Arial" w:hAnsi="Arial"/>
          <w:sz w:val="18"/>
          <w:szCs w:val="18"/>
          <w:color w:val="auto"/>
        </w:rPr>
        <w:t>Barrels per day</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Mcf</w:t>
      </w:r>
      <w:r>
        <w:rPr>
          <w:sz w:val="20"/>
          <w:szCs w:val="20"/>
          <w:color w:val="auto"/>
        </w:rPr>
        <w:tab/>
      </w:r>
      <w:r>
        <w:rPr>
          <w:rFonts w:ascii="Arial" w:cs="Arial" w:eastAsia="Arial" w:hAnsi="Arial"/>
          <w:sz w:val="18"/>
          <w:szCs w:val="18"/>
          <w:color w:val="auto"/>
        </w:rPr>
        <w:t>Thousand cubic feet</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Bcf</w:t>
      </w:r>
      <w:r>
        <w:rPr>
          <w:sz w:val="20"/>
          <w:szCs w:val="20"/>
          <w:color w:val="auto"/>
        </w:rPr>
        <w:tab/>
      </w:r>
      <w:r>
        <w:rPr>
          <w:rFonts w:ascii="Arial" w:cs="Arial" w:eastAsia="Arial" w:hAnsi="Arial"/>
          <w:sz w:val="18"/>
          <w:szCs w:val="18"/>
          <w:color w:val="auto"/>
        </w:rPr>
        <w:t>Billion cubic feet</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LTIP</w:t>
      </w:r>
      <w:r>
        <w:rPr>
          <w:sz w:val="20"/>
          <w:szCs w:val="20"/>
          <w:color w:val="auto"/>
        </w:rPr>
        <w:tab/>
      </w:r>
      <w:r>
        <w:rPr>
          <w:rFonts w:ascii="Arial" w:cs="Arial" w:eastAsia="Arial" w:hAnsi="Arial"/>
          <w:sz w:val="18"/>
          <w:szCs w:val="18"/>
          <w:color w:val="auto"/>
        </w:rPr>
        <w:t>Long-Term Incentive Plan</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color w:val="auto"/>
        </w:rPr>
        <w:t>NGL</w:t>
      </w:r>
      <w:r>
        <w:rPr>
          <w:sz w:val="20"/>
          <w:szCs w:val="20"/>
          <w:color w:val="auto"/>
        </w:rPr>
        <w:tab/>
      </w:r>
      <w:r>
        <w:rPr>
          <w:rFonts w:ascii="Arial" w:cs="Arial" w:eastAsia="Arial" w:hAnsi="Arial"/>
          <w:sz w:val="16"/>
          <w:szCs w:val="16"/>
          <w:color w:val="auto"/>
        </w:rPr>
        <w:t>Natural gas liquids, including ethane and natural gasoline products as well as propane and butane, which are often referred to as</w:t>
      </w:r>
    </w:p>
    <w:p>
      <w:pPr>
        <w:spacing w:after="0" w:line="3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FX</w:t>
      </w:r>
      <w:r>
        <w:rPr>
          <w:sz w:val="20"/>
          <w:szCs w:val="20"/>
          <w:color w:val="auto"/>
        </w:rPr>
        <w:tab/>
      </w:r>
      <w:r>
        <w:rPr>
          <w:rFonts w:ascii="Arial" w:cs="Arial" w:eastAsia="Arial" w:hAnsi="Arial"/>
          <w:sz w:val="18"/>
          <w:szCs w:val="18"/>
          <w:color w:val="auto"/>
        </w:rPr>
        <w:t>Foreign currency exchange</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G&amp;A</w:t>
      </w:r>
      <w:r>
        <w:rPr>
          <w:sz w:val="20"/>
          <w:szCs w:val="20"/>
          <w:color w:val="auto"/>
        </w:rPr>
        <w:tab/>
      </w:r>
      <w:r>
        <w:rPr>
          <w:rFonts w:ascii="Arial" w:cs="Arial" w:eastAsia="Arial" w:hAnsi="Arial"/>
          <w:sz w:val="18"/>
          <w:szCs w:val="18"/>
          <w:color w:val="auto"/>
        </w:rPr>
        <w:t>General and administrative</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General partner (GP)</w:t>
      </w:r>
      <w:r>
        <w:rPr>
          <w:sz w:val="20"/>
          <w:szCs w:val="20"/>
          <w:color w:val="auto"/>
        </w:rPr>
        <w:tab/>
      </w:r>
      <w:r>
        <w:rPr>
          <w:rFonts w:ascii="Arial" w:cs="Arial" w:eastAsia="Arial" w:hAnsi="Arial"/>
          <w:sz w:val="16"/>
          <w:szCs w:val="16"/>
          <w:color w:val="auto"/>
        </w:rPr>
        <w:t>As the context requires, “general partner” or “GP” refers to any or all of (i) PAA GP LLC, the owner of our 2% general partner</w:t>
      </w:r>
    </w:p>
    <w:p>
      <w:pPr>
        <w:spacing w:after="0" w:line="9" w:lineRule="exact"/>
        <w:rPr>
          <w:sz w:val="20"/>
          <w:szCs w:val="20"/>
          <w:color w:val="auto"/>
        </w:rPr>
      </w:pPr>
    </w:p>
    <w:p>
      <w:pPr>
        <w:ind w:left="2000" w:right="140"/>
        <w:spacing w:after="0" w:line="261" w:lineRule="auto"/>
        <w:rPr>
          <w:sz w:val="20"/>
          <w:szCs w:val="20"/>
          <w:color w:val="auto"/>
        </w:rPr>
      </w:pPr>
      <w:r>
        <w:rPr>
          <w:rFonts w:ascii="Arial" w:cs="Arial" w:eastAsia="Arial" w:hAnsi="Arial"/>
          <w:sz w:val="18"/>
          <w:szCs w:val="18"/>
          <w:color w:val="auto"/>
        </w:rPr>
        <w:t>interest, (ii) Plains AAP, L.P., the sole member of PAA GP LLC and owner of our incentive distribution rights and (iii) Plains All American GP LLC, the general partner of Plains AAP, L.P.</w:t>
      </w:r>
    </w:p>
    <w:p>
      <w:pPr>
        <w:spacing w:after="0" w:line="184" w:lineRule="exact"/>
        <w:rPr>
          <w:sz w:val="20"/>
          <w:szCs w:val="20"/>
          <w:color w:val="auto"/>
        </w:rPr>
      </w:pPr>
    </w:p>
    <w:p>
      <w:pPr>
        <w:ind w:left="660" w:right="6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Transportation, Facilities and Supply and Logistics.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right="40" w:hanging="324"/>
        <w:spacing w:after="0" w:line="276"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Transportation.</w:t>
      </w:r>
      <w:r>
        <w:rPr>
          <w:rFonts w:ascii="Arial" w:cs="Arial" w:eastAsia="Arial" w:hAnsi="Arial"/>
          <w:sz w:val="17"/>
          <w:szCs w:val="17"/>
          <w:color w:val="auto"/>
        </w:rPr>
        <w:t xml:space="preserve"> 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 Our transportation segment also includes our equity earnings from investments in the Eagle Ford, White Cliffs, BridgeTex, Butte and Frontier pipeline systems as well as Settoon Towing, in which we own interests ranging from 22% to 50%. We account for these investments under the equity method of accounting.</w:t>
      </w:r>
    </w:p>
    <w:p>
      <w:pPr>
        <w:spacing w:after="0" w:line="172" w:lineRule="exact"/>
        <w:rPr>
          <w:rFonts w:ascii="Arial" w:cs="Arial" w:eastAsia="Arial" w:hAnsi="Arial"/>
          <w:sz w:val="18"/>
          <w:szCs w:val="18"/>
          <w:color w:val="auto"/>
        </w:rPr>
      </w:pPr>
    </w:p>
    <w:p>
      <w:pPr>
        <w:ind w:left="980" w:right="80"/>
        <w:spacing w:after="0" w:line="271" w:lineRule="auto"/>
        <w:rPr>
          <w:rFonts w:ascii="Arial" w:cs="Arial" w:eastAsia="Arial" w:hAnsi="Arial"/>
          <w:sz w:val="18"/>
          <w:szCs w:val="18"/>
          <w:color w:val="auto"/>
        </w:rPr>
      </w:pPr>
      <w:r>
        <w:rPr>
          <w:rFonts w:ascii="Arial" w:cs="Arial" w:eastAsia="Arial" w:hAnsi="Arial"/>
          <w:sz w:val="17"/>
          <w:szCs w:val="17"/>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06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98"/>
              </w:rPr>
              <w:t>Actual</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Guidance</w:t>
            </w:r>
          </w:p>
        </w:tc>
        <w:tc>
          <w:tcPr>
            <w:tcW w:w="1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4900" w:type="dxa"/>
            <w:vAlign w:val="bottom"/>
          </w:tcPr>
          <w:p>
            <w:pPr>
              <w:spacing w:after="0"/>
              <w:rPr>
                <w:sz w:val="10"/>
                <w:szCs w:val="10"/>
                <w:color w:val="auto"/>
              </w:rPr>
            </w:pPr>
          </w:p>
        </w:tc>
        <w:tc>
          <w:tcPr>
            <w:tcW w:w="1060" w:type="dxa"/>
            <w:vAlign w:val="bottom"/>
          </w:tcPr>
          <w:p>
            <w:pPr>
              <w:jc w:val="center"/>
              <w:ind w:left="209"/>
              <w:spacing w:after="0" w:line="119" w:lineRule="exact"/>
              <w:rPr>
                <w:sz w:val="20"/>
                <w:szCs w:val="20"/>
                <w:color w:val="auto"/>
              </w:rPr>
            </w:pPr>
            <w:r>
              <w:rPr>
                <w:rFonts w:ascii="Arial" w:cs="Arial" w:eastAsia="Arial" w:hAnsi="Arial"/>
                <w:sz w:val="13"/>
                <w:szCs w:val="13"/>
                <w:b w:val="1"/>
                <w:bCs w:val="1"/>
                <w:color w:val="auto"/>
              </w:rPr>
              <w:t>Six Months</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Three Months</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Three Months</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Twelve Months</w:t>
            </w:r>
          </w:p>
        </w:tc>
        <w:tc>
          <w:tcPr>
            <w:tcW w:w="220" w:type="dxa"/>
            <w:vAlign w:val="bottom"/>
          </w:tcPr>
          <w:p>
            <w:pPr>
              <w:spacing w:after="0"/>
              <w:rPr>
                <w:sz w:val="10"/>
                <w:szCs w:val="10"/>
                <w:color w:val="auto"/>
              </w:rPr>
            </w:pPr>
          </w:p>
        </w:tc>
      </w:tr>
      <w:tr>
        <w:trPr>
          <w:trHeight w:val="149"/>
        </w:trPr>
        <w:tc>
          <w:tcPr>
            <w:tcW w:w="4900" w:type="dxa"/>
            <w:vAlign w:val="bottom"/>
          </w:tcPr>
          <w:p>
            <w:pPr>
              <w:spacing w:after="0"/>
              <w:rPr>
                <w:sz w:val="12"/>
                <w:szCs w:val="12"/>
                <w:color w:val="auto"/>
              </w:rPr>
            </w:pPr>
          </w:p>
        </w:tc>
        <w:tc>
          <w:tcPr>
            <w:tcW w:w="1060" w:type="dxa"/>
            <w:vAlign w:val="bottom"/>
          </w:tcPr>
          <w:p>
            <w:pPr>
              <w:jc w:val="center"/>
              <w:ind w:left="229"/>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Ending</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Ending</w:t>
            </w: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4900" w:type="dxa"/>
            <w:vAlign w:val="bottom"/>
          </w:tcPr>
          <w:p>
            <w:pPr>
              <w:spacing w:after="0"/>
              <w:rPr>
                <w:sz w:val="14"/>
                <w:szCs w:val="14"/>
                <w:color w:val="auto"/>
              </w:rPr>
            </w:pPr>
          </w:p>
        </w:tc>
        <w:tc>
          <w:tcPr>
            <w:tcW w:w="1060" w:type="dxa"/>
            <w:vAlign w:val="bottom"/>
          </w:tcPr>
          <w:p>
            <w:pPr>
              <w:jc w:val="center"/>
              <w:ind w:left="209"/>
              <w:spacing w:after="0"/>
              <w:rPr>
                <w:sz w:val="20"/>
                <w:szCs w:val="20"/>
                <w:color w:val="auto"/>
              </w:rPr>
            </w:pPr>
            <w:r>
              <w:rPr>
                <w:rFonts w:ascii="Arial" w:cs="Arial" w:eastAsia="Arial" w:hAnsi="Arial"/>
                <w:sz w:val="14"/>
                <w:szCs w:val="14"/>
                <w:b w:val="1"/>
                <w:bCs w:val="1"/>
                <w:color w:val="auto"/>
                <w:w w:val="93"/>
              </w:rPr>
              <w:t>Jun 30, 2015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Sep 30, 2015</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 31, 2015</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 31, 2015</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 American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38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(1)</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149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r>
      <w:tr>
        <w:trPr>
          <w:trHeight w:val="216"/>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Basin / Mesa / Sunrise</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839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r>
      <w:tr>
        <w:trPr>
          <w:trHeight w:val="216"/>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BridgeTex</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r>
      <w:tr>
        <w:trPr>
          <w:trHeight w:val="216"/>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Cactus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Capline</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r>
      <w:tr>
        <w:trPr>
          <w:trHeight w:val="216"/>
        </w:trPr>
        <w:tc>
          <w:tcPr>
            <w:tcW w:w="5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(1)</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286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r>
      <w:tr>
        <w:trPr>
          <w:trHeight w:val="216"/>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Line 63 / 2000</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r>
      <w:tr>
        <w:trPr>
          <w:trHeight w:val="216"/>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Manito</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Mid-Continent Area Systems</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363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330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r>
      <w:tr>
        <w:trPr>
          <w:trHeight w:val="216"/>
        </w:trPr>
        <w:tc>
          <w:tcPr>
            <w:tcW w:w="5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Permian Basin Area Systems</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795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1,025</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r>
      <w:tr>
        <w:trPr>
          <w:trHeight w:val="253"/>
        </w:trPr>
        <w:tc>
          <w:tcPr>
            <w:tcW w:w="5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Rainbow</w:t>
            </w:r>
          </w:p>
        </w:tc>
        <w:tc>
          <w:tcPr>
            <w:tcW w:w="58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86"/>
              </w:rPr>
              <w:t>117</w:t>
            </w:r>
          </w:p>
        </w:tc>
        <w:tc>
          <w:tcPr>
            <w:tcW w:w="16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115</w:t>
            </w:r>
          </w:p>
        </w:tc>
        <w:tc>
          <w:tcPr>
            <w:tcW w:w="16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115</w:t>
            </w:r>
          </w:p>
        </w:tc>
        <w:tc>
          <w:tcPr>
            <w:tcW w:w="16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116</w:t>
            </w:r>
          </w:p>
        </w:tc>
      </w:tr>
    </w:tbl>
    <w:p>
      <w:pPr>
        <w:sectPr>
          <w:pgSz w:w="11900" w:h="16900" w:orient="portrait"/>
          <w:cols w:equalWidth="0" w:num="1">
            <w:col w:w="11440"/>
          </w:cols>
          <w:pgMar w:left="240" w:top="95" w:right="219" w:bottom="0" w:gutter="0" w:footer="0" w:header="0"/>
          <w:type w:val="continuous"/>
        </w:sectPr>
      </w:pPr>
    </w:p>
    <w:bookmarkStart w:id="3" w:name="page4"/>
    <w:bookmarkEnd w:id="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Rangeland</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8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(1)</w:t>
            </w:r>
          </w:p>
        </w:tc>
        <w:tc>
          <w:tcPr>
            <w:tcW w:w="5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South Saskatchewan</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80"/>
              <w:spacing w:after="0"/>
              <w:rPr>
                <w:sz w:val="20"/>
                <w:szCs w:val="20"/>
                <w:color w:val="auto"/>
              </w:rPr>
            </w:pPr>
            <w:r>
              <w:rPr>
                <w:rFonts w:ascii="Arial" w:cs="Arial" w:eastAsia="Arial" w:hAnsi="Arial"/>
                <w:sz w:val="18"/>
                <w:szCs w:val="18"/>
                <w:color w:val="auto"/>
              </w:rPr>
              <w:t>White Cliffs</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Co-Ed</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Trucking</w:t>
            </w:r>
          </w:p>
        </w:tc>
        <w:tc>
          <w:tcPr>
            <w:tcW w:w="5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Segment Profit per Barrel ($/Bbl)</w:t>
            </w: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Selected Items Impacting Comparability</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0.63</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0.62</w:t>
            </w:r>
            <w:r>
              <w:rPr>
                <w:rFonts w:ascii="Arial" w:cs="Arial" w:eastAsia="Arial" w:hAnsi="Arial"/>
                <w:sz w:val="11"/>
                <w:szCs w:val="11"/>
                <w:color w:val="auto"/>
              </w:rPr>
              <w:t>(2)</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0.71</w:t>
            </w:r>
            <w:r>
              <w:rPr>
                <w:rFonts w:ascii="Arial" w:cs="Arial" w:eastAsia="Arial" w:hAnsi="Arial"/>
                <w:sz w:val="11"/>
                <w:szCs w:val="11"/>
                <w:color w:val="auto"/>
              </w:rPr>
              <w:t>(2)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0.65</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23"/>
          <w:szCs w:val="23"/>
          <w:color w:val="auto"/>
          <w:vertAlign w:val="superscript"/>
        </w:rPr>
      </w:pPr>
      <w:r>
        <w:rPr>
          <w:rFonts w:ascii="Arial" w:cs="Arial" w:eastAsia="Arial" w:hAnsi="Arial"/>
          <w:sz w:val="18"/>
          <w:szCs w:val="18"/>
          <w:color w:val="auto"/>
        </w:rPr>
        <w:t>Area systems include volumes (attributable to our interest) from our investments in unconsolidated entities.</w:t>
      </w:r>
    </w:p>
    <w:p>
      <w:pPr>
        <w:spacing w:after="0" w:line="1" w:lineRule="exact"/>
        <w:rPr>
          <w:rFonts w:ascii="Arial" w:cs="Arial" w:eastAsia="Arial" w:hAnsi="Arial"/>
          <w:sz w:val="23"/>
          <w:szCs w:val="23"/>
          <w:color w:val="auto"/>
          <w:vertAlign w:val="superscript"/>
        </w:rPr>
      </w:pPr>
    </w:p>
    <w:p>
      <w:pPr>
        <w:ind w:left="1300" w:hanging="320"/>
        <w:spacing w:after="0" w:line="194" w:lineRule="auto"/>
        <w:tabs>
          <w:tab w:leader="none" w:pos="1300" w:val="left"/>
        </w:tabs>
        <w:numPr>
          <w:ilvl w:val="1"/>
          <w:numId w:val="3"/>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rFonts w:ascii="Arial" w:cs="Arial" w:eastAsia="Arial" w:hAnsi="Arial"/>
          <w:sz w:val="23"/>
          <w:szCs w:val="23"/>
          <w:color w:val="auto"/>
          <w:vertAlign w:val="superscript"/>
        </w:rPr>
      </w:pPr>
    </w:p>
    <w:p>
      <w:pPr>
        <w:ind w:left="980" w:right="26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86" w:lineRule="exact"/>
        <w:rPr>
          <w:rFonts w:ascii="Arial" w:cs="Arial" w:eastAsia="Arial" w:hAnsi="Arial"/>
          <w:sz w:val="18"/>
          <w:szCs w:val="18"/>
          <w:color w:val="auto"/>
        </w:rPr>
      </w:pPr>
    </w:p>
    <w:p>
      <w:pPr>
        <w:ind w:left="980" w:right="40"/>
        <w:spacing w:after="0" w:line="293" w:lineRule="auto"/>
        <w:rPr>
          <w:rFonts w:ascii="Arial" w:cs="Arial" w:eastAsia="Arial" w:hAnsi="Arial"/>
          <w:sz w:val="18"/>
          <w:szCs w:val="18"/>
          <w:color w:val="auto"/>
        </w:rPr>
      </w:pPr>
      <w:r>
        <w:rPr>
          <w:rFonts w:ascii="Arial" w:cs="Arial" w:eastAsia="Arial" w:hAnsi="Arial"/>
          <w:sz w:val="16"/>
          <w:szCs w:val="16"/>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 Adjusted segment profit is forecasted using the volume assumptions in the table below, priced at forecasted rates, less estimated field operating costs and G&amp;A expenses. Field operating costs do not include depreciation.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Actual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Guidance</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Six Months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Twelve Months</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c>
          <w:tcPr>
            <w:tcW w:w="160" w:type="dxa"/>
            <w:vAlign w:val="bottom"/>
          </w:tcPr>
          <w:p>
            <w:pPr>
              <w:spacing w:after="0"/>
              <w:rPr>
                <w:sz w:val="12"/>
                <w:szCs w:val="12"/>
                <w:color w:val="auto"/>
              </w:rPr>
            </w:pPr>
          </w:p>
        </w:tc>
        <w:tc>
          <w:tcPr>
            <w:tcW w:w="14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Jun 30, 2015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Sep 30, 2015</w:t>
            </w: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 31, 2015</w:t>
            </w:r>
          </w:p>
        </w:tc>
        <w:tc>
          <w:tcPr>
            <w:tcW w:w="160" w:type="dxa"/>
            <w:vAlign w:val="bottom"/>
          </w:tcPr>
          <w:p>
            <w:pPr>
              <w:spacing w:after="0"/>
              <w:rPr>
                <w:sz w:val="14"/>
                <w:szCs w:val="14"/>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Dec 31, 2015</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Data</w:t>
            </w: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380"/>
              <w:spacing w:after="0" w:line="201" w:lineRule="exact"/>
              <w:rPr>
                <w:sz w:val="20"/>
                <w:szCs w:val="20"/>
                <w:color w:val="auto"/>
              </w:rPr>
            </w:pPr>
            <w:r>
              <w:rPr>
                <w:rFonts w:ascii="Arial" w:cs="Arial" w:eastAsia="Arial" w:hAnsi="Arial"/>
                <w:sz w:val="18"/>
                <w:szCs w:val="18"/>
                <w:color w:val="auto"/>
              </w:rPr>
              <w:t>Crude Oil, Refined Products and NGL Terminalling and</w:t>
            </w: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7"/>
                <w:szCs w:val="17"/>
                <w:color w:val="auto"/>
              </w:rPr>
            </w:pP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560"/>
              <w:spacing w:after="0"/>
              <w:rPr>
                <w:sz w:val="20"/>
                <w:szCs w:val="20"/>
                <w:color w:val="auto"/>
              </w:rPr>
            </w:pPr>
            <w:r>
              <w:rPr>
                <w:rFonts w:ascii="Arial" w:cs="Arial" w:eastAsia="Arial" w:hAnsi="Arial"/>
                <w:sz w:val="18"/>
                <w:szCs w:val="18"/>
                <w:color w:val="auto"/>
              </w:rPr>
              <w:t>Storage Capacity (MMBbls/Mo.)</w:t>
            </w:r>
          </w:p>
        </w:tc>
        <w:tc>
          <w:tcPr>
            <w:tcW w:w="1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00" w:type="dxa"/>
            <w:vAlign w:val="bottom"/>
            <w:tcBorders>
              <w:top w:val="single" w:sz="8" w:color="CCEEFF"/>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Rail Load / Unload Volumes (MBbls/d)</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380"/>
              <w:spacing w:after="0"/>
              <w:rPr>
                <w:sz w:val="20"/>
                <w:szCs w:val="20"/>
                <w:color w:val="auto"/>
              </w:rPr>
            </w:pPr>
            <w:r>
              <w:rPr>
                <w:rFonts w:ascii="Arial" w:cs="Arial" w:eastAsia="Arial" w:hAnsi="Arial"/>
                <w:sz w:val="18"/>
                <w:szCs w:val="18"/>
                <w:color w:val="auto"/>
              </w:rPr>
              <w:t>Natural Gas Storage Capacity (Bcf/Mo.)</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0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NGL Fractionation Volumes (MBbls/d)</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380"/>
              <w:spacing w:after="0"/>
              <w:rPr>
                <w:sz w:val="20"/>
                <w:szCs w:val="20"/>
                <w:color w:val="auto"/>
              </w:rPr>
            </w:pPr>
            <w:r>
              <w:rPr>
                <w:rFonts w:ascii="Arial" w:cs="Arial" w:eastAsia="Arial" w:hAnsi="Arial"/>
                <w:sz w:val="18"/>
                <w:szCs w:val="18"/>
                <w:color w:val="auto"/>
              </w:rPr>
              <w:t>Facilities Activities Total</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Avg. Volumes (MMBbls/Mo.)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Profit per Barrel ($/Bbl)</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80"/>
              <w:spacing w:after="0"/>
              <w:rPr>
                <w:sz w:val="20"/>
                <w:szCs w:val="20"/>
                <w:color w:val="auto"/>
              </w:rPr>
            </w:pPr>
            <w:r>
              <w:rPr>
                <w:rFonts w:ascii="Arial" w:cs="Arial" w:eastAsia="Arial" w:hAnsi="Arial"/>
                <w:sz w:val="18"/>
                <w:szCs w:val="18"/>
                <w:color w:val="auto"/>
              </w:rPr>
              <w:t>Excluding Selected Items Impacting Comparability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r>
              <w:rPr>
                <w:rFonts w:ascii="Arial" w:cs="Arial" w:eastAsia="Arial" w:hAnsi="Arial"/>
                <w:sz w:val="11"/>
                <w:szCs w:val="11"/>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0.41</w:t>
            </w:r>
            <w:r>
              <w:rPr>
                <w:rFonts w:ascii="Arial" w:cs="Arial" w:eastAsia="Arial" w:hAnsi="Arial"/>
                <w:sz w:val="11"/>
                <w:szCs w:val="11"/>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0.38</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20" w:hanging="320"/>
        <w:spacing w:after="0"/>
        <w:tabs>
          <w:tab w:leader="none" w:pos="1287" w:val="left"/>
        </w:tabs>
        <w:numPr>
          <w:ilvl w:val="2"/>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23"/>
          <w:szCs w:val="23"/>
          <w:color w:val="auto"/>
          <w:vertAlign w:val="superscript"/>
        </w:rPr>
      </w:pPr>
    </w:p>
    <w:p>
      <w:pPr>
        <w:ind w:left="1300" w:hanging="320"/>
        <w:spacing w:after="0" w:line="196" w:lineRule="auto"/>
        <w:tabs>
          <w:tab w:leader="none" w:pos="1300" w:val="left"/>
        </w:tabs>
        <w:numPr>
          <w:ilvl w:val="2"/>
          <w:numId w:val="5"/>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color w:val="auto"/>
        </w:rPr>
        <w:t>c.</w:t>
      </w:r>
      <w:r>
        <w:rPr>
          <w:rFonts w:ascii="Arial" w:cs="Arial" w:eastAsia="Arial" w:hAnsi="Arial"/>
          <w:sz w:val="16"/>
          <w:szCs w:val="16"/>
          <w:i w:val="1"/>
          <w:iCs w:val="1"/>
          <w:color w:val="auto"/>
        </w:rPr>
        <w:t>Supply and Logistics</w:t>
      </w:r>
      <w:r>
        <w:rPr>
          <w:rFonts w:ascii="Arial" w:cs="Arial" w:eastAsia="Arial" w:hAnsi="Arial"/>
          <w:sz w:val="16"/>
          <w:szCs w:val="16"/>
          <w:color w:val="auto"/>
        </w:rPr>
        <w:t>. Our Supply and Logistics segment operations generally consist of the following merchant-related activities:</w:t>
      </w:r>
    </w:p>
    <w:p>
      <w:pPr>
        <w:spacing w:after="0" w:line="225" w:lineRule="exact"/>
        <w:rPr>
          <w:rFonts w:ascii="Arial" w:cs="Arial" w:eastAsia="Arial" w:hAnsi="Arial"/>
          <w:sz w:val="23"/>
          <w:szCs w:val="23"/>
          <w:color w:val="auto"/>
          <w:vertAlign w:val="superscript"/>
        </w:rPr>
      </w:pPr>
    </w:p>
    <w:p>
      <w:pPr>
        <w:ind w:left="1220" w:right="380" w:hanging="321"/>
        <w:spacing w:after="0" w:line="277"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1220" w:right="280" w:hanging="321"/>
        <w:spacing w:after="0" w:line="277"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characterize a substantial portion of our baseline profit generated by our Supply and Logistics segment as fee equivalent. This portion of the</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segment profit is generated by the purchase and resale of crude oil on an index-related basis, which results in us generating a gross margin for such activities.</w:t>
      </w:r>
    </w:p>
    <w:p>
      <w:pPr>
        <w:sectPr>
          <w:pgSz w:w="11900" w:h="16852" w:orient="portrait"/>
          <w:cols w:equalWidth="0" w:num="1">
            <w:col w:w="11420"/>
          </w:cols>
          <w:pgMar w:left="240" w:top="140" w:right="239" w:bottom="0" w:gutter="0" w:footer="0" w:header="0"/>
        </w:sectPr>
      </w:pPr>
    </w:p>
    <w:bookmarkStart w:id="4" w:name="page5"/>
    <w:bookmarkEnd w:id="4"/>
    <w:p>
      <w:pPr>
        <w:spacing w:after="0" w:line="293" w:lineRule="auto"/>
        <w:rPr>
          <w:sz w:val="20"/>
          <w:szCs w:val="20"/>
          <w:color w:val="auto"/>
        </w:rPr>
      </w:pPr>
      <w:r>
        <w:rPr>
          <w:rFonts w:ascii="Arial" w:cs="Arial" w:eastAsia="Arial" w:hAnsi="Arial"/>
          <w:sz w:val="16"/>
          <w:szCs w:val="16"/>
          <w:color w:val="auto"/>
        </w:rPr>
        <w:t>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September 30, 2015 reflect current market structure and for the three-month and twelve-month periods ending December 31, 2015 reflect the anticipated market structure as well as seasonal, and weather-related and other anticipated variations in crude oil, NGL and natural gas sales. Variations in weather, market structure or volatility could cause actual results to differ materially from forecasted results.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Actual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Guidance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80"/>
              <w:spacing w:after="0" w:line="119" w:lineRule="exact"/>
              <w:rPr>
                <w:sz w:val="20"/>
                <w:szCs w:val="20"/>
                <w:color w:val="auto"/>
              </w:rPr>
            </w:pPr>
            <w:r>
              <w:rPr>
                <w:rFonts w:ascii="Arial" w:cs="Arial" w:eastAsia="Arial" w:hAnsi="Arial"/>
                <w:sz w:val="13"/>
                <w:szCs w:val="13"/>
                <w:b w:val="1"/>
                <w:bCs w:val="1"/>
                <w:color w:val="auto"/>
              </w:rPr>
              <w:t>Six Months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rPr>
              <w:t>Twelve Months</w:t>
            </w:r>
          </w:p>
        </w:tc>
        <w:tc>
          <w:tcPr>
            <w:tcW w:w="180" w:type="dxa"/>
            <w:vAlign w:val="bottom"/>
          </w:tcPr>
          <w:p>
            <w:pPr>
              <w:spacing w:after="0"/>
              <w:rPr>
                <w:sz w:val="10"/>
                <w:szCs w:val="10"/>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Ending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Ending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Ending</w:t>
            </w:r>
          </w:p>
        </w:tc>
      </w:tr>
      <w:tr>
        <w:trPr>
          <w:trHeight w:val="17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Jun 30, 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Sep 30, 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 31, 2015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 31, 2015</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961</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w:t>
            </w:r>
          </w:p>
        </w:tc>
      </w:tr>
      <w:tr>
        <w:trPr>
          <w:trHeight w:val="250"/>
        </w:trPr>
        <w:tc>
          <w:tcPr>
            <w:tcW w:w="42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Borders>
              <w:bottom w:val="single" w:sz="8" w:color="CCEEFF"/>
            </w:tcBorders>
          </w:tcPr>
          <w:p>
            <w:pPr>
              <w:spacing w:after="0"/>
              <w:rPr>
                <w:sz w:val="21"/>
                <w:szCs w:val="21"/>
                <w:color w:val="auto"/>
              </w:rPr>
            </w:pPr>
          </w:p>
        </w:tc>
      </w:tr>
      <w:tr>
        <w:trPr>
          <w:trHeight w:val="197"/>
        </w:trPr>
        <w:tc>
          <w:tcPr>
            <w:tcW w:w="4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Segment Profit per Barrel ($/Bbl)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Excluding Selected Items Impacting Comparability</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0.76</w:t>
            </w:r>
            <w:r>
              <w:rPr>
                <w:rFonts w:ascii="Arial" w:cs="Arial" w:eastAsia="Arial" w:hAnsi="Arial"/>
                <w:sz w:val="11"/>
                <w:szCs w:val="11"/>
                <w:color w:val="auto"/>
              </w:rPr>
              <w:t>(1)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r>
              <w:rPr>
                <w:rFonts w:ascii="Arial" w:cs="Arial" w:eastAsia="Arial" w:hAnsi="Arial"/>
                <w:sz w:val="11"/>
                <w:szCs w:val="11"/>
                <w:color w:val="auto"/>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r>
              <w:rPr>
                <w:rFonts w:ascii="Arial" w:cs="Arial" w:eastAsia="Arial" w:hAnsi="Arial"/>
                <w:sz w:val="11"/>
                <w:szCs w:val="11"/>
                <w:color w:val="auto"/>
              </w:rPr>
              <w:t>(1)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ind w:left="340" w:right="10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also vary due to gains and losses on intermittent sales of assets, asset retirement obligations, asset impairments, acceleration of depreciation or foreign exchange rates. Forecasted depreciation expense for the three months ending September 30, 2015 includes approximately $20 million of asset impairment expense.</w:t>
      </w:r>
    </w:p>
    <w:p>
      <w:pPr>
        <w:spacing w:after="0" w:line="186" w:lineRule="exact"/>
        <w:rPr>
          <w:rFonts w:ascii="Arial" w:cs="Arial" w:eastAsia="Arial" w:hAnsi="Arial"/>
          <w:sz w:val="18"/>
          <w:szCs w:val="18"/>
          <w:color w:val="auto"/>
        </w:rPr>
      </w:pPr>
    </w:p>
    <w:p>
      <w:pPr>
        <w:ind w:left="340" w:right="80" w:hanging="332"/>
        <w:spacing w:after="0" w:line="27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and Acquisitions. </w:t>
      </w:r>
      <w:r>
        <w:rPr>
          <w:rFonts w:ascii="Arial" w:cs="Arial" w:eastAsia="Arial" w:hAnsi="Arial"/>
          <w:sz w:val="17"/>
          <w:szCs w:val="17"/>
          <w:color w:val="auto"/>
        </w:rPr>
        <w:t>Although acquisitions constitute a key element of our growth strategy, the forecasted results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do not include any forecasts for acquisitions that we may commit to after the date hereof. We forecast capital expenditures during the calendar year of 2015 to be approximately $2.2 billion for expansion projects with an additional $205 million to $225 million for maintenance capital projects. During the first six months of 2015, we spent $1,188 million and $102 million for expansion and maintenance projects, respectively. The following are some of the more notable projects and forecasted expenditures for the year ending December 31, 2015:</w:t>
      </w:r>
    </w:p>
    <w:p>
      <w:pPr>
        <w:spacing w:after="0" w:line="164"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Calendar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Permian Basin Area Projects</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 Fort Saskatchewan Facility Projects / NGL Line</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line="216" w:lineRule="exact"/>
              <w:rPr>
                <w:sz w:val="20"/>
                <w:szCs w:val="20"/>
                <w:color w:val="auto"/>
              </w:rPr>
            </w:pPr>
            <w:r>
              <w:rPr>
                <w:rFonts w:ascii="Arial" w:cs="Arial" w:eastAsia="Arial" w:hAnsi="Arial"/>
                <w:sz w:val="18"/>
                <w:szCs w:val="18"/>
                <w:color w:val="auto"/>
              </w:rPr>
              <w:t xml:space="preserve">• Rail Terminal Projects </w:t>
            </w:r>
            <w:r>
              <w:rPr>
                <w:rFonts w:ascii="Arial" w:cs="Arial" w:eastAsia="Arial" w:hAnsi="Arial"/>
                <w:sz w:val="23"/>
                <w:szCs w:val="23"/>
                <w:color w:val="auto"/>
                <w:vertAlign w:val="superscript"/>
              </w:rPr>
              <w:t>(1)</w:t>
            </w: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 Cactus Pipeline </w:t>
            </w:r>
            <w:r>
              <w:rPr>
                <w:rFonts w:ascii="Arial" w:cs="Arial" w:eastAsia="Arial" w:hAnsi="Arial"/>
                <w:sz w:val="23"/>
                <w:szCs w:val="23"/>
                <w:color w:val="auto"/>
                <w:vertAlign w:val="superscript"/>
              </w:rPr>
              <w:t>(2)</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Saddlehorn Pipeline</w:t>
            </w: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 Red River Pipeline (Cushing to Longview)</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Eagle Ford JV Project</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 Cowboy Pipeline (Cheyenne to Carr)</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St. James Terminal Expansions</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 Eagle Ford Area Projects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Diamond Pipeline</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 Cushing Terminal Expansions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Line 63 Reactivation</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 Other Projects</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(3)</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$100 + $100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Projected Expansion Capital Expenditures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$2,100 - $2,300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Maintenance Capital Expenditures</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$205 - $225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railcar purchases and projects located in or near St. James, LA, Kerrobert, Canada and Tampa, CO.</w:t>
      </w:r>
    </w:p>
    <w:p>
      <w:pPr>
        <w:spacing w:after="0" w:line="1" w:lineRule="exact"/>
        <w:rPr>
          <w:rFonts w:ascii="Arial" w:cs="Arial" w:eastAsia="Arial" w:hAnsi="Arial"/>
          <w:sz w:val="23"/>
          <w:szCs w:val="23"/>
          <w:color w:val="auto"/>
          <w:vertAlign w:val="superscript"/>
        </w:rPr>
      </w:pPr>
    </w:p>
    <w:p>
      <w:pPr>
        <w:ind w:left="1300" w:hanging="320"/>
        <w:spacing w:after="0" w:line="194" w:lineRule="auto"/>
        <w:tabs>
          <w:tab w:leader="none" w:pos="13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linefill costs associated with the project.</w:t>
      </w:r>
    </w:p>
    <w:p>
      <w:pPr>
        <w:spacing w:after="0" w:line="2" w:lineRule="exact"/>
        <w:rPr>
          <w:rFonts w:ascii="Arial" w:cs="Arial" w:eastAsia="Arial" w:hAnsi="Arial"/>
          <w:sz w:val="23"/>
          <w:szCs w:val="23"/>
          <w:color w:val="auto"/>
          <w:vertAlign w:val="superscript"/>
        </w:rPr>
      </w:pPr>
    </w:p>
    <w:p>
      <w:pPr>
        <w:ind w:left="1300" w:hanging="320"/>
        <w:spacing w:after="0" w:line="213" w:lineRule="auto"/>
        <w:tabs>
          <w:tab w:leader="none" w:pos="130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Potential variation to current capital costs estimates may result from (i) changes to project design, (ii) final cost of materials and labor and</w:t>
      </w:r>
    </w:p>
    <w:p>
      <w:pPr>
        <w:spacing w:after="0" w:line="1" w:lineRule="exact"/>
        <w:rPr>
          <w:rFonts w:ascii="Arial" w:cs="Arial" w:eastAsia="Arial" w:hAnsi="Arial"/>
          <w:sz w:val="21"/>
          <w:szCs w:val="21"/>
          <w:color w:val="auto"/>
          <w:vertAlign w:val="superscript"/>
        </w:rPr>
      </w:pPr>
    </w:p>
    <w:p>
      <w:pPr>
        <w:ind w:left="1620" w:hanging="315"/>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timing of incurrence of costs due to uncontrollable factors such as permits, regulatory approvals and weather.</w:t>
      </w:r>
    </w:p>
    <w:p>
      <w:pPr>
        <w:sectPr>
          <w:pgSz w:w="11900" w:h="16838" w:orient="portrait"/>
          <w:cols w:equalWidth="0" w:num="1">
            <w:col w:w="11360"/>
          </w:cols>
          <w:pgMar w:left="240" w:top="125" w:right="299" w:bottom="300" w:gutter="0" w:footer="0" w:header="0"/>
        </w:sect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300" w:gutter="0" w:footer="0" w:header="0"/>
          <w:type w:val="continuous"/>
        </w:sectPr>
      </w:pPr>
    </w:p>
    <w:bookmarkStart w:id="5" w:name="page6"/>
    <w:bookmarkEnd w:id="5"/>
    <w:p>
      <w:pPr>
        <w:ind w:left="340" w:right="8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June 30, 2015, adjusted for estimated equity issuances and senior note offerings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our capital program.</w:t>
      </w:r>
    </w:p>
    <w:p>
      <w:pPr>
        <w:spacing w:after="0" w:line="170"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are projected based on estimated cash flows, estimated distribution rates, estimated capital expenditures for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July 2015.</w:t>
      </w:r>
    </w:p>
    <w:p>
      <w:pPr>
        <w:spacing w:after="0" w:line="186" w:lineRule="exact"/>
        <w:rPr>
          <w:rFonts w:ascii="Arial" w:cs="Arial" w:eastAsia="Arial" w:hAnsi="Arial"/>
          <w:sz w:val="18"/>
          <w:szCs w:val="18"/>
          <w:color w:val="auto"/>
        </w:rPr>
      </w:pPr>
    </w:p>
    <w:p>
      <w:pPr>
        <w:ind w:left="340" w:right="260"/>
        <w:spacing w:after="0" w:line="264" w:lineRule="auto"/>
        <w:rPr>
          <w:rFonts w:ascii="Arial" w:cs="Arial" w:eastAsia="Arial" w:hAnsi="Arial"/>
          <w:sz w:val="18"/>
          <w:szCs w:val="18"/>
          <w:color w:val="auto"/>
        </w:rPr>
      </w:pPr>
      <w:r>
        <w:rPr>
          <w:rFonts w:ascii="Arial" w:cs="Arial" w:eastAsia="Arial" w:hAnsi="Arial"/>
          <w:sz w:val="18"/>
          <w:szCs w:val="18"/>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 Interest expense includes an assumed fixed rate senior note offering in 2015.</w:t>
      </w:r>
    </w:p>
    <w:p>
      <w:pPr>
        <w:spacing w:after="0" w:line="181" w:lineRule="exact"/>
        <w:rPr>
          <w:rFonts w:ascii="Arial" w:cs="Arial" w:eastAsia="Arial" w:hAnsi="Arial"/>
          <w:sz w:val="18"/>
          <w:szCs w:val="18"/>
          <w:color w:val="auto"/>
        </w:rPr>
      </w:pPr>
    </w:p>
    <w:p>
      <w:pPr>
        <w:ind w:left="340" w:right="60" w:hanging="314"/>
        <w:spacing w:after="0" w:line="279" w:lineRule="auto"/>
        <w:tabs>
          <w:tab w:leader="none" w:pos="344"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expect our Canadian income tax expense to be approximately $4 million and $91 million for the three-month period ending</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2015 and twelve-month period ending December 31,2015, respectively, of which approximately $8 million and $101 million, respectively, is classified as a current income tax expense. For the twelve-month period ending December 31, 2015 we expect to have a deferred tax benefit of $10 million. All or part of the annual income tax expense of $91 million may result in a tax credit to our equity holders.</w:t>
      </w:r>
    </w:p>
    <w:p>
      <w:pPr>
        <w:spacing w:after="0" w:line="171" w:lineRule="exact"/>
        <w:rPr>
          <w:sz w:val="20"/>
          <w:szCs w:val="20"/>
          <w:color w:val="auto"/>
        </w:rPr>
      </w:pPr>
    </w:p>
    <w:p>
      <w:pPr>
        <w:ind w:left="340" w:right="240" w:hanging="332"/>
        <w:spacing w:after="0" w:line="30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Equity-Indexed Compensation Plans. </w:t>
      </w:r>
      <w:r>
        <w:rPr>
          <w:rFonts w:ascii="Arial" w:cs="Arial" w:eastAsia="Arial" w:hAnsi="Arial"/>
          <w:sz w:val="16"/>
          <w:szCs w:val="16"/>
          <w:color w:val="auto"/>
        </w:rPr>
        <w:t>The majority of grants outstanding under our various equity-indexed compensation plans contain vesting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August 3, 2015, estimated vesting dates range from August 2015 to August 2020 and annualized benchmark distribution levels range from $2.075 to $3.50.</w:t>
      </w:r>
    </w:p>
    <w:p>
      <w:pPr>
        <w:spacing w:after="0" w:line="154" w:lineRule="exact"/>
        <w:rPr>
          <w:rFonts w:ascii="Arial" w:cs="Arial" w:eastAsia="Arial" w:hAnsi="Arial"/>
          <w:sz w:val="16"/>
          <w:szCs w:val="16"/>
          <w:color w:val="auto"/>
        </w:rPr>
      </w:pPr>
    </w:p>
    <w:p>
      <w:pPr>
        <w:ind w:left="340" w:right="180"/>
        <w:spacing w:after="0" w:line="254" w:lineRule="auto"/>
        <w:rPr>
          <w:rFonts w:ascii="Arial" w:cs="Arial" w:eastAsia="Arial" w:hAnsi="Arial"/>
          <w:sz w:val="16"/>
          <w:szCs w:val="16"/>
          <w:color w:val="auto"/>
        </w:rPr>
      </w:pPr>
      <w:r>
        <w:rPr>
          <w:rFonts w:ascii="Arial" w:cs="Arial" w:eastAsia="Arial" w:hAnsi="Arial"/>
          <w:sz w:val="18"/>
          <w:szCs w:val="18"/>
          <w:color w:val="auto"/>
        </w:rPr>
        <w:t>On July 7, 2015, we declared an annualized distribution of $2.78 payable on August 14, 2015 to our unitholders of record as of July 31, 2015. For the purposes of guidance, we have made the assessment that an annualized $2.90 distribution level is probable of occurring, and accordingly, guidance includes an accrual over the applicable service period at an assumed market price of $44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our then current probability assessment regarding distributions, and (iv) new equity-indexed compensation award grants, including the timing of such grant issuances. For example, a $2 change in the unit price would change the third-quarter and full-year equity-indexed compensation expense by approximately $4 million. Therefore, actual net income could differ from our projections.</w:t>
      </w:r>
    </w:p>
    <w:p>
      <w:pPr>
        <w:spacing w:after="0" w:line="192" w:lineRule="exact"/>
        <w:rPr>
          <w:rFonts w:ascii="Arial" w:cs="Arial" w:eastAsia="Arial" w:hAnsi="Arial"/>
          <w:sz w:val="16"/>
          <w:szCs w:val="16"/>
          <w:color w:val="auto"/>
        </w:rPr>
      </w:pPr>
    </w:p>
    <w:p>
      <w:pPr>
        <w:ind w:left="340" w:right="28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EBITDA and Adjusted EBITDA. </w:t>
      </w:r>
      <w:r>
        <w:rPr>
          <w:rFonts w:ascii="Arial" w:cs="Arial" w:eastAsia="Arial" w:hAnsi="Arial"/>
          <w:sz w:val="18"/>
          <w:szCs w:val="18"/>
          <w:color w:val="auto"/>
        </w:rPr>
        <w:t>The following table reconciles net income to EBITDA and Adjusted EBITDA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Actual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Guidance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4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6 Months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5"/>
          </w:tcPr>
          <w:p>
            <w:pPr>
              <w:jc w:val="center"/>
              <w:ind w:right="180"/>
              <w:spacing w:after="0" w:line="119" w:lineRule="exact"/>
              <w:rPr>
                <w:sz w:val="20"/>
                <w:szCs w:val="20"/>
                <w:color w:val="auto"/>
              </w:rPr>
            </w:pPr>
            <w:r>
              <w:rPr>
                <w:rFonts w:ascii="Arial" w:cs="Arial" w:eastAsia="Arial" w:hAnsi="Arial"/>
                <w:sz w:val="13"/>
                <w:szCs w:val="13"/>
                <w:b w:val="1"/>
                <w:bCs w:val="1"/>
                <w:color w:val="auto"/>
              </w:rPr>
              <w:t>3 Months Ending</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5"/>
          </w:tcPr>
          <w:p>
            <w:pPr>
              <w:jc w:val="right"/>
              <w:ind w:right="420"/>
              <w:spacing w:after="0" w:line="119" w:lineRule="exact"/>
              <w:rPr>
                <w:sz w:val="20"/>
                <w:szCs w:val="20"/>
                <w:color w:val="auto"/>
              </w:rPr>
            </w:pPr>
            <w:r>
              <w:rPr>
                <w:rFonts w:ascii="Arial" w:cs="Arial" w:eastAsia="Arial" w:hAnsi="Arial"/>
                <w:sz w:val="13"/>
                <w:szCs w:val="13"/>
                <w:b w:val="1"/>
                <w:bCs w:val="1"/>
                <w:color w:val="auto"/>
              </w:rPr>
              <w:t>3 Months Ending</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jc w:val="center"/>
              <w:ind w:right="92"/>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Sep 30, 2015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 31, 2015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 31, 2015</w:t>
            </w:r>
          </w:p>
        </w:tc>
        <w:tc>
          <w:tcPr>
            <w:tcW w:w="4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Jun 30, 2015</w:t>
            </w:r>
          </w:p>
        </w:tc>
        <w:tc>
          <w:tcPr>
            <w:tcW w:w="16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High</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to EBITDA and Adjusted EBITDA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4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18"/>
                <w:szCs w:val="18"/>
                <w:color w:val="auto"/>
              </w:rPr>
            </w:pPr>
          </w:p>
        </w:tc>
      </w:tr>
      <w:tr>
        <w:trPr>
          <w:trHeight w:val="250"/>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97"/>
        </w:trPr>
        <w:tc>
          <w:tcPr>
            <w:tcW w:w="4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of EBITDA</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8"/>
                <w:szCs w:val="18"/>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i w:val="1"/>
          <w:iCs w:val="1"/>
          <w:color w:val="auto"/>
        </w:rPr>
        <w:t>Implied DCF.</w:t>
      </w:r>
      <w:r>
        <w:rPr>
          <w:rFonts w:ascii="Arial" w:cs="Arial" w:eastAsia="Arial" w:hAnsi="Arial"/>
          <w:sz w:val="18"/>
          <w:szCs w:val="18"/>
          <w:color w:val="auto"/>
        </w:rPr>
        <w:t xml:space="preserve"> The following table reconciles adjusted EBITDA to implied DCF for the indicated periods.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Actual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Mid-Point Guidance</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3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Six Months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Twelve Months</w:t>
            </w:r>
          </w:p>
        </w:tc>
        <w:tc>
          <w:tcPr>
            <w:tcW w:w="100" w:type="dxa"/>
            <w:vAlign w:val="bottom"/>
            <w:gridSpan w:val="2"/>
          </w:tcPr>
          <w:p>
            <w:pPr>
              <w:spacing w:after="0"/>
              <w:rPr>
                <w:sz w:val="10"/>
                <w:szCs w:val="10"/>
                <w:color w:val="auto"/>
              </w:rPr>
            </w:pPr>
          </w:p>
        </w:tc>
      </w:tr>
      <w:tr>
        <w:trPr>
          <w:trHeight w:val="149"/>
        </w:trPr>
        <w:tc>
          <w:tcPr>
            <w:tcW w:w="3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Ending</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c>
          <w:tcPr>
            <w:tcW w:w="1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Jun 30, 2015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Sep 30, 2015</w:t>
            </w: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 31, 2015</w:t>
            </w:r>
          </w:p>
        </w:tc>
        <w:tc>
          <w:tcPr>
            <w:tcW w:w="16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 31, 2015</w:t>
            </w:r>
          </w:p>
        </w:tc>
      </w:tr>
      <w:tr>
        <w:trPr>
          <w:trHeight w:val="142"/>
        </w:trPr>
        <w:tc>
          <w:tcPr>
            <w:tcW w:w="3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gridSpan w:val="5"/>
          </w:tcPr>
          <w:p>
            <w:pPr>
              <w:jc w:val="right"/>
              <w:ind w:right="1400"/>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2,275</w:t>
            </w:r>
          </w:p>
        </w:tc>
        <w:tc>
          <w:tcPr>
            <w:tcW w:w="8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(420)</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30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(1)</w:t>
            </w: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120" w:hanging="320"/>
        <w:spacing w:after="0" w:line="227" w:lineRule="auto"/>
        <w:tabs>
          <w:tab w:leader="none" w:pos="1287"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Including costs of $65 million related to our Line 901 incident that occurred during May 2015, Implied DCF would have been $684 million for the six months ended June 30, 2015.</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ectPr>
          <w:pgSz w:w="11900" w:h="16838" w:orient="portrait"/>
          <w:cols w:equalWidth="0" w:num="1">
            <w:col w:w="11460"/>
          </w:cols>
          <w:pgMar w:left="240" w:top="341" w:right="199" w:bottom="0" w:gutter="0" w:footer="0" w:header="0"/>
        </w:sectPr>
      </w:pPr>
    </w:p>
    <w:bookmarkStart w:id="6" w:name="page7"/>
    <w:bookmarkEnd w:id="6"/>
    <w:p>
      <w:pPr>
        <w:ind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rFonts w:ascii="Arial" w:cs="Arial" w:eastAsia="Arial" w:hAnsi="Arial"/>
          <w:sz w:val="18"/>
          <w:szCs w:val="18"/>
          <w:color w:val="auto"/>
        </w:rPr>
      </w:pPr>
    </w:p>
    <w:p>
      <w:pPr>
        <w:ind w:left="340" w:right="80" w:hanging="332"/>
        <w:spacing w:after="0" w:line="286" w:lineRule="auto"/>
        <w:tabs>
          <w:tab w:leader="none" w:pos="304"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5" w:lineRule="exact"/>
        <w:rPr>
          <w:rFonts w:ascii="Arial" w:cs="Arial" w:eastAsia="Arial" w:hAnsi="Arial"/>
          <w:sz w:val="17"/>
          <w:szCs w:val="17"/>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40" w:right="300" w:hanging="332"/>
        <w:spacing w:after="0" w:line="308" w:lineRule="auto"/>
        <w:tabs>
          <w:tab w:leader="none" w:pos="30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6" w:lineRule="exact"/>
        <w:rPr>
          <w:rFonts w:ascii="Arial" w:cs="Arial" w:eastAsia="Arial" w:hAnsi="Arial"/>
          <w:sz w:val="17"/>
          <w:szCs w:val="17"/>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480" w:hanging="332"/>
        <w:spacing w:after="0" w:line="277"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80"/>
          </w:cols>
          <w:pgMar w:left="240" w:top="125" w:right="279" w:bottom="0" w:gutter="0" w:footer="0" w:header="0"/>
        </w:sectPr>
      </w:pPr>
    </w:p>
    <w:bookmarkStart w:id="7" w:name="page8"/>
    <w:bookmarkEnd w:id="7"/>
    <w:p>
      <w:pPr>
        <w:ind w:right="88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16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4"/>
                <w:szCs w:val="24"/>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4"/>
                <w:szCs w:val="24"/>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4, 2015</w:t>
            </w: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Sharon Spurlin</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88"/>
              </w:rPr>
              <w:t>Title:</w:t>
            </w:r>
            <w:r>
              <w:rPr>
                <w:rFonts w:ascii="Arial" w:cs="Arial" w:eastAsia="Arial" w:hAnsi="Arial"/>
                <w:sz w:val="18"/>
                <w:szCs w:val="18"/>
                <w:i w:val="1"/>
                <w:iCs w:val="1"/>
                <w:color w:val="auto"/>
                <w:w w:val="88"/>
              </w:rPr>
              <w:t>Vice President and Treasurer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740" w:type="dxa"/>
            <w:vAlign w:val="bottom"/>
          </w:tcPr>
          <w:p>
            <w:pPr>
              <w:ind w:left="2040"/>
              <w:spacing w:after="0"/>
              <w:rPr>
                <w:sz w:val="20"/>
                <w:szCs w:val="20"/>
                <w:color w:val="auto"/>
              </w:rPr>
            </w:pPr>
            <w:r>
              <w:rPr>
                <w:rFonts w:ascii="Arial" w:cs="Arial" w:eastAsia="Arial" w:hAnsi="Arial"/>
                <w:sz w:val="18"/>
                <w:szCs w:val="18"/>
                <w:color w:val="auto"/>
              </w:rPr>
              <w:t>12</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154940</wp:posOffset>
            </wp:positionV>
            <wp:extent cx="6157595" cy="702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75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2015 Results</w:t>
      </w:r>
    </w:p>
    <w:p>
      <w:pPr>
        <w:spacing w:after="0" w:line="229" w:lineRule="exact"/>
        <w:rPr>
          <w:sz w:val="20"/>
          <w:szCs w:val="20"/>
          <w:color w:val="auto"/>
        </w:rPr>
      </w:pPr>
    </w:p>
    <w:p>
      <w:pPr>
        <w:ind w:right="380" w:firstLine="689"/>
        <w:spacing w:after="0" w:line="277" w:lineRule="auto"/>
        <w:rPr>
          <w:sz w:val="20"/>
          <w:szCs w:val="20"/>
          <w:color w:val="auto"/>
        </w:rPr>
      </w:pPr>
      <w:r>
        <w:rPr>
          <w:rFonts w:ascii="Arial" w:cs="Arial" w:eastAsia="Arial" w:hAnsi="Arial"/>
          <w:sz w:val="18"/>
          <w:szCs w:val="18"/>
          <w:color w:val="auto"/>
        </w:rPr>
        <w:t>(Houston — August 4, 2015) Plains All American Pipeline, L.P. (NYSE: PAA) and Plains GP Holdings (NYSE: PAGP) today reported second-quarter 2015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Six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income/(loss) per limited partner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(113)%</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Six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Diluted adjusted net income per limited partner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Distribution per limited partner unit declared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for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0.695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0.645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7.8%</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reported solid second quarter results, with adjusted EBITDA of $486 million, which was approximately $26 million above the mid-point of our quarterly guidance range,” said Greg L. Armstrong, Chairman and CEO of Plains All American. “PAA will pay a quarterly distribution of $0.695 per limited partner unit next week, which is the equivalent of $2.78 per unit on an annualized basis, while PAGP will pay a quarterly distribution of $0.227 per Class A share, or $0.908 per share on an annualized basis. These distributions represent a 7.8% and 23.8% increase over comparative distributions paid in the same quarter of 2014,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“Over the intermediate to long-term, we remain very constructive on the outlook for the North American crude oil industry. Near term, we are cautious as high crude oil and refined product inventory levels will influence oilfield activity and crude oil production levels over the next six to twelve months and competition for the marginal barrel will intensify. Additionally, our current forecast assumes that our All American pipeline in California will not be returned to service during the balance of 2015.”</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Armstrong added, “Based on this outlook, we have reduced the midpoint of our full-year guidance for adjusted EBITDA by $50 million. The resulting midpoint guidance of $2.275 billion remains in line with the full-year guidance range provided at the beginning of the year, albeit near the lower end of the initial range. Importantly, PAA remains well positioned to manage through industry down cycles and capitalize on attractive opportunities as it ended</w:t>
      </w:r>
    </w:p>
    <w:p>
      <w:pPr>
        <w:sectPr>
          <w:pgSz w:w="11900" w:h="16838" w:orient="portrait"/>
          <w:cols w:equalWidth="0" w:num="1">
            <w:col w:w="11420"/>
          </w:cols>
          <w:pgMar w:left="240" w:top="121" w:right="239" w:bottom="0" w:gutter="0" w:footer="0" w:header="0"/>
        </w:sectPr>
      </w:pPr>
    </w:p>
    <w:bookmarkStart w:id="9" w:name="page10"/>
    <w:bookmarkEnd w:id="9"/>
    <w:p>
      <w:pPr>
        <w:ind w:right="520"/>
        <w:spacing w:after="0" w:line="277" w:lineRule="auto"/>
        <w:rPr>
          <w:sz w:val="20"/>
          <w:szCs w:val="20"/>
          <w:color w:val="auto"/>
        </w:rPr>
      </w:pPr>
      <w:r>
        <w:rPr>
          <w:rFonts w:ascii="Arial" w:cs="Arial" w:eastAsia="Arial" w:hAnsi="Arial"/>
          <w:sz w:val="18"/>
          <w:szCs w:val="18"/>
          <w:color w:val="auto"/>
        </w:rPr>
        <w:t>the second quarter of 2015 with approximately $3.1 billion of committed liquidity, a strong balance sheet and credit metrics that are consistent with our targeted levels.”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second quarter and first half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7"/>
          </w:tcPr>
          <w:p>
            <w:pPr>
              <w:jc w:val="center"/>
              <w:ind w:left="796"/>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center"/>
              <w:ind w:left="857"/>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0"/>
              </w:rPr>
              <w:t>June 30, 2015</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6"/>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right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i w:val="1"/>
                <w:iCs w:val="1"/>
                <w:color w:val="auto"/>
              </w:rPr>
              <w:t>146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84</w:t>
            </w:r>
          </w:p>
        </w:tc>
        <w:tc>
          <w:tcPr>
            <w:tcW w:w="34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229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9"/>
              </w:rPr>
              <w:t>Percentage change in adjusted segment</w:t>
            </w:r>
          </w:p>
        </w:tc>
        <w:tc>
          <w:tcPr>
            <w:tcW w:w="160" w:type="dxa"/>
            <w:vAlign w:val="bottom"/>
            <w:shd w:val="clear" w:color="auto" w:fill="CCEEFF"/>
          </w:tcPr>
          <w:p>
            <w:pPr>
              <w:spacing w:after="0"/>
              <w:rPr>
                <w:sz w:val="17"/>
                <w:szCs w:val="17"/>
                <w:color w:val="auto"/>
              </w:rPr>
            </w:pP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40" w:type="dxa"/>
            <w:vAlign w:val="bottom"/>
            <w:shd w:val="clear" w:color="auto" w:fill="CCEEFF"/>
          </w:tcPr>
          <w:p>
            <w:pPr>
              <w:spacing w:after="0"/>
              <w:rPr>
                <w:sz w:val="17"/>
                <w:szCs w:val="17"/>
                <w:color w:val="auto"/>
              </w:rPr>
            </w:pPr>
          </w:p>
        </w:tc>
        <w:tc>
          <w:tcPr>
            <w:tcW w:w="10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(42)%</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40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7"/>
          </w:tcPr>
          <w:p>
            <w:pPr>
              <w:jc w:val="center"/>
              <w:ind w:left="796"/>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center"/>
              <w:ind w:left="857"/>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0"/>
              </w:rPr>
              <w:t>June 30, 2015</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6"/>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502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rPr>
              <w:t>315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443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9"/>
              </w:rPr>
              <w:t>Percentage change in adjusted segment</w:t>
            </w:r>
          </w:p>
        </w:tc>
        <w:tc>
          <w:tcPr>
            <w:tcW w:w="160" w:type="dxa"/>
            <w:vAlign w:val="bottom"/>
            <w:shd w:val="clear" w:color="auto" w:fill="CCEEFF"/>
          </w:tcPr>
          <w:p>
            <w:pPr>
              <w:spacing w:after="0"/>
              <w:rPr>
                <w:sz w:val="17"/>
                <w:szCs w:val="17"/>
                <w:color w:val="auto"/>
              </w:rPr>
            </w:pP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40" w:type="dxa"/>
            <w:vAlign w:val="bottom"/>
            <w:shd w:val="clear" w:color="auto" w:fill="CCEEFF"/>
          </w:tcPr>
          <w:p>
            <w:pPr>
              <w:spacing w:after="0"/>
              <w:rPr>
                <w:sz w:val="17"/>
                <w:szCs w:val="17"/>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40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59" w:lineRule="auto"/>
        <w:rPr>
          <w:sz w:val="20"/>
          <w:szCs w:val="20"/>
          <w:color w:val="auto"/>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Second-quarter 2015 Transportation adjusted segment profit increased 12% versus comparable 2014 results. This increase was driven by earnings from our 50% interest in the BridgeTex pipeline acquired in November 2014 and higher crude oil pipeline volumes associated with recently completed organic growth projects primarily within the Permian Basin and Eagle Ford producing regions.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Second-quarter 2015 Facilities adjusted segment profit increased by 6% over comparable 2014 results. This increase was primarily due to lower field operating costs associated with our NGL fractionation and Canadian natural gas processing activities.</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Second-quarter 2015 Supply and Logistics adjusted segment profit exceeded the high end of our quarterly guidance range but decreased by 42% compared to 2014 results. This decrease was primarily driven by lower margins associated with less favorable crude oil market conditions.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39"/>
              <w:spacing w:after="0"/>
              <w:rPr>
                <w:sz w:val="20"/>
                <w:szCs w:val="20"/>
                <w:color w:val="auto"/>
              </w:rPr>
            </w:pPr>
            <w:r>
              <w:rPr>
                <w:rFonts w:ascii="Arial" w:cs="Arial" w:eastAsia="Arial" w:hAnsi="Arial"/>
                <w:sz w:val="14"/>
                <w:szCs w:val="14"/>
                <w:b w:val="1"/>
                <w:bCs w:val="1"/>
                <w:color w:val="auto"/>
              </w:rPr>
              <w:t>Q2 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Q1 2015</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Q2 2014</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0.1834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Q2 2015 distribution percentage growth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PAA and PAGP will hold a conference call on August 5, 2015 (see details below). Prior to this conference call, PAA will furnish a current report on Form 8-K, which will include material in this news release as well as PAA’s financial and operational guidance for the third and fourth quarter and full year of 2015. A copy of the Form 8-K will be available at www.plainsallamerican.com, where PAA and PAGP routinely post important information.</w:t>
      </w:r>
    </w:p>
    <w:p>
      <w:pPr>
        <w:sectPr>
          <w:pgSz w:w="11900" w:h="16838" w:orient="portrait"/>
          <w:cols w:equalWidth="0" w:num="1">
            <w:col w:w="11420"/>
          </w:cols>
          <w:pgMar w:left="240" w:top="125" w:right="239" w:bottom="0" w:gutter="0" w:footer="0" w:header="0"/>
          <w:type w:val="continuous"/>
        </w:sectPr>
      </w:pPr>
    </w:p>
    <w:bookmarkStart w:id="10" w:name="page11"/>
    <w:bookmarkEnd w:id="10"/>
    <w:p>
      <w:pPr>
        <w:ind w:left="660"/>
        <w:spacing w:after="0"/>
        <w:rPr>
          <w:sz w:val="20"/>
          <w:szCs w:val="20"/>
          <w:color w:val="auto"/>
        </w:rPr>
      </w:pPr>
      <w:r>
        <w:rPr>
          <w:rFonts w:ascii="Arial" w:cs="Arial" w:eastAsia="Arial" w:hAnsi="Arial"/>
          <w:sz w:val="18"/>
          <w:szCs w:val="18"/>
          <w:color w:val="auto"/>
        </w:rPr>
        <w:t>The PAA and PAGP conference call will be held at 11:00 a.m. EDT on Wednesday, August 5, 2015 to discuss the following items:</w:t>
      </w:r>
    </w:p>
    <w:p>
      <w:pPr>
        <w:spacing w:after="0" w:line="225"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PAA’s second-quarter 2015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and operating guidance for the third and fourth quarter and full year of 2015;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To access the Internet webcast of the conference call, please go to www.plainsallamerican.com, navigate to “Investor Relations,” select “PAA” or “PAGP,” then “News &amp; Events,” and then “Quarterly Earnings.” Following the live webcast, the call will be archived for a period of sixty (60) days on the website.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230-1059. International callers should dial (612) 234-9959. No password is required. The slide presentation accompanying the conference call will be available a few minutes prior to the call at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363940. The replay will be available beginning Wednesday, August 5, 2015, at approximately 1:00 p.m. EDT and will continue until 11:59 a.m. EDT on September 5,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jc w:val="both"/>
        <w:ind w:right="14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w:t>
      </w:r>
    </w:p>
    <w:p>
      <w:pPr>
        <w:sectPr>
          <w:pgSz w:w="11900" w:h="16838" w:orient="portrait"/>
          <w:cols w:equalWidth="0" w:num="1">
            <w:col w:w="11420"/>
          </w:cols>
          <w:pgMar w:left="240" w:top="125" w:right="239" w:bottom="0" w:gutter="0" w:footer="0" w:header="0"/>
        </w:sectPr>
      </w:pPr>
    </w:p>
    <w:bookmarkStart w:id="11" w:name="page12"/>
    <w:bookmarkEnd w:id="11"/>
    <w:p>
      <w:pPr>
        <w:spacing w:after="0" w:line="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effects of competition;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maintenance of our credit rating and ability to receive open credit from our suppliers and trade counterparties;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increased costs, or lack of availability, of insurance; non-utilization of our assets and facilities;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approximately 4.3 million barrels per day of crude oil and NGL on its pipelines.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6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24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left="5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6,663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5,848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10,280</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10,890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6,454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3"/>
              </w:rPr>
              <w:t>12,027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Current income tax expense</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LIMITED PARTNERS</w:t>
            </w:r>
          </w:p>
        </w:tc>
        <w:tc>
          <w:tcPr>
            <w:tcW w:w="168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top w:val="single" w:sz="8" w:color="CCEEFF"/>
              <w:bottom w:val="single" w:sz="8" w:color="CCEEFF"/>
            </w:tcBorders>
            <w:gridSpan w:val="2"/>
            <w:shd w:val="clear" w:color="auto" w:fill="CCEEFF"/>
          </w:tcPr>
          <w:p>
            <w:pPr>
              <w:ind w:left="180"/>
              <w:spacing w:after="0" w:line="195" w:lineRule="exact"/>
              <w:rPr>
                <w:sz w:val="20"/>
                <w:szCs w:val="20"/>
                <w:color w:val="auto"/>
              </w:rPr>
            </w:pPr>
            <w:r>
              <w:rPr>
                <w:rFonts w:ascii="Arial" w:cs="Arial" w:eastAsia="Arial" w:hAnsi="Arial"/>
                <w:sz w:val="18"/>
                <w:szCs w:val="18"/>
                <w:b w:val="1"/>
                <w:bCs w:val="1"/>
                <w:color w:val="auto"/>
              </w:rPr>
              <w:t>GENERAL PARTNER</w:t>
            </w: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BASIC NET INCOME/(LOSS) PER LIMITED PARTNER UNIT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DILUTED NET INCOME/(LOSS) PER LIMITED PARTNER UNIT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3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3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 more –</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0" w:type="dxa"/>
            <w:vAlign w:val="bottom"/>
          </w:tcPr>
          <w:p>
            <w:pPr>
              <w:ind w:left="500"/>
              <w:spacing w:after="0"/>
              <w:rPr>
                <w:sz w:val="20"/>
                <w:szCs w:val="20"/>
                <w:color w:val="auto"/>
              </w:rPr>
            </w:pPr>
            <w:r>
              <w:rPr>
                <w:rFonts w:ascii="Arial" w:cs="Arial" w:eastAsia="Arial" w:hAnsi="Arial"/>
                <w:sz w:val="18"/>
                <w:szCs w:val="18"/>
                <w:b w:val="1"/>
                <w:bCs w:val="1"/>
                <w:color w:val="auto"/>
                <w:w w:val="99"/>
              </w:rPr>
              <w:t>333 Clay Street, Suite 1600</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Houston, Texas 77002</w:t>
            </w:r>
          </w:p>
        </w:tc>
        <w:tc>
          <w:tcPr>
            <w:tcW w:w="2620" w:type="dxa"/>
            <w:vAlign w:val="bottom"/>
            <w:gridSpan w:val="7"/>
          </w:tcPr>
          <w:p>
            <w:pPr>
              <w:jc w:val="right"/>
              <w:ind w:right="25"/>
              <w:spacing w:after="0"/>
              <w:rPr>
                <w:sz w:val="20"/>
                <w:szCs w:val="20"/>
                <w:color w:val="auto"/>
              </w:rPr>
            </w:pPr>
            <w:r>
              <w:rPr>
                <w:rFonts w:ascii="Arial" w:cs="Arial" w:eastAsia="Arial" w:hAnsi="Arial"/>
                <w:sz w:val="18"/>
                <w:szCs w:val="18"/>
                <w:b w:val="1"/>
                <w:bCs w:val="1"/>
                <w:color w:val="auto"/>
              </w:rPr>
              <w:t>713-646-4100 / 866-809-1291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Current assets</w:t>
            </w:r>
          </w:p>
        </w:tc>
        <w:tc>
          <w:tcPr>
            <w:tcW w:w="2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3,944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13,028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2,442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Linefill and base gas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Current liabilities</w:t>
            </w:r>
          </w:p>
        </w:tc>
        <w:tc>
          <w:tcPr>
            <w:tcW w:w="2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long-term debt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8,647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2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22,884</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60"/>
          </w:cols>
          <w:pgMar w:left="240" w:top="125" w:right="19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9,137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Partners’ capital</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8,705</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2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Borders>
              <w:bottom w:val="single" w:sz="8" w:color="CCEEFF"/>
            </w:tcBorders>
            <w:vMerge w:val="continue"/>
          </w:tcPr>
          <w:p>
            <w:pPr>
              <w:spacing w:after="0"/>
              <w:rPr>
                <w:sz w:val="20"/>
                <w:szCs w:val="20"/>
                <w:color w:val="auto"/>
              </w:rPr>
            </w:pPr>
          </w:p>
        </w:tc>
        <w:tc>
          <w:tcPr>
            <w:tcW w:w="22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18,757</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18,240</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3700" w:type="dxa"/>
            <w:vAlign w:val="bottom"/>
          </w:tcPr>
          <w:p>
            <w:pPr>
              <w:jc w:val="right"/>
              <w:ind w:right="550"/>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r>
      <w:tr>
        <w:trPr>
          <w:trHeight w:val="432"/>
        </w:trPr>
        <w:tc>
          <w:tcPr>
            <w:tcW w:w="474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Arial" w:cs="Arial" w:eastAsia="Arial" w:hAnsi="Arial"/>
                <w:sz w:val="18"/>
                <w:szCs w:val="18"/>
                <w:color w:val="auto"/>
              </w:rPr>
              <w:t>– more –</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700" w:type="dxa"/>
            <w:vAlign w:val="bottom"/>
          </w:tcPr>
          <w:p>
            <w:pPr>
              <w:jc w:val="right"/>
              <w:ind w:right="1210"/>
              <w:spacing w:after="0"/>
              <w:rPr>
                <w:sz w:val="20"/>
                <w:szCs w:val="20"/>
                <w:color w:val="auto"/>
              </w:rPr>
            </w:pPr>
            <w:r>
              <w:rPr>
                <w:rFonts w:ascii="Arial" w:cs="Arial" w:eastAsia="Arial" w:hAnsi="Arial"/>
                <w:sz w:val="18"/>
                <w:szCs w:val="18"/>
                <w:b w:val="1"/>
                <w:bCs w:val="1"/>
                <w:color w:val="auto"/>
                <w:w w:val="99"/>
              </w:rPr>
              <w:t>713-646-4100 / 866-809-1291</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0"/>
        </w:trPr>
        <w:tc>
          <w:tcPr>
            <w:tcW w:w="47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center"/>
              <w:ind w:left="733"/>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left="733"/>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Facilities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left="753"/>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jc w:val="center"/>
              <w:ind w:left="713"/>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Facilities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2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23" w:lineRule="exact"/>
        <w:rPr>
          <w:sz w:val="20"/>
          <w:szCs w:val="20"/>
          <w:color w:val="auto"/>
        </w:rPr>
      </w:pPr>
    </w:p>
    <w:p>
      <w:pPr>
        <w:ind w:left="20" w:right="80" w:hanging="11"/>
        <w:spacing w:after="0" w:line="250"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31750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40" w:space="500"/>
            <w:col w:w="10820"/>
          </w:cols>
          <w:pgMar w:left="240" w:top="320" w:right="199" w:bottom="0" w:gutter="0" w:footer="0" w:header="0"/>
          <w:type w:val="continuous"/>
        </w:sectPr>
      </w:pPr>
    </w:p>
    <w:bookmarkStart w:id="14" w:name="page15"/>
    <w:bookmarkEnd w:id="14"/>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380" w:type="dxa"/>
            <w:vAlign w:val="bottom"/>
            <w:gridSpan w:val="6"/>
          </w:tcPr>
          <w:p>
            <w:pPr>
              <w:ind w:lef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92"/>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2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Transportation segment (average daily volumes in thousands of barrels per day):</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Tariff activities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All American</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Basin / Mesa / Sunrise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714</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BridgeTex</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Cactus</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Manito</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Permian Basin Area Systems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Rangeland</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South Saskatchewan</w:t>
            </w: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740</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Co-Ed</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Tariff activities total</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segment 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22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 monthly</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capacity in millions of barrels)</w:t>
            </w:r>
          </w:p>
        </w:tc>
        <w:tc>
          <w:tcPr>
            <w:tcW w:w="10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Rail load / unload volumes (average volumes in thousands of barrels per day)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auto"/>
            </w:tcBorders>
          </w:tcPr>
          <w:p>
            <w:pPr>
              <w:ind w:left="760"/>
              <w:spacing w:after="0" w:line="196" w:lineRule="exact"/>
              <w:rPr>
                <w:sz w:val="20"/>
                <w:szCs w:val="20"/>
                <w:color w:val="auto"/>
              </w:rPr>
            </w:pPr>
            <w:r>
              <w:rPr>
                <w:rFonts w:ascii="Arial" w:cs="Arial" w:eastAsia="Arial" w:hAnsi="Arial"/>
                <w:sz w:val="18"/>
                <w:szCs w:val="18"/>
                <w:color w:val="auto"/>
                <w:w w:val="79"/>
              </w:rPr>
              <w:t>220</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Natural gas storage (average monthly working capacity in billions of cubic feet)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auto"/>
            </w:tcBorders>
          </w:tcPr>
          <w:p>
            <w:pPr>
              <w:ind w:left="760"/>
              <w:spacing w:after="0" w:line="196" w:lineRule="exact"/>
              <w:rPr>
                <w:sz w:val="20"/>
                <w:szCs w:val="20"/>
                <w:color w:val="auto"/>
              </w:rPr>
            </w:pPr>
            <w:r>
              <w:rPr>
                <w:rFonts w:ascii="Arial" w:cs="Arial" w:eastAsia="Arial" w:hAnsi="Arial"/>
                <w:sz w:val="18"/>
                <w:szCs w:val="18"/>
                <w:color w:val="auto"/>
                <w:w w:val="79"/>
              </w:rPr>
              <w:t>103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Facilities segment total (average monthly volumes in millions of barrels) </w:t>
            </w:r>
            <w:r>
              <w:rPr>
                <w:rFonts w:ascii="Arial" w:cs="Arial" w:eastAsia="Arial" w:hAnsi="Arial"/>
                <w:sz w:val="22"/>
                <w:szCs w:val="22"/>
                <w:color w:val="auto"/>
                <w:vertAlign w:val="superscript"/>
              </w:rPr>
              <w:t>(3)</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760"/>
              <w:spacing w:after="0" w:line="196" w:lineRule="exact"/>
              <w:rPr>
                <w:sz w:val="20"/>
                <w:szCs w:val="20"/>
                <w:color w:val="auto"/>
              </w:rPr>
            </w:pPr>
            <w:r>
              <w:rPr>
                <w:rFonts w:ascii="Arial" w:cs="Arial" w:eastAsia="Arial" w:hAnsi="Arial"/>
                <w:sz w:val="18"/>
                <w:szCs w:val="18"/>
                <w:color w:val="auto"/>
                <w:w w:val="79"/>
              </w:rPr>
              <w:t>125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Supply and Logistics segment (average daily volumes in thousands of barrels per</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Crude oil lease gathering purchases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967</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Supply and Logistics segment 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or months we employed the assets divided by the number of days or months in the period. Area systems include volumes (attributable to our interest) from our investments in unconsolidated entities.</w:t>
      </w:r>
    </w:p>
    <w:p>
      <w:pPr>
        <w:ind w:left="20" w:hanging="11"/>
        <w:spacing w:after="0" w:line="295"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6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140" w:space="500"/>
            <w:col w:w="1078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ectPr>
          <w:pgSz w:w="11900" w:h="16870" w:orient="portrait"/>
          <w:cols w:equalWidth="0" w:num="1">
            <w:col w:w="11420"/>
          </w:cols>
          <w:pgMar w:left="240" w:top="121" w:right="239" w:bottom="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right="40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6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income/(loss) attributable to limited partners</w:t>
            </w: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(1)</w:t>
            </w:r>
          </w:p>
        </w:tc>
        <w:tc>
          <w:tcPr>
            <w:tcW w:w="6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income/(loss) attributable to limited partners in accordance with application of the</w:t>
            </w: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vMerge w:val="continue"/>
            <w:shd w:val="clear" w:color="auto" w:fill="CCEEFF"/>
          </w:tcPr>
          <w:p>
            <w:pPr>
              <w:spacing w:after="0"/>
              <w:rPr>
                <w:sz w:val="15"/>
                <w:szCs w:val="15"/>
                <w:color w:val="auto"/>
              </w:rPr>
            </w:pPr>
          </w:p>
        </w:tc>
        <w:tc>
          <w:tcPr>
            <w:tcW w:w="660" w:type="dxa"/>
            <w:vAlign w:val="bottom"/>
            <w:vMerge w:val="restart"/>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78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66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income/(loss) per limited partner unit</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(0.06)</w:t>
            </w:r>
          </w:p>
        </w:tc>
        <w:tc>
          <w:tcPr>
            <w:tcW w:w="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0.45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6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income/(loss) attributable to limited partners</w:t>
            </w: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(1)</w:t>
            </w:r>
          </w:p>
        </w:tc>
        <w:tc>
          <w:tcPr>
            <w:tcW w:w="6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income/(loss) attributable to limited partners in accordance with application of the</w:t>
            </w: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vMerge w:val="continue"/>
            <w:shd w:val="clear" w:color="auto" w:fill="CCEEFF"/>
          </w:tcPr>
          <w:p>
            <w:pPr>
              <w:spacing w:after="0"/>
              <w:rPr>
                <w:sz w:val="15"/>
                <w:szCs w:val="15"/>
                <w:color w:val="auto"/>
              </w:rPr>
            </w:pPr>
          </w:p>
        </w:tc>
        <w:tc>
          <w:tcPr>
            <w:tcW w:w="660" w:type="dxa"/>
            <w:vAlign w:val="bottom"/>
            <w:vMerge w:val="restart"/>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78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66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6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income/(loss) per limited partner unit</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(0.06)</w:t>
            </w:r>
          </w:p>
        </w:tc>
        <w:tc>
          <w:tcPr>
            <w:tcW w:w="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0.45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calculate net income/(loss)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 w:lineRule="exact"/>
        <w:rPr>
          <w:sz w:val="20"/>
          <w:szCs w:val="20"/>
          <w:color w:val="auto"/>
        </w:rPr>
      </w:pPr>
    </w:p>
    <w:p>
      <w:pPr>
        <w:ind w:left="20" w:right="100" w:hanging="11"/>
        <w:spacing w:after="0" w:line="254" w:lineRule="auto"/>
        <w:rPr>
          <w:sz w:val="20"/>
          <w:szCs w:val="20"/>
          <w:color w:val="auto"/>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4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Line 901 incident</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Deferred income tax expense </w:t>
            </w:r>
            <w:r>
              <w:rPr>
                <w:rFonts w:ascii="Arial" w:cs="Arial" w:eastAsia="Arial" w:hAnsi="Arial"/>
                <w:sz w:val="23"/>
                <w:szCs w:val="23"/>
                <w:color w:val="auto"/>
                <w:vertAlign w:val="superscript"/>
              </w:rPr>
              <w:t>(5)</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6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660" w:type="dxa"/>
            <w:vAlign w:val="bottom"/>
            <w:tcBorders>
              <w:top w:val="single" w:sz="8" w:color="auto"/>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(0.33)</w:t>
            </w:r>
          </w:p>
        </w:tc>
        <w:tc>
          <w:tcPr>
            <w:tcW w:w="7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(0.06)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vMerge w:val="continue"/>
          </w:tcPr>
          <w:p>
            <w:pPr>
              <w:spacing w:after="0"/>
              <w:rPr>
                <w:sz w:val="17"/>
                <w:szCs w:val="17"/>
                <w:color w:val="auto"/>
              </w:rPr>
            </w:pPr>
          </w:p>
        </w:tc>
        <w:tc>
          <w:tcPr>
            <w:tcW w:w="6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(0.33</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2"/>
              </w:rPr>
              <w:t>(0.05</w:t>
            </w:r>
          </w:p>
        </w:tc>
        <w:tc>
          <w:tcPr>
            <w:tcW w:w="2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type w:val="continuous"/>
        </w:sectPr>
      </w:pPr>
    </w:p>
    <w:bookmarkStart w:id="16" w:name="page17"/>
    <w:bookmarkEnd w:id="16"/>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-198755</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jc w:val="both"/>
        <w:ind w:left="20" w:right="180" w:firstLine="17"/>
        <w:spacing w:after="0" w:line="250" w:lineRule="auto"/>
        <w:rPr>
          <w:sz w:val="20"/>
          <w:szCs w:val="20"/>
          <w:color w:val="auto"/>
        </w:rPr>
      </w:pPr>
      <w:r>
        <w:rPr>
          <w:rFonts w:ascii="Arial" w:cs="Arial" w:eastAsia="Arial" w:hAnsi="Arial"/>
          <w:sz w:val="18"/>
          <w:szCs w:val="18"/>
          <w:color w:val="auto"/>
        </w:rPr>
        <w:t>Includes mark-to-market and other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1" w:lineRule="exact"/>
        <w:rPr>
          <w:sz w:val="20"/>
          <w:szCs w:val="20"/>
          <w:color w:val="auto"/>
        </w:rPr>
      </w:pPr>
    </w:p>
    <w:p>
      <w:pPr>
        <w:ind w:left="20" w:right="40" w:hanging="11"/>
        <w:spacing w:after="0" w:line="265" w:lineRule="auto"/>
        <w:rPr>
          <w:sz w:val="20"/>
          <w:szCs w:val="20"/>
          <w:color w:val="auto"/>
        </w:rPr>
      </w:pPr>
      <w:r>
        <w:rPr>
          <w:rFonts w:ascii="Arial" w:cs="Arial" w:eastAsia="Arial" w:hAnsi="Arial"/>
          <w:sz w:val="17"/>
          <w:szCs w:val="17"/>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See Note 5 to our Consolidated Financial Statements included in Part IV of our 2014 Annual Report on Form 10-K for a complete discussion of our long-term inventory.</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 Includes the initial cumulative effect of the recent change in Canadian tax legislation.</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57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6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attributable to limited partners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0.27</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attributable to limited partners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0.27</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71"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calculate adjusted net income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57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Page 14</w:t>
      </w:r>
    </w:p>
    <w:p>
      <w:pPr>
        <w:sectPr>
          <w:pgSz w:w="11900" w:h="16838" w:orient="portrait"/>
          <w:cols w:equalWidth="0" w:num="1">
            <w:col w:w="11420"/>
          </w:cols>
          <w:pgMar w:left="240" w:top="571" w:right="239" w:bottom="0" w:gutter="0" w:footer="0" w:header="0"/>
          <w:type w:val="continuous"/>
        </w:sectPr>
      </w:pPr>
    </w:p>
    <w:bookmarkStart w:id="17" w:name="page18"/>
    <w:bookmarkEnd w:id="1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5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w:t>
            </w: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 and Excluding Selected Items Impacting Comparability</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 Reconciliations</w:t>
            </w: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124</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Interest expense, net</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Add: Income tax expense</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EBITDA</w:t>
            </w:r>
          </w:p>
        </w:tc>
        <w:tc>
          <w:tcPr>
            <w:tcW w:w="720" w:type="dxa"/>
            <w:vAlign w:val="bottom"/>
            <w:tcBorders>
              <w:top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492</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512</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 Reconciliation</w:t>
            </w: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65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(2)</w:t>
            </w: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367</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distributions that pertain to the current period’s net income, which are paid in the subsequent period.</w:t>
      </w:r>
    </w:p>
    <w:p>
      <w:pPr>
        <w:spacing w:after="0" w:line="23" w:lineRule="exact"/>
        <w:rPr>
          <w:sz w:val="20"/>
          <w:szCs w:val="20"/>
          <w:color w:val="auto"/>
        </w:rPr>
      </w:pPr>
    </w:p>
    <w:p>
      <w:pPr>
        <w:ind w:left="20" w:right="60" w:hanging="11"/>
        <w:spacing w:after="0" w:line="261" w:lineRule="auto"/>
        <w:rPr>
          <w:sz w:val="20"/>
          <w:szCs w:val="20"/>
          <w:color w:val="auto"/>
        </w:rPr>
      </w:pPr>
      <w:r>
        <w:rPr>
          <w:rFonts w:ascii="Arial" w:cs="Arial" w:eastAsia="Arial" w:hAnsi="Arial"/>
          <w:sz w:val="18"/>
          <w:szCs w:val="18"/>
          <w:color w:val="auto"/>
        </w:rPr>
        <w:t>Including costs of $65 million related to our Line 901 incident that occurred during May 2015, Implied DCF would have been $241 million and $684 million for the three and six months ended June 30, 2015, respectively.</w:t>
      </w:r>
    </w:p>
    <w:p>
      <w:pPr>
        <w:spacing w:after="0" w:line="163" w:lineRule="exact"/>
        <w:rPr>
          <w:sz w:val="20"/>
          <w:szCs w:val="20"/>
          <w:color w:val="auto"/>
        </w:rPr>
      </w:pPr>
    </w:p>
    <w:p>
      <w:pPr>
        <w:sectPr>
          <w:pgSz w:w="11900" w:h="16900" w:orient="portrait"/>
          <w:cols w:equalWidth="0" w:num="2">
            <w:col w:w="140" w:space="500"/>
            <w:col w:w="10820"/>
          </w:cols>
          <w:pgMar w:left="240" w:top="337" w:right="19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Net Cash Provided by Operating Activities Reconciliation</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EBITDA</w:t>
            </w:r>
          </w:p>
        </w:tc>
        <w:tc>
          <w:tcPr>
            <w:tcW w:w="19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assets and liabilities, net of acquisitions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cash provided by/(used in) operating activities</w:t>
            </w:r>
          </w:p>
        </w:tc>
        <w:tc>
          <w:tcPr>
            <w:tcW w:w="19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vMerge w:val="restart"/>
          </w:tcPr>
          <w:p>
            <w:pPr>
              <w:ind w:left="780"/>
              <w:spacing w:after="0"/>
              <w:rPr>
                <w:sz w:val="20"/>
                <w:szCs w:val="20"/>
                <w:color w:val="auto"/>
              </w:rPr>
            </w:pPr>
            <w:r>
              <w:rPr>
                <w:rFonts w:ascii="Arial" w:cs="Arial" w:eastAsia="Arial" w:hAnsi="Arial"/>
                <w:sz w:val="18"/>
                <w:szCs w:val="18"/>
                <w:color w:val="auto"/>
              </w:rPr>
              <w:t>– more –</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00" w:type="dxa"/>
            <w:vAlign w:val="bottom"/>
          </w:tcPr>
          <w:p>
            <w:pPr>
              <w:ind w:left="200"/>
              <w:spacing w:after="0"/>
              <w:rPr>
                <w:sz w:val="20"/>
                <w:szCs w:val="20"/>
                <w:color w:val="auto"/>
              </w:rPr>
            </w:pPr>
            <w:r>
              <w:rPr>
                <w:rFonts w:ascii="Arial" w:cs="Arial" w:eastAsia="Arial" w:hAnsi="Arial"/>
                <w:sz w:val="18"/>
                <w:szCs w:val="18"/>
                <w:b w:val="1"/>
                <w:bCs w:val="1"/>
                <w:color w:val="auto"/>
                <w:w w:val="88"/>
              </w:rPr>
              <w:t>Houston, Texas 77002</w:t>
            </w:r>
          </w:p>
        </w:tc>
        <w:tc>
          <w:tcPr>
            <w:tcW w:w="240" w:type="dxa"/>
            <w:vAlign w:val="bottom"/>
          </w:tcPr>
          <w:p>
            <w:pPr>
              <w:spacing w:after="0"/>
              <w:rPr>
                <w:sz w:val="20"/>
                <w:szCs w:val="20"/>
                <w:color w:val="auto"/>
              </w:rPr>
            </w:pPr>
          </w:p>
        </w:tc>
        <w:tc>
          <w:tcPr>
            <w:tcW w:w="2520" w:type="dxa"/>
            <w:vAlign w:val="bottom"/>
            <w:gridSpan w:val="7"/>
          </w:tcPr>
          <w:p>
            <w:pPr>
              <w:jc w:val="right"/>
              <w:ind w:right="85"/>
              <w:spacing w:after="0"/>
              <w:rPr>
                <w:sz w:val="20"/>
                <w:szCs w:val="20"/>
                <w:color w:val="auto"/>
              </w:rPr>
            </w:pPr>
            <w:r>
              <w:rPr>
                <w:rFonts w:ascii="Arial" w:cs="Arial" w:eastAsia="Arial" w:hAnsi="Arial"/>
                <w:sz w:val="18"/>
                <w:szCs w:val="18"/>
                <w:b w:val="1"/>
                <w:bCs w:val="1"/>
                <w:color w:val="auto"/>
                <w:w w:val="97"/>
              </w:rPr>
              <w:t>713-646-4100 / 866-809-1291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2"/>
              </w:rPr>
              <w:t>June 30, 2014</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9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2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5,848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5,848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10,280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7"/>
              </w:rPr>
              <w:t>General and administrative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type w:val="continuous"/>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209</w:t>
            </w:r>
          </w:p>
        </w:tc>
        <w:tc>
          <w:tcPr>
            <w:tcW w:w="8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365</w:t>
            </w:r>
          </w:p>
        </w:tc>
        <w:tc>
          <w:tcPr>
            <w:tcW w:w="4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earnings in unconsolidated entities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8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(18)</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(21)</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(73)</w:t>
            </w:r>
          </w:p>
        </w:tc>
        <w:tc>
          <w:tcPr>
            <w:tcW w:w="36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880" w:type="dxa"/>
            <w:vAlign w:val="bottom"/>
            <w:vMerge w:val="restart"/>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99"/>
              </w:rPr>
              <w:t>(94)</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287</w:t>
            </w: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0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40" w:type="dxa"/>
            <w:vAlign w:val="bottom"/>
            <w:tcBorders>
              <w:right w:val="single" w:sz="8" w:color="auto"/>
            </w:tcBorders>
            <w:gridSpan w:val="2"/>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8"/>
              </w:rPr>
              <w:t>BASIC WEIGHTED AVERAGE CLASS A SHARES OUTSTANDING</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4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2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10,890</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10,890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12,030</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earnings in unconsolidated entities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407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(642)</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80" w:type="dxa"/>
            <w:vAlign w:val="bottom"/>
            <w:tcBorders>
              <w:right w:val="single" w:sz="8" w:color="auto"/>
            </w:tcBorders>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9" w:name="page20"/>
    <w:bookmarkEnd w:id="19"/>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0.28</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0.27</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218</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606</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right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3,946</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13,048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22,884</w:t>
            </w: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24,754</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4,475</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discount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8,759</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8,759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9"/>
              </w:rPr>
              <w:t>Other long-term liabilities and deferred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credits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8,647</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8,213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60"/>
              <w:spacing w:after="0" w:line="182" w:lineRule="exact"/>
              <w:rPr>
                <w:sz w:val="20"/>
                <w:szCs w:val="20"/>
                <w:color w:val="auto"/>
              </w:rPr>
            </w:pPr>
            <w:r>
              <w:rPr>
                <w:rFonts w:ascii="Arial" w:cs="Arial" w:eastAsia="Arial" w:hAnsi="Arial"/>
                <w:sz w:val="18"/>
                <w:szCs w:val="18"/>
                <w:color w:val="auto"/>
              </w:rPr>
              <w:t>Total liabilities and partners’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22,884</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Pr>
          <w:p>
            <w:pPr>
              <w:spacing w:after="0"/>
              <w:rPr>
                <w:sz w:val="15"/>
                <w:szCs w:val="15"/>
                <w:color w:val="auto"/>
              </w:rPr>
            </w:pP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24,754</w:t>
            </w:r>
          </w:p>
        </w:tc>
        <w:tc>
          <w:tcPr>
            <w:tcW w:w="46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22,256</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1,727</w:t>
            </w: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23,983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Pr>
          <w:p>
            <w:pPr>
              <w:ind w:left="540"/>
              <w:spacing w:after="0"/>
              <w:rPr>
                <w:sz w:val="20"/>
                <w:szCs w:val="20"/>
                <w:color w:val="auto"/>
              </w:rPr>
            </w:pPr>
            <w:r>
              <w:rPr>
                <w:rFonts w:ascii="Arial" w:cs="Arial" w:eastAsia="Arial" w:hAnsi="Arial"/>
                <w:sz w:val="18"/>
                <w:szCs w:val="18"/>
                <w:color w:val="auto"/>
              </w:rPr>
              <w:t>capital</w:t>
            </w:r>
          </w:p>
        </w:tc>
        <w:tc>
          <w:tcPr>
            <w:tcW w:w="26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60" w:type="dxa"/>
            <w:vAlign w:val="bottom"/>
            <w:tcBorders>
              <w:right w:val="single" w:sz="8" w:color="auto"/>
            </w:tcBorders>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2015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 xml:space="preserve">Q2 2015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60" w:orient="portrait"/>
          <w:cols w:equalWidth="0" w:num="1">
            <w:col w:w="11420"/>
          </w:cols>
          <w:pgMar w:left="240" w:top="356" w:right="2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0.3822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7/31/15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Debt Service</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G&amp;A Expense</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AAP Owners &amp; AAP Management (65.6% economic interest)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PAGP (34.4% economic interest)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7/31/15</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262"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AAP, L.P. (“AAP”) is the general partner of PAA.</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jc w:val="right"/>
        <w:ind w:right="2340"/>
        <w:spacing w:after="0"/>
        <w:tabs>
          <w:tab w:leader="none" w:pos="4280" w:val="left"/>
          <w:tab w:leader="none" w:pos="216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820"/>
          </w:cols>
          <w:pgMar w:left="240" w:top="140" w:right="199" w:bottom="26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PAGP</w:t>
            </w:r>
          </w:p>
        </w:tc>
        <w:tc>
          <w:tcPr>
            <w:tcW w:w="6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6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PAGP</w:t>
            </w:r>
          </w:p>
        </w:tc>
        <w:tc>
          <w:tcPr>
            <w:tcW w:w="6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Incremental net income attributable to PAGP resulting from assumed exchange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AAP units</w:t>
            </w:r>
          </w:p>
        </w:tc>
        <w:tc>
          <w:tcPr>
            <w:tcW w:w="6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00" w:type="dxa"/>
            <w:vAlign w:val="bottom"/>
            <w:gridSpan w:val="4"/>
          </w:tcPr>
          <w:p>
            <w:pPr>
              <w:ind w:left="180"/>
              <w:spacing w:after="0" w:line="169" w:lineRule="exact"/>
              <w:rPr>
                <w:sz w:val="20"/>
                <w:szCs w:val="20"/>
                <w:color w:val="auto"/>
              </w:rPr>
            </w:pPr>
            <w:r>
              <w:rPr>
                <w:rFonts w:ascii="Arial" w:cs="Arial" w:eastAsia="Arial" w:hAnsi="Arial"/>
                <w:sz w:val="18"/>
                <w:szCs w:val="18"/>
                <w:color w:val="auto"/>
                <w:w w:val="97"/>
              </w:rPr>
              <w:t>Net income attributable to PAGP including incremental net income from assumed</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tcPr>
          <w:p>
            <w:pPr>
              <w:ind w:left="360"/>
              <w:spacing w:after="0"/>
              <w:rPr>
                <w:sz w:val="20"/>
                <w:szCs w:val="20"/>
                <w:color w:val="auto"/>
              </w:rPr>
            </w:pPr>
            <w:r>
              <w:rPr>
                <w:rFonts w:ascii="Arial" w:cs="Arial" w:eastAsia="Arial" w:hAnsi="Arial"/>
                <w:sz w:val="18"/>
                <w:szCs w:val="18"/>
                <w:color w:val="auto"/>
              </w:rPr>
              <w:t>exchange of AAP units</w:t>
            </w:r>
          </w:p>
        </w:tc>
        <w:tc>
          <w:tcPr>
            <w:tcW w:w="640" w:type="dxa"/>
            <w:vAlign w:val="bottom"/>
          </w:tcPr>
          <w:p>
            <w:pPr>
              <w:spacing w:after="0"/>
              <w:rPr>
                <w:sz w:val="23"/>
                <w:szCs w:val="23"/>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7"/>
              </w:rPr>
              <w:t>Dilutive shares resulting from assumed exchange of AAP units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6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Diluted net income per Class A share</w:t>
            </w:r>
          </w:p>
        </w:tc>
        <w:tc>
          <w:tcPr>
            <w:tcW w:w="6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Contacts:</w:t>
            </w: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600" w:type="dxa"/>
            <w:vAlign w:val="bottom"/>
            <w:gridSpan w:val="3"/>
          </w:tcPr>
          <w:p>
            <w:pPr>
              <w:spacing w:after="0"/>
              <w:rPr>
                <w:sz w:val="20"/>
                <w:szCs w:val="20"/>
                <w:color w:val="auto"/>
              </w:rPr>
            </w:pPr>
            <w:r>
              <w:rPr>
                <w:rFonts w:ascii="Arial" w:cs="Arial" w:eastAsia="Arial" w:hAnsi="Arial"/>
                <w:sz w:val="18"/>
                <w:szCs w:val="18"/>
                <w:color w:val="auto"/>
              </w:rPr>
              <w:t>Ryan Smith</w:t>
            </w:r>
          </w:p>
        </w:tc>
        <w:tc>
          <w:tcPr>
            <w:tcW w:w="640" w:type="dxa"/>
            <w:vAlign w:val="bottom"/>
          </w:tcPr>
          <w:p>
            <w:pPr>
              <w:spacing w:after="0"/>
              <w:rPr>
                <w:sz w:val="24"/>
                <w:szCs w:val="24"/>
                <w:color w:val="auto"/>
              </w:rPr>
            </w:pP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Al Swanson</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Director, Investor Relations</w:t>
            </w:r>
          </w:p>
        </w:tc>
        <w:tc>
          <w:tcPr>
            <w:tcW w:w="640" w:type="dxa"/>
            <w:vAlign w:val="bottom"/>
          </w:tcPr>
          <w:p>
            <w:pPr>
              <w:spacing w:after="0"/>
              <w:rPr>
                <w:sz w:val="18"/>
                <w:szCs w:val="18"/>
                <w:color w:val="auto"/>
              </w:rPr>
            </w:pPr>
          </w:p>
        </w:tc>
        <w:tc>
          <w:tcPr>
            <w:tcW w:w="2820" w:type="dxa"/>
            <w:vAlign w:val="bottom"/>
            <w:gridSpan w:val="6"/>
          </w:tcPr>
          <w:p>
            <w:pPr>
              <w:ind w:left="480"/>
              <w:spacing w:after="0"/>
              <w:rPr>
                <w:sz w:val="20"/>
                <w:szCs w:val="20"/>
                <w:color w:val="auto"/>
              </w:rPr>
            </w:pPr>
            <w:r>
              <w:rPr>
                <w:rFonts w:ascii="Arial" w:cs="Arial" w:eastAsia="Arial" w:hAnsi="Arial"/>
                <w:sz w:val="18"/>
                <w:szCs w:val="18"/>
                <w:color w:val="auto"/>
                <w:w w:val="93"/>
              </w:rPr>
              <w:t>Executive Vice President, CFO</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(866) 809-1291</w:t>
            </w:r>
          </w:p>
        </w:tc>
        <w:tc>
          <w:tcPr>
            <w:tcW w:w="640" w:type="dxa"/>
            <w:vAlign w:val="bottom"/>
          </w:tcPr>
          <w:p>
            <w:pPr>
              <w:spacing w:after="0"/>
              <w:rPr>
                <w:sz w:val="20"/>
                <w:szCs w:val="20"/>
                <w:color w:val="auto"/>
              </w:rPr>
            </w:pP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w w:val="90"/>
              </w:rPr>
              <w:t>(800) 564-3036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8"/>
              </w:rPr>
              <w:t>Houston, Texas 77002</w:t>
            </w:r>
          </w:p>
        </w:tc>
        <w:tc>
          <w:tcPr>
            <w:tcW w:w="2420" w:type="dxa"/>
            <w:vAlign w:val="bottom"/>
            <w:gridSpan w:val="7"/>
          </w:tcPr>
          <w:p>
            <w:pPr>
              <w:jc w:val="right"/>
              <w:ind w:right="85"/>
              <w:spacing w:after="0"/>
              <w:rPr>
                <w:sz w:val="20"/>
                <w:szCs w:val="20"/>
                <w:color w:val="auto"/>
              </w:rPr>
            </w:pPr>
            <w:r>
              <w:rPr>
                <w:rFonts w:ascii="Arial" w:cs="Arial" w:eastAsia="Arial" w:hAnsi="Arial"/>
                <w:sz w:val="18"/>
                <w:szCs w:val="18"/>
                <w:b w:val="1"/>
                <w:bCs w:val="1"/>
                <w:color w:val="auto"/>
                <w:w w:val="93"/>
              </w:rPr>
              <w:t>713-646-4100 / 866-809-1291</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2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decimal"/>
      <w:start w:val="2"/>
    </w:lvl>
    <w:lvl w:ilvl="1">
      <w:lvlJc w:val="left"/>
      <w:lvlText w:val="%2"/>
      <w:numFmt w:val="lowerLetter"/>
      <w:start w:val="1"/>
    </w:lvl>
  </w:abstractNum>
  <w:abstractNum w:abstractNumId="2">
    <w:nsid w:val="1F16E9E8"/>
    <w:multiLevelType w:val="hybridMultilevel"/>
    <w:lvl w:ilvl="0">
      <w:lvlJc w:val="left"/>
      <w:lvlText w:val="%1"/>
      <w:numFmt w:val="lowerLetter"/>
      <w:start w:val="1"/>
    </w:lvl>
    <w:lvl w:ilvl="1">
      <w:lvlJc w:val="left"/>
      <w:lvlText w:val="(%2)"/>
      <w:numFmt w:val="decimal"/>
      <w:start w:val="1"/>
    </w:lvl>
  </w:abstractNum>
  <w:abstractNum w:abstractNumId="3">
    <w:nsid w:val="1190CDE7"/>
    <w:multiLevelType w:val="hybridMultilevel"/>
    <w:lvl w:ilvl="0">
      <w:lvlJc w:val="left"/>
      <w:lvlText w:val="%1."/>
      <w:numFmt w:val="lowerLetter"/>
      <w:start w:val="2"/>
    </w:lvl>
    <w:lvl w:ilvl="1">
      <w:lvlJc w:val="left"/>
      <w:lvlText w:val="%2"/>
      <w:numFmt w:val="decimal"/>
      <w:start w:val="1"/>
    </w:lvl>
  </w:abstractNum>
  <w:abstractNum w:abstractNumId="4">
    <w:nsid w:val="66EF438D"/>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5">
    <w:nsid w:val="140E0F76"/>
    <w:multiLevelType w:val="hybridMultilevel"/>
    <w:lvl w:ilvl="0">
      <w:lvlJc w:val="left"/>
      <w:lvlText w:val="%1"/>
      <w:numFmt w:val="decimal"/>
      <w:start w:val="1"/>
    </w:lvl>
    <w:lvl w:ilvl="1">
      <w:lvlJc w:val="left"/>
      <w:lvlText w:val="(%2)"/>
      <w:numFmt w:val="decimal"/>
      <w:start w:val="1"/>
    </w:lvl>
  </w:abstractNum>
  <w:abstractNum w:abstractNumId="6">
    <w:nsid w:val="3352255A"/>
    <w:multiLevelType w:val="hybridMultilevel"/>
    <w:lvl w:ilvl="0">
      <w:lvlJc w:val="left"/>
      <w:lvlText w:val="%1."/>
      <w:numFmt w:val="decimal"/>
      <w:start w:val="3"/>
    </w:lvl>
    <w:lvl w:ilvl="1">
      <w:lvlJc w:val="left"/>
      <w:lvlText w:val="%2"/>
      <w:numFmt w:val="decimal"/>
      <w:start w:val="1"/>
    </w:lvl>
  </w:abstractNum>
  <w:abstractNum w:abstractNumId="7">
    <w:nsid w:val="109CF92E"/>
    <w:multiLevelType w:val="hybridMultilevel"/>
    <w:lvl w:ilvl="0">
      <w:lvlJc w:val="left"/>
      <w:lvlText w:val="(%1)"/>
      <w:numFmt w:val="decimal"/>
      <w:start w:val="1"/>
    </w:lvl>
    <w:lvl w:ilvl="1">
      <w:lvlJc w:val="left"/>
      <w:lvlText w:val="(%2)"/>
      <w:numFmt w:val="lowerRoman"/>
      <w:start w:val="3"/>
    </w:lvl>
  </w:abstractNum>
  <w:abstractNum w:abstractNumId="8">
    <w:nsid w:val="DED7263"/>
    <w:multiLevelType w:val="hybridMultilevel"/>
    <w:lvl w:ilvl="0">
      <w:lvlJc w:val="left"/>
      <w:lvlText w:val="%1."/>
      <w:numFmt w:val="decimal"/>
      <w:start w:val="5"/>
    </w:lvl>
    <w:lvl w:ilvl="1">
      <w:lvlJc w:val="left"/>
      <w:lvlText w:val="%2."/>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2020-01-24T04:22:15Z</dcterms:created>
  <dcterms:modified xsi:type="dcterms:W3CDTF">2020-01-24T04:22:15Z</dcterms:modified>
</cp:coreProperties>
</file>