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0-19173_110q.htm"/>
        <w:bookmarkStart w:id="1" w:name="ksa1019173_110q"/>
        <w:bookmarkEnd w:id="0"/>
        <w:bookmarkEnd w:id="1"/>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x</w:t>
      </w:r>
      <w:r>
        <w:rPr>
          <w:rFonts w:ascii="Times New Roman" w:hAnsi="Times New Roman"/>
          <w:sz w:val="20"/>
        </w:rPr>
        <w:t xml:space="preserve">               </w:t>
      </w:r>
      <w:r>
        <w:rPr>
          <w:rFonts w:ascii="Times New Roman" w:hAnsi="Times New Roman"/>
          <w:b/>
          <w:sz w:val="20"/>
        </w:rPr>
        <w:t>QUARTERLY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September 30,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Wingdings" w:hAnsi="Wingdings"/>
          <w:b/>
          <w:sz w:val="20"/>
        </w:rPr>
        <w:t>o</w:t>
      </w:r>
      <w:r>
        <w:rPr>
          <w:rFonts w:ascii="Times New Roman" w:hAnsi="Times New Roman"/>
          <w:sz w:val="20"/>
        </w:rPr>
        <w:t xml:space="preserve">                  </w:t>
      </w:r>
      <w:r>
        <w:rPr>
          <w:rFonts w:ascii="Times New Roman" w:hAnsi="Times New Roman"/>
          <w:b/>
          <w:sz w:val="20"/>
        </w:rPr>
        <w:t>TRANSITION REPORT 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 xml:space="preserve">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 xml:space="preserve">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38"/>
        <w:gridCol w:w="213"/>
        <w:gridCol w:w="2020"/>
        <w:gridCol w:w="212"/>
        <w:gridCol w:w="2552"/>
        <w:gridCol w:w="318"/>
        <w:gridCol w:w="2552"/>
      </w:tblGrid>
      <w:tr>
        <w:trPr/>
        <w:tc>
          <w:tcPr>
            <w:tcW w:w="2338"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13" w:type="dxa"/>
            <w:tcBorders/>
            <w:shd w:fill="auto" w:val="clear"/>
            <w:vAlign w:val="bottom"/>
          </w:tcPr>
          <w:p>
            <w:pPr>
              <w:pStyle w:val="TableContents"/>
              <w:spacing w:before="0" w:after="0"/>
              <w:ind w:left="0" w:right="0" w:hanging="0"/>
              <w:jc w:val="center"/>
              <w:rPr/>
            </w:pPr>
            <w:r>
              <w:rPr/>
              <w:t> </w:t>
            </w:r>
          </w:p>
        </w:tc>
        <w:tc>
          <w:tcPr>
            <w:tcW w:w="2020"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c>
          <w:tcPr>
            <w:tcW w:w="212" w:type="dxa"/>
            <w:tcBorders/>
            <w:shd w:fill="auto" w:val="clear"/>
            <w:vAlign w:val="bottom"/>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318" w:type="dxa"/>
            <w:tcBorders/>
            <w:shd w:fill="auto" w:val="clear"/>
            <w:vAlign w:val="bottom"/>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2338" w:type="dxa"/>
            <w:tcBorders/>
            <w:shd w:fill="auto" w:val="clear"/>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020" w:type="dxa"/>
            <w:tcBorders/>
            <w:shd w:fill="auto" w:val="clear"/>
          </w:tcPr>
          <w:p>
            <w:pPr>
              <w:pStyle w:val="TableContents"/>
              <w:spacing w:before="0" w:after="0"/>
              <w:ind w:left="0" w:right="0" w:hanging="0"/>
              <w:jc w:val="center"/>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w:t>
              <w:br/>
              <w:t>reporting company)</w:t>
            </w:r>
          </w:p>
        </w:tc>
        <w:tc>
          <w:tcPr>
            <w:tcW w:w="318" w:type="dxa"/>
            <w:tcBorders/>
            <w:shd w:fill="auto" w:val="clear"/>
            <w:vAlign w:val="bottom"/>
          </w:tcPr>
          <w:p>
            <w:pPr>
              <w:pStyle w:val="TableContents"/>
              <w:spacing w:before="0" w:after="0"/>
              <w:ind w:left="0" w:right="0" w:hanging="0"/>
              <w:jc w:val="center"/>
              <w:rPr/>
            </w:pPr>
            <w:r>
              <w:rPr/>
              <w:t> </w:t>
            </w:r>
          </w:p>
        </w:tc>
        <w:tc>
          <w:tcPr>
            <w:tcW w:w="255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is a shell company (as defined in Rule 12b-2 of the Exchange Act).    </w:t>
      </w:r>
      <w:r>
        <w:rPr>
          <w:rFonts w:ascii="Wingdings" w:hAnsi="Wingdings"/>
          <w:sz w:val="17"/>
        </w:rPr>
        <w:t>o</w:t>
      </w:r>
      <w:r>
        <w:rPr>
          <w:rFonts w:ascii="Times New Roman" w:hAnsi="Times New Roman"/>
        </w:rPr>
        <w:t>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November 1, 2010, there were 136,419,175 Common Units outstanding. The common units trade on the New York Stock Exchange under the ticker symbol PAA.</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287"/>
        <w:gridCol w:w="204"/>
        <w:gridCol w:w="714"/>
      </w:tblGrid>
      <w:tr>
        <w:trPr/>
        <w:tc>
          <w:tcPr>
            <w:tcW w:w="9287" w:type="dxa"/>
            <w:tcBorders/>
            <w:shd w:fill="auto" w:val="clear"/>
            <w:vAlign w:val="bottom"/>
          </w:tcPr>
          <w:p>
            <w:pPr>
              <w:pStyle w:val="TableContents"/>
              <w:spacing w:before="0" w:after="0"/>
              <w:ind w:left="0" w:right="0" w:hanging="0"/>
              <w:rPr/>
            </w:pPr>
            <w:r>
              <w:rPr/>
              <w:t> </w:t>
            </w:r>
          </w:p>
        </w:tc>
        <w:tc>
          <w:tcPr>
            <w:tcW w:w="204" w:type="dxa"/>
            <w:tcBorders/>
            <w:shd w:fill="auto" w:val="clear"/>
          </w:tcPr>
          <w:p>
            <w:pPr>
              <w:pStyle w:val="TableContents"/>
              <w:spacing w:before="0" w:after="0"/>
              <w:ind w:left="0" w:right="0" w:hanging="0"/>
              <w:rPr/>
            </w:pPr>
            <w:r>
              <w:rPr/>
              <w:t> </w:t>
            </w:r>
          </w:p>
        </w:tc>
        <w:tc>
          <w:tcPr>
            <w:tcW w:w="71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287" w:type="dxa"/>
            <w:tcBorders/>
            <w:shd w:fill="auto" w:val="clear"/>
          </w:tcPr>
          <w:p>
            <w:pPr>
              <w:pStyle w:val="TableContents"/>
              <w:spacing w:before="0" w:after="0"/>
              <w:ind w:left="0" w:right="0" w:hanging="0"/>
              <w:rPr/>
            </w:pPr>
            <w:hyperlink w:anchor="Parti_FinancialInformation_122025">
              <w:r>
                <w:rPr>
                  <w:rStyle w:val="InternetLink"/>
                  <w:rFonts w:ascii="Times New Roman" w:hAnsi="Times New Roman"/>
                  <w:b/>
                  <w:sz w:val="17"/>
                </w:rPr>
                <w:t>PART I. FINANCIAL INFORMATION</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287" w:type="dxa"/>
            <w:tcBorders/>
            <w:shd w:fill="auto" w:val="clear"/>
          </w:tcPr>
          <w:p>
            <w:pPr>
              <w:pStyle w:val="TableContents"/>
              <w:spacing w:before="0" w:after="0"/>
              <w:ind w:left="0" w:right="0" w:hanging="0"/>
              <w:rPr/>
            </w:pPr>
            <w:hyperlink w:anchor="Item1_UnauditedCondensedConsolida_122029">
              <w:r>
                <w:rPr>
                  <w:rStyle w:val="InternetLink"/>
                  <w:rFonts w:ascii="Times New Roman" w:hAnsi="Times New Roman"/>
                  <w:sz w:val="17"/>
                </w:rPr>
                <w:t>Item 1. UNAUDITED CONDENSED CONSOLIDATED FINANCIAL STATEMENTS: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287" w:type="dxa"/>
            <w:tcBorders/>
            <w:shd w:fill="auto" w:val="clear"/>
          </w:tcPr>
          <w:p>
            <w:pPr>
              <w:pStyle w:val="TableContents"/>
              <w:spacing w:before="0" w:after="0"/>
              <w:ind w:left="0" w:right="0" w:hanging="0"/>
              <w:rPr/>
            </w:pPr>
            <w:hyperlink w:anchor="CondensedConsolidatedBalanceSheet_122033">
              <w:r>
                <w:rPr>
                  <w:rStyle w:val="InternetLink"/>
                  <w:rFonts w:ascii="Times New Roman" w:hAnsi="Times New Roman"/>
                  <w:sz w:val="17"/>
                </w:rPr>
                <w:t>Condensed Consolidated Balance Sheets: September 30, 2010 and December 31, 2009</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287" w:type="dxa"/>
            <w:tcBorders/>
            <w:shd w:fill="auto" w:val="clear"/>
          </w:tcPr>
          <w:p>
            <w:pPr>
              <w:pStyle w:val="TableContents"/>
              <w:spacing w:before="0" w:after="0"/>
              <w:ind w:left="0" w:right="0" w:hanging="0"/>
              <w:rPr/>
            </w:pPr>
            <w:hyperlink w:anchor="CondensedConsolidatedStatementsOf_122351">
              <w:r>
                <w:rPr>
                  <w:rStyle w:val="InternetLink"/>
                  <w:rFonts w:ascii="Times New Roman" w:hAnsi="Times New Roman"/>
                  <w:sz w:val="17"/>
                </w:rPr>
                <w:t>Condensed Consolidated Statements of Operations: For the three and nine months ended September 30, 2010 and 2009</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287" w:type="dxa"/>
            <w:tcBorders/>
            <w:shd w:fill="auto" w:val="clear"/>
          </w:tcPr>
          <w:p>
            <w:pPr>
              <w:pStyle w:val="TableContents"/>
              <w:spacing w:before="0" w:after="0"/>
              <w:ind w:left="0" w:right="0" w:hanging="0"/>
              <w:rPr/>
            </w:pPr>
            <w:hyperlink w:anchor="CondensedConsolidatedStatementsOf_123001">
              <w:r>
                <w:rPr>
                  <w:rStyle w:val="InternetLink"/>
                  <w:rFonts w:ascii="Times New Roman" w:hAnsi="Times New Roman"/>
                  <w:sz w:val="17"/>
                </w:rPr>
                <w:t>Condensed Consolidated Statements of Cash Flows: For the nine months ended September 30, 2010 and 2009</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287" w:type="dxa"/>
            <w:tcBorders/>
            <w:shd w:fill="auto" w:val="clear"/>
          </w:tcPr>
          <w:p>
            <w:pPr>
              <w:pStyle w:val="TableContents"/>
              <w:spacing w:before="0" w:after="0"/>
              <w:ind w:left="0" w:right="0" w:hanging="0"/>
              <w:rPr/>
            </w:pPr>
            <w:hyperlink w:anchor="CondensedConsolidatedStatementOfP_123308">
              <w:r>
                <w:rPr>
                  <w:rStyle w:val="InternetLink"/>
                  <w:rFonts w:ascii="Times New Roman" w:hAnsi="Times New Roman"/>
                  <w:sz w:val="17"/>
                </w:rPr>
                <w:t>Condensed Consolidated Statement of Partners Capital: For the nine months ended September 30, 2010</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287" w:type="dxa"/>
            <w:tcBorders/>
            <w:shd w:fill="auto" w:val="clear"/>
          </w:tcPr>
          <w:p>
            <w:pPr>
              <w:pStyle w:val="TableContents"/>
              <w:spacing w:before="0" w:after="0"/>
              <w:ind w:left="0" w:right="0" w:hanging="0"/>
              <w:rPr/>
            </w:pPr>
            <w:hyperlink w:anchor="CondensedConsolidatedStatementsOf_123530">
              <w:r>
                <w:rPr>
                  <w:rStyle w:val="InternetLink"/>
                  <w:rFonts w:ascii="Times New Roman" w:hAnsi="Times New Roman"/>
                  <w:sz w:val="17"/>
                </w:rPr>
                <w:t>Condensed Consolidated Statements of Comprehensive Income: For the three and nine months ended September 30, 2010 and 2009</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287" w:type="dxa"/>
            <w:tcBorders/>
            <w:shd w:fill="auto" w:val="clear"/>
          </w:tcPr>
          <w:p>
            <w:pPr>
              <w:pStyle w:val="TableContents"/>
              <w:spacing w:before="0" w:after="0"/>
              <w:ind w:left="0" w:right="0" w:hanging="0"/>
              <w:rPr/>
            </w:pPr>
            <w:hyperlink w:anchor="CondensedConsolidatedStatementOf_123936">
              <w:r>
                <w:rPr>
                  <w:rStyle w:val="InternetLink"/>
                  <w:rFonts w:ascii="Times New Roman" w:hAnsi="Times New Roman"/>
                  <w:sz w:val="17"/>
                </w:rPr>
                <w:t>Condensed Consolidated Statement of Changes in Accumulated Other Comprehensive Income: For the nine months ended September 30, 2010</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287" w:type="dxa"/>
            <w:tcBorders/>
            <w:shd w:fill="auto" w:val="clear"/>
          </w:tcPr>
          <w:p>
            <w:pPr>
              <w:pStyle w:val="TableContents"/>
              <w:spacing w:before="0" w:after="0"/>
              <w:ind w:left="0" w:right="0" w:hanging="0"/>
              <w:rPr/>
            </w:pPr>
            <w:hyperlink w:anchor="NotesToTheCondensedConsolidatedFi_124409">
              <w:r>
                <w:rPr>
                  <w:rStyle w:val="InternetLink"/>
                  <w:rFonts w:ascii="Times New Roman" w:hAnsi="Times New Roman"/>
                  <w:sz w:val="17"/>
                </w:rPr>
                <w:t>Notes to the Condensed Consolidated Financial Statements: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287" w:type="dxa"/>
            <w:tcBorders/>
            <w:shd w:fill="auto" w:val="clear"/>
          </w:tcPr>
          <w:p>
            <w:pPr>
              <w:pStyle w:val="TableContents"/>
              <w:spacing w:before="0" w:after="0"/>
              <w:ind w:left="0" w:right="0" w:hanging="0"/>
              <w:rPr/>
            </w:pPr>
            <w:hyperlink w:anchor="Note1organizationAndBasisOfPresen_124415">
              <w:r>
                <w:rPr>
                  <w:rStyle w:val="InternetLink"/>
                  <w:rFonts w:ascii="Times New Roman" w:hAnsi="Times New Roman"/>
                  <w:sz w:val="17"/>
                </w:rPr>
                <w:t>1. Organization and Basis of Presentation</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287" w:type="dxa"/>
            <w:tcBorders/>
            <w:shd w:fill="auto" w:val="clear"/>
          </w:tcPr>
          <w:p>
            <w:pPr>
              <w:pStyle w:val="TableContents"/>
              <w:spacing w:before="0" w:after="0"/>
              <w:ind w:left="0" w:right="0" w:hanging="0"/>
              <w:rPr/>
            </w:pPr>
            <w:hyperlink w:anchor="Note2recentAccountingPronouncemen_124638">
              <w:r>
                <w:rPr>
                  <w:rStyle w:val="InternetLink"/>
                  <w:rFonts w:ascii="Times New Roman" w:hAnsi="Times New Roman"/>
                  <w:sz w:val="17"/>
                </w:rPr>
                <w:t>2. Recent Accounting Pronouncements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287" w:type="dxa"/>
            <w:tcBorders/>
            <w:shd w:fill="auto" w:val="clear"/>
          </w:tcPr>
          <w:p>
            <w:pPr>
              <w:pStyle w:val="TableContents"/>
              <w:spacing w:before="0" w:after="0"/>
              <w:ind w:left="0" w:right="0" w:hanging="0"/>
              <w:rPr/>
            </w:pPr>
            <w:hyperlink w:anchor="Note3tradeAccountsReceivable_124641">
              <w:r>
                <w:rPr>
                  <w:rStyle w:val="InternetLink"/>
                  <w:rFonts w:ascii="Times New Roman" w:hAnsi="Times New Roman"/>
                  <w:sz w:val="17"/>
                </w:rPr>
                <w:t>3. Trade Accounts Receivable</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287" w:type="dxa"/>
            <w:tcBorders/>
            <w:shd w:fill="auto" w:val="clear"/>
          </w:tcPr>
          <w:p>
            <w:pPr>
              <w:pStyle w:val="TableContents"/>
              <w:spacing w:before="0" w:after="0"/>
              <w:ind w:left="0" w:right="0" w:hanging="0"/>
              <w:rPr/>
            </w:pPr>
            <w:hyperlink w:anchor="Note4inventoryLinefillBaseGasAndL_124651">
              <w:r>
                <w:rPr>
                  <w:rStyle w:val="InternetLink"/>
                  <w:rFonts w:ascii="Times New Roman" w:hAnsi="Times New Roman"/>
                  <w:sz w:val="17"/>
                </w:rPr>
                <w:t>4. Inventory, Linefill, Base Gas and Long-term Inventory</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287" w:type="dxa"/>
            <w:tcBorders/>
            <w:shd w:fill="auto" w:val="clear"/>
          </w:tcPr>
          <w:p>
            <w:pPr>
              <w:pStyle w:val="TableContents"/>
              <w:spacing w:before="0" w:after="0"/>
              <w:ind w:left="0" w:right="0" w:hanging="0"/>
              <w:rPr/>
            </w:pPr>
            <w:hyperlink w:anchor="Note5debt_125223">
              <w:r>
                <w:rPr>
                  <w:rStyle w:val="InternetLink"/>
                  <w:rFonts w:ascii="Times New Roman" w:hAnsi="Times New Roman"/>
                  <w:sz w:val="17"/>
                </w:rPr>
                <w:t>5. Debt</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287" w:type="dxa"/>
            <w:tcBorders/>
            <w:shd w:fill="auto" w:val="clear"/>
          </w:tcPr>
          <w:p>
            <w:pPr>
              <w:pStyle w:val="TableContents"/>
              <w:spacing w:before="0" w:after="0"/>
              <w:ind w:left="0" w:right="0" w:hanging="0"/>
              <w:rPr/>
            </w:pPr>
            <w:hyperlink w:anchor="Note6netIncomePerLimitedPartnerUn_125609">
              <w:r>
                <w:rPr>
                  <w:rStyle w:val="InternetLink"/>
                  <w:rFonts w:ascii="Times New Roman" w:hAnsi="Times New Roman"/>
                  <w:sz w:val="17"/>
                </w:rPr>
                <w:t>6. Net Income Per Limited Partner Unit</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287" w:type="dxa"/>
            <w:tcBorders/>
            <w:shd w:fill="auto" w:val="clear"/>
          </w:tcPr>
          <w:p>
            <w:pPr>
              <w:pStyle w:val="TableContents"/>
              <w:spacing w:before="0" w:after="0"/>
              <w:ind w:left="0" w:right="0" w:hanging="0"/>
              <w:rPr/>
            </w:pPr>
            <w:hyperlink w:anchor="Note7partnersCapitalAndDistributi_130312">
              <w:r>
                <w:rPr>
                  <w:rStyle w:val="InternetLink"/>
                  <w:rFonts w:ascii="Times New Roman" w:hAnsi="Times New Roman"/>
                  <w:sz w:val="17"/>
                </w:rPr>
                <w:t>7. Partners Capital and Distributions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287" w:type="dxa"/>
            <w:tcBorders/>
            <w:shd w:fill="auto" w:val="clear"/>
          </w:tcPr>
          <w:p>
            <w:pPr>
              <w:pStyle w:val="TableContents"/>
              <w:spacing w:before="0" w:after="0"/>
              <w:ind w:left="0" w:right="0" w:hanging="0"/>
              <w:rPr/>
            </w:pPr>
            <w:hyperlink w:anchor="Note8equityCompensationPlans_131449">
              <w:r>
                <w:rPr>
                  <w:rStyle w:val="InternetLink"/>
                  <w:rFonts w:ascii="Times New Roman" w:hAnsi="Times New Roman"/>
                  <w:sz w:val="17"/>
                </w:rPr>
                <w:t>8. Equity Compensation Plans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287" w:type="dxa"/>
            <w:tcBorders/>
            <w:shd w:fill="auto" w:val="clear"/>
          </w:tcPr>
          <w:p>
            <w:pPr>
              <w:pStyle w:val="TableContents"/>
              <w:spacing w:before="0" w:after="0"/>
              <w:ind w:left="0" w:right="0" w:hanging="0"/>
              <w:rPr/>
            </w:pPr>
            <w:hyperlink w:anchor="Note9derivativesAndRiskManagement_131814">
              <w:r>
                <w:rPr>
                  <w:rStyle w:val="InternetLink"/>
                  <w:rFonts w:ascii="Times New Roman" w:hAnsi="Times New Roman"/>
                  <w:sz w:val="17"/>
                </w:rPr>
                <w:t>9. Derivatives and Risk Management Activities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287" w:type="dxa"/>
            <w:tcBorders/>
            <w:shd w:fill="auto" w:val="clear"/>
          </w:tcPr>
          <w:p>
            <w:pPr>
              <w:pStyle w:val="TableContents"/>
              <w:spacing w:before="0" w:after="0"/>
              <w:ind w:left="0" w:right="0" w:hanging="0"/>
              <w:rPr/>
            </w:pPr>
            <w:hyperlink w:anchor="Note10commitmentsAndContingencies_131815">
              <w:r>
                <w:rPr>
                  <w:rStyle w:val="InternetLink"/>
                  <w:rFonts w:ascii="Times New Roman" w:hAnsi="Times New Roman"/>
                  <w:sz w:val="17"/>
                </w:rPr>
                <w:t>10. Commitments and Contingencies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9287" w:type="dxa"/>
            <w:tcBorders/>
            <w:shd w:fill="auto" w:val="clear"/>
          </w:tcPr>
          <w:p>
            <w:pPr>
              <w:pStyle w:val="TableContents"/>
              <w:spacing w:before="0" w:after="0"/>
              <w:ind w:left="0" w:right="0" w:hanging="0"/>
              <w:rPr/>
            </w:pPr>
            <w:hyperlink w:anchor="Note11operatingSegments_131929">
              <w:r>
                <w:rPr>
                  <w:rStyle w:val="InternetLink"/>
                  <w:rFonts w:ascii="Times New Roman" w:hAnsi="Times New Roman"/>
                  <w:sz w:val="17"/>
                </w:rPr>
                <w:t>11. Operating Segments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9287" w:type="dxa"/>
            <w:tcBorders/>
            <w:shd w:fill="auto" w:val="clear"/>
          </w:tcPr>
          <w:p>
            <w:pPr>
              <w:pStyle w:val="TableContents"/>
              <w:spacing w:before="0" w:after="0"/>
              <w:ind w:left="0" w:right="0" w:hanging="0"/>
              <w:rPr/>
            </w:pPr>
            <w:hyperlink w:anchor="Note12supplementalCondensedConsol_133424">
              <w:r>
                <w:rPr>
                  <w:rStyle w:val="InternetLink"/>
                  <w:rFonts w:ascii="Times New Roman" w:hAnsi="Times New Roman"/>
                  <w:sz w:val="17"/>
                </w:rPr>
                <w:t>12. Supplemental Condensed Consolidating Financial Information</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9287" w:type="dxa"/>
            <w:tcBorders/>
            <w:shd w:fill="auto" w:val="clear"/>
          </w:tcPr>
          <w:p>
            <w:pPr>
              <w:pStyle w:val="TableContents"/>
              <w:spacing w:before="0" w:after="0"/>
              <w:ind w:left="0" w:right="0" w:hanging="0"/>
              <w:rPr/>
            </w:pPr>
            <w:hyperlink w:anchor="Item2_ManagementsDiscussionAndAna_124646">
              <w:r>
                <w:rPr>
                  <w:rStyle w:val="InternetLink"/>
                  <w:rFonts w:ascii="Times New Roman" w:hAnsi="Times New Roman"/>
                  <w:sz w:val="17"/>
                </w:rPr>
                <w:t>Item 2. MANAGEMENTS DISCUSSION AND ANALYSIS OF FINANCIAL CONDITION AND RESULTS OF OPERATIONS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9287" w:type="dxa"/>
            <w:tcBorders/>
            <w:shd w:fill="auto" w:val="clear"/>
          </w:tcPr>
          <w:p>
            <w:pPr>
              <w:pStyle w:val="TableContents"/>
              <w:spacing w:before="0" w:after="0"/>
              <w:ind w:left="0" w:right="0" w:hanging="0"/>
              <w:rPr/>
            </w:pPr>
            <w:hyperlink w:anchor="Item3_QuantitativeAndQualitativeD_132330">
              <w:r>
                <w:rPr>
                  <w:rStyle w:val="InternetLink"/>
                  <w:rFonts w:ascii="Times New Roman" w:hAnsi="Times New Roman"/>
                  <w:sz w:val="17"/>
                </w:rPr>
                <w:t>Item 3. QUANTITATIVE AND QUALITATIVE DISCLOSURES ABOUT MARKET RISK</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287" w:type="dxa"/>
            <w:tcBorders/>
            <w:shd w:fill="auto" w:val="clear"/>
          </w:tcPr>
          <w:p>
            <w:pPr>
              <w:pStyle w:val="TableContents"/>
              <w:spacing w:before="0" w:after="0"/>
              <w:ind w:left="0" w:right="0" w:hanging="0"/>
              <w:rPr/>
            </w:pPr>
            <w:hyperlink w:anchor="Item4_ControlsAndProcedures_132358">
              <w:r>
                <w:rPr>
                  <w:rStyle w:val="InternetLink"/>
                  <w:rFonts w:ascii="Times New Roman" w:hAnsi="Times New Roman"/>
                  <w:sz w:val="17"/>
                </w:rPr>
                <w:t>Item 4. CONTROLS AND PROCEDURES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287" w:type="dxa"/>
            <w:tcBorders/>
            <w:shd w:fill="auto" w:val="clear"/>
          </w:tcPr>
          <w:p>
            <w:pPr>
              <w:pStyle w:val="TableContents"/>
              <w:spacing w:before="0" w:after="0"/>
              <w:ind w:left="0" w:right="0" w:hanging="0"/>
              <w:rPr/>
            </w:pPr>
            <w:r>
              <w:rPr/>
              <w:t> </w:t>
            </w:r>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pPr>
            <w:r>
              <w:rPr/>
              <w:t> </w:t>
            </w:r>
          </w:p>
        </w:tc>
      </w:tr>
      <w:tr>
        <w:trPr/>
        <w:tc>
          <w:tcPr>
            <w:tcW w:w="9287" w:type="dxa"/>
            <w:tcBorders/>
            <w:shd w:fill="auto" w:val="clear"/>
          </w:tcPr>
          <w:p>
            <w:pPr>
              <w:pStyle w:val="TableContents"/>
              <w:spacing w:before="0" w:after="0"/>
              <w:ind w:left="0" w:right="0" w:hanging="0"/>
              <w:rPr/>
            </w:pPr>
            <w:hyperlink w:anchor="Partii_OtherInformation_132820">
              <w:r>
                <w:rPr>
                  <w:rStyle w:val="InternetLink"/>
                  <w:rFonts w:ascii="Times New Roman" w:hAnsi="Times New Roman"/>
                  <w:b/>
                  <w:sz w:val="17"/>
                </w:rPr>
                <w:t>PART II. OTHER INFORMATION</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1_LegalProceedings_132821">
              <w:r>
                <w:rPr>
                  <w:rStyle w:val="InternetLink"/>
                  <w:rFonts w:ascii="Times New Roman" w:hAnsi="Times New Roman"/>
                  <w:sz w:val="17"/>
                </w:rPr>
                <w:t>Item 1. LEGAL PROCEEDINGS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1a_RiskFactors_132822">
              <w:r>
                <w:rPr>
                  <w:rStyle w:val="InternetLink"/>
                  <w:rFonts w:ascii="Times New Roman" w:hAnsi="Times New Roman"/>
                  <w:sz w:val="17"/>
                </w:rPr>
                <w:t>Item 1A. RISK FACTORS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2_UnregisteredSalesOfEquitySe_132824">
              <w:r>
                <w:rPr>
                  <w:rStyle w:val="InternetLink"/>
                  <w:rFonts w:ascii="Times New Roman" w:hAnsi="Times New Roman"/>
                  <w:sz w:val="17"/>
                </w:rPr>
                <w:t>Item 2. UNREGISTERED SALES OF EQUITY SECURITIES AND USE OF PROCEEDS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3_DefaultsUponSeniorSecuritie_132829">
              <w:r>
                <w:rPr>
                  <w:rStyle w:val="InternetLink"/>
                  <w:rFonts w:ascii="Times New Roman" w:hAnsi="Times New Roman"/>
                  <w:sz w:val="17"/>
                </w:rPr>
                <w:t>Item 3. DEFAULTS UPON SENIOR SECURITIES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4_removedAndReserved_132830">
              <w:r>
                <w:rPr>
                  <w:rStyle w:val="InternetLink"/>
                  <w:rFonts w:ascii="Times New Roman" w:hAnsi="Times New Roman"/>
                  <w:sz w:val="17"/>
                </w:rPr>
                <w:t>Item 4. [REMOVED AND RESERVED]</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5_OtherInformation_132831">
              <w:r>
                <w:rPr>
                  <w:rStyle w:val="InternetLink"/>
                  <w:rFonts w:ascii="Times New Roman" w:hAnsi="Times New Roman"/>
                  <w:sz w:val="17"/>
                </w:rPr>
                <w:t>Item 5. OTHER INFORMATION</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Item6_Exhibits_132832">
              <w:r>
                <w:rPr>
                  <w:rStyle w:val="InternetLink"/>
                  <w:rFonts w:ascii="Times New Roman" w:hAnsi="Times New Roman"/>
                  <w:sz w:val="17"/>
                </w:rPr>
                <w:t>Item 6. EXHIBITS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287" w:type="dxa"/>
            <w:tcBorders/>
            <w:shd w:fill="auto" w:val="clear"/>
          </w:tcPr>
          <w:p>
            <w:pPr>
              <w:pStyle w:val="TableContents"/>
              <w:spacing w:before="0" w:after="0"/>
              <w:ind w:left="0" w:right="0" w:hanging="0"/>
              <w:rPr/>
            </w:pPr>
            <w:hyperlink w:anchor="Signatures_134028">
              <w:r>
                <w:rPr>
                  <w:rStyle w:val="InternetLink"/>
                  <w:rFonts w:ascii="Times New Roman" w:hAnsi="Times New Roman"/>
                  <w:sz w:val="17"/>
                </w:rPr>
                <w:t>SIGNATURES</w:t>
              </w:r>
            </w:hyperlink>
          </w:p>
        </w:tc>
        <w:tc>
          <w:tcPr>
            <w:tcW w:w="204" w:type="dxa"/>
            <w:tcBorders/>
            <w:shd w:fill="auto" w:val="clear"/>
          </w:tcPr>
          <w:p>
            <w:pPr>
              <w:pStyle w:val="TableContents"/>
              <w:spacing w:before="0" w:after="0"/>
              <w:ind w:left="0" w:right="0" w:hanging="0"/>
              <w:rPr/>
            </w:pPr>
            <w:r>
              <w:rPr/>
              <w:t> </w:t>
            </w:r>
          </w:p>
        </w:tc>
        <w:tc>
          <w:tcPr>
            <w:tcW w:w="7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21550_7056"/>
      <w:bookmarkEnd w:id="3"/>
    </w:p>
    <w:p>
      <w:pPr>
        <w:pStyle w:val="HorizontalLine"/>
        <w:pBdr>
          <w:bottom w:val="single" w:sz="18" w:space="0" w:color="010101"/>
        </w:pBdr>
        <w:spacing w:before="0" w:after="0"/>
        <w:rPr/>
      </w:pPr>
      <w:r>
        <w:rPr/>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22025"/>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UNAUDITED CONDENSED CONSOLIDATED FINANCIAL STATEMENTS</w:t>
      </w:r>
      <w:bookmarkStart w:id="5" w:name="Item1_UnauditedCondensedConsolida_122029"/>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22033"/>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34"/>
        <w:gridCol w:w="207"/>
        <w:gridCol w:w="144"/>
        <w:gridCol w:w="1175"/>
        <w:gridCol w:w="214"/>
        <w:gridCol w:w="142"/>
        <w:gridCol w:w="1162"/>
        <w:gridCol w:w="127"/>
      </w:tblGrid>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3,771</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7,599</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7,240</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6,532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2,485</w:t>
            </w:r>
          </w:p>
        </w:tc>
        <w:tc>
          <w:tcPr>
            <w:tcW w:w="214"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$13 and $14,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4,417</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10)</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Common unitholders (136,419,175 and 136,135,988 units outstanding,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4,111</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22329_2897"/>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22351"/>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51"/>
        <w:gridCol w:w="207"/>
        <w:gridCol w:w="121"/>
        <w:gridCol w:w="873"/>
        <w:gridCol w:w="212"/>
        <w:gridCol w:w="121"/>
        <w:gridCol w:w="874"/>
        <w:gridCol w:w="211"/>
        <w:gridCol w:w="119"/>
        <w:gridCol w:w="884"/>
        <w:gridCol w:w="211"/>
        <w:gridCol w:w="119"/>
        <w:gridCol w:w="884"/>
        <w:gridCol w:w="118"/>
      </w:tblGrid>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2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22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2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22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8" w:type="dxa"/>
            <w:tcBorders/>
            <w:shd w:fill="auto" w:val="clear"/>
            <w:vAlign w:val="bottom"/>
          </w:tcPr>
          <w:p>
            <w:pPr>
              <w:pStyle w:val="TableContents"/>
              <w:spacing w:before="0" w:after="0"/>
              <w:ind w:left="0" w:right="0" w:hanging="0"/>
              <w:jc w:val="center"/>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2" w:type="dxa"/>
            <w:tcBorders/>
            <w:shd w:fill="auto" w:val="clear"/>
            <w:vAlign w:val="bottom"/>
          </w:tcPr>
          <w:p>
            <w:pPr>
              <w:pStyle w:val="TableContents"/>
              <w:spacing w:before="0" w:after="0"/>
              <w:ind w:left="0" w:right="0" w:hanging="0"/>
              <w:jc w:val="center"/>
              <w:rPr/>
            </w:pPr>
            <w:r>
              <w:rPr/>
              <w:t> </w:t>
            </w:r>
          </w:p>
        </w:tc>
        <w:tc>
          <w:tcPr>
            <w:tcW w:w="9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1" w:type="dxa"/>
            <w:tcBorders/>
            <w:shd w:fill="auto" w:val="clear"/>
            <w:vAlign w:val="bottom"/>
          </w:tcPr>
          <w:p>
            <w:pPr>
              <w:pStyle w:val="TableContents"/>
              <w:spacing w:before="0" w:after="0"/>
              <w:ind w:left="0" w:right="0" w:hanging="0"/>
              <w:jc w:val="center"/>
              <w:rPr/>
            </w:pPr>
            <w:r>
              <w:rPr/>
              <w:t> </w:t>
            </w:r>
          </w:p>
        </w:tc>
        <w:tc>
          <w:tcPr>
            <w:tcW w:w="10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18" w:type="dxa"/>
            <w:tcBorders/>
            <w:shd w:fill="auto" w:val="clear"/>
            <w:vAlign w:val="bottom"/>
          </w:tcPr>
          <w:p>
            <w:pPr>
              <w:pStyle w:val="TableContents"/>
              <w:spacing w:before="0" w:after="0"/>
              <w:ind w:left="0" w:right="0" w:hanging="0"/>
              <w:jc w:val="center"/>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2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1" w:type="dxa"/>
            <w:tcBorders/>
            <w:shd w:fill="auto" w:val="clear"/>
            <w:vAlign w:val="bottom"/>
          </w:tcPr>
          <w:p>
            <w:pPr>
              <w:pStyle w:val="TableContents"/>
              <w:spacing w:before="0" w:after="0"/>
              <w:ind w:left="0" w:right="0" w:hanging="0"/>
              <w:jc w:val="center"/>
              <w:rPr/>
            </w:pPr>
            <w:r>
              <w:rPr/>
              <w:t> </w:t>
            </w:r>
          </w:p>
        </w:tc>
        <w:tc>
          <w:tcPr>
            <w:tcW w:w="22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8" w:type="dxa"/>
            <w:tcBorders/>
            <w:shd w:fill="auto" w:val="clear"/>
            <w:vAlign w:val="bottom"/>
          </w:tcPr>
          <w:p>
            <w:pPr>
              <w:pStyle w:val="TableContents"/>
              <w:spacing w:before="0" w:after="0"/>
              <w:ind w:left="0" w:right="0" w:hanging="0"/>
              <w:jc w:val="center"/>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revenues</w:t>
            </w:r>
          </w:p>
        </w:tc>
        <w:tc>
          <w:tcPr>
            <w:tcW w:w="207"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212" w:type="dxa"/>
            <w:tcBorders/>
            <w:shd w:fill="auto" w:val="clear"/>
            <w:vAlign w:val="bottom"/>
          </w:tcPr>
          <w:p>
            <w:pPr>
              <w:pStyle w:val="TableContents"/>
              <w:spacing w:before="0" w:after="0"/>
              <w:ind w:left="0" w:right="0" w:hanging="0"/>
              <w:rPr/>
            </w:pPr>
            <w:r>
              <w:rPr/>
              <w:t> </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4,645</w:t>
            </w:r>
          </w:p>
        </w:tc>
        <w:tc>
          <w:tcPr>
            <w:tcW w:w="211"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17,992</w:t>
            </w:r>
          </w:p>
        </w:tc>
        <w:tc>
          <w:tcPr>
            <w:tcW w:w="211" w:type="dxa"/>
            <w:tcBorders/>
            <w:shd w:fill="auto" w:val="clear"/>
            <w:vAlign w:val="bottom"/>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11,876</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4,857</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12,442</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5,971</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4,417</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17,233</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11,036</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6,264</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4,691</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18,109</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11,836</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$4, $4, $13 and $9, respectively)</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income tax benefit/(expense)</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2"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07"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2"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1"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07"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2"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2"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2"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11"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8" w:type="dxa"/>
            <w:tcBorders/>
            <w:shd w:fill="CCEEFF" w:val="clear"/>
            <w:vAlign w:val="bottom"/>
          </w:tcPr>
          <w:p>
            <w:pPr>
              <w:pStyle w:val="TableContents"/>
              <w:spacing w:before="0" w:after="0"/>
              <w:ind w:left="0" w:right="0" w:hanging="0"/>
              <w:rPr/>
            </w:pPr>
            <w:r>
              <w:rPr/>
              <w:t> </w:t>
            </w:r>
          </w:p>
        </w:tc>
      </w:tr>
      <w:tr>
        <w:trPr/>
        <w:tc>
          <w:tcPr>
            <w:tcW w:w="5251"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003"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2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9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2" w:type="dxa"/>
            <w:tcBorders/>
            <w:shd w:fill="CCEEFF" w:val="clear"/>
            <w:vAlign w:val="bottom"/>
          </w:tcPr>
          <w:p>
            <w:pPr>
              <w:pStyle w:val="TableContents"/>
              <w:spacing w:before="0" w:after="0"/>
              <w:ind w:left="0" w:right="0" w:hanging="0"/>
              <w:rPr/>
            </w:pPr>
            <w:r>
              <w:rPr/>
              <w:t> </w:t>
            </w:r>
          </w:p>
        </w:tc>
        <w:tc>
          <w:tcPr>
            <w:tcW w:w="99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CCEEFF" w:val="clear"/>
            <w:vAlign w:val="bottom"/>
          </w:tcPr>
          <w:p>
            <w:pPr>
              <w:pStyle w:val="TableContents"/>
              <w:spacing w:before="0" w:after="0"/>
              <w:ind w:left="0" w:right="0" w:hanging="0"/>
              <w:rPr/>
            </w:pPr>
            <w:r>
              <w:rPr/>
              <w:t> </w:t>
            </w:r>
          </w:p>
        </w:tc>
        <w:tc>
          <w:tcPr>
            <w:tcW w:w="100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2947_3020"/>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0" w:name="CondensedConsolidatedStatementsOf_123001"/>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34"/>
        <w:gridCol w:w="214"/>
        <w:gridCol w:w="147"/>
        <w:gridCol w:w="1101"/>
        <w:gridCol w:w="230"/>
        <w:gridCol w:w="147"/>
        <w:gridCol w:w="1102"/>
        <w:gridCol w:w="130"/>
      </w:tblGrid>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0" w:type="dxa"/>
            <w:tcBorders/>
            <w:shd w:fill="auto" w:val="clear"/>
            <w:vAlign w:val="bottom"/>
          </w:tcPr>
          <w:p>
            <w:pPr>
              <w:pStyle w:val="TableContents"/>
              <w:spacing w:before="0" w:after="0"/>
              <w:ind w:left="0" w:right="0" w:hanging="0"/>
              <w:jc w:val="center"/>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0"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0" w:type="dxa"/>
            <w:tcBorders/>
            <w:shd w:fill="auto" w:val="clear"/>
            <w:vAlign w:val="bottom"/>
          </w:tcPr>
          <w:p>
            <w:pPr>
              <w:pStyle w:val="TableContents"/>
              <w:spacing w:before="0" w:after="0"/>
              <w:ind w:left="0" w:right="0" w:hanging="0"/>
              <w:jc w:val="center"/>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0" w:type="dxa"/>
            <w:tcBorders/>
            <w:shd w:fill="auto" w:val="clear"/>
            <w:vAlign w:val="bottom"/>
          </w:tcPr>
          <w:p>
            <w:pPr>
              <w:pStyle w:val="TableContents"/>
              <w:spacing w:before="0" w:after="0"/>
              <w:ind w:left="0" w:right="0" w:hanging="0"/>
              <w:jc w:val="center"/>
              <w:rPr/>
            </w:pPr>
            <w:r>
              <w:rPr/>
              <w:t> </w:t>
            </w:r>
          </w:p>
        </w:tc>
      </w:tr>
      <w:tr>
        <w:trPr/>
        <w:tc>
          <w:tcPr>
            <w:tcW w:w="71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3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 on sale of linefill</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Loss on early redemption of senior notes (Note 5)</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received for linefill</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repayments on Plains revolving credit facility</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borrowings on PNG revolving credit facility</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short-term letter of credit and hedged inventory facility</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Repayment of PNGS debt</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senior notes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30"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7)</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7)</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 (Note 7)</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214" w:type="dxa"/>
            <w:tcBorders/>
            <w:shd w:fill="CCEEFF" w:val="clear"/>
            <w:vAlign w:val="bottom"/>
          </w:tcPr>
          <w:p>
            <w:pPr>
              <w:pStyle w:val="TableContents"/>
              <w:spacing w:before="0" w:after="0"/>
              <w:ind w:left="0" w:right="0" w:hanging="0"/>
              <w:rPr/>
            </w:pPr>
            <w:r>
              <w:rPr/>
              <w:t> </w:t>
            </w:r>
          </w:p>
        </w:tc>
        <w:tc>
          <w:tcPr>
            <w:tcW w:w="12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3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0" w:type="dxa"/>
            <w:tcBorders/>
            <w:shd w:fill="CCEEFF" w:val="clear"/>
            <w:vAlign w:val="bottom"/>
          </w:tcPr>
          <w:p>
            <w:pPr>
              <w:pStyle w:val="TableContents"/>
              <w:spacing w:before="0" w:after="0"/>
              <w:ind w:left="0" w:right="0" w:hanging="0"/>
              <w:rPr/>
            </w:pPr>
            <w:r>
              <w:rPr/>
              <w:t> </w:t>
            </w:r>
          </w:p>
        </w:tc>
      </w:tr>
      <w:tr>
        <w:trPr/>
        <w:tc>
          <w:tcPr>
            <w:tcW w:w="713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4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71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income taxes, net of amounts refunded</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1" w:name="PB_5_123201_7748"/>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2" w:name="CondensedConsolidatedStatementOfP_123308"/>
      <w:bookmarkEnd w:id="12"/>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66"/>
        <w:gridCol w:w="171"/>
        <w:gridCol w:w="758"/>
        <w:gridCol w:w="171"/>
        <w:gridCol w:w="146"/>
        <w:gridCol w:w="701"/>
        <w:gridCol w:w="186"/>
        <w:gridCol w:w="197"/>
        <w:gridCol w:w="623"/>
        <w:gridCol w:w="186"/>
        <w:gridCol w:w="237"/>
        <w:gridCol w:w="1304"/>
        <w:gridCol w:w="186"/>
        <w:gridCol w:w="257"/>
        <w:gridCol w:w="1146"/>
        <w:gridCol w:w="186"/>
        <w:gridCol w:w="146"/>
        <w:gridCol w:w="701"/>
        <w:gridCol w:w="137"/>
      </w:tblGrid>
      <w:tr>
        <w:trPr/>
        <w:tc>
          <w:tcPr>
            <w:tcW w:w="2766"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758"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20"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2766"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758" w:type="dxa"/>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20"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2766"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77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6" w:type="dxa"/>
            <w:tcBorders/>
            <w:shd w:fill="auto" w:val="clear"/>
            <w:vAlign w:val="bottom"/>
          </w:tcPr>
          <w:p>
            <w:pPr>
              <w:pStyle w:val="TableContents"/>
              <w:spacing w:before="0" w:after="0"/>
              <w:ind w:left="0" w:right="0" w:hanging="0"/>
              <w:jc w:val="center"/>
              <w:rPr/>
            </w:pPr>
            <w:r>
              <w:rPr/>
              <w:t> </w:t>
            </w:r>
          </w:p>
        </w:tc>
        <w:tc>
          <w:tcPr>
            <w:tcW w:w="82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6"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7" w:type="dxa"/>
            <w:tcBorders/>
            <w:shd w:fill="auto" w:val="clear"/>
            <w:vAlign w:val="bottom"/>
          </w:tcPr>
          <w:p>
            <w:pPr>
              <w:pStyle w:val="TableContents"/>
              <w:spacing w:before="0" w:after="0"/>
              <w:ind w:left="0" w:right="0" w:hanging="0"/>
              <w:jc w:val="center"/>
              <w:rPr/>
            </w:pPr>
            <w:r>
              <w:rPr/>
              <w:t> </w:t>
            </w:r>
          </w:p>
        </w:tc>
      </w:tr>
      <w:tr>
        <w:trPr/>
        <w:tc>
          <w:tcPr>
            <w:tcW w:w="2766"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7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1"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6" w:type="dxa"/>
            <w:tcBorders/>
            <w:shd w:fill="auto" w:val="clear"/>
            <w:vAlign w:val="bottom"/>
          </w:tcPr>
          <w:p>
            <w:pPr>
              <w:pStyle w:val="TableContents"/>
              <w:spacing w:before="0" w:after="0"/>
              <w:ind w:left="0" w:right="0" w:hanging="0"/>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6" w:type="dxa"/>
            <w:tcBorders/>
            <w:shd w:fill="auto" w:val="clear"/>
            <w:vAlign w:val="bottom"/>
          </w:tcPr>
          <w:p>
            <w:pPr>
              <w:pStyle w:val="TableContents"/>
              <w:spacing w:before="0" w:after="0"/>
              <w:ind w:left="0" w:right="0" w:hanging="0"/>
              <w:jc w:val="center"/>
              <w:rPr/>
            </w:pPr>
            <w:r>
              <w:rPr/>
              <w:t> </w:t>
            </w:r>
          </w:p>
        </w:tc>
        <w:tc>
          <w:tcPr>
            <w:tcW w:w="15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14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6"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7" w:type="dxa"/>
            <w:tcBorders/>
            <w:shd w:fill="auto" w:val="clear"/>
            <w:vAlign w:val="bottom"/>
          </w:tcPr>
          <w:p>
            <w:pPr>
              <w:pStyle w:val="TableContents"/>
              <w:spacing w:before="0" w:after="0"/>
              <w:ind w:left="0" w:right="0" w:hanging="0"/>
              <w:jc w:val="center"/>
              <w:rPr/>
            </w:pPr>
            <w:r>
              <w:rPr/>
              <w:t> </w:t>
            </w:r>
          </w:p>
        </w:tc>
      </w:tr>
      <w:tr>
        <w:trPr/>
        <w:tc>
          <w:tcPr>
            <w:tcW w:w="2766"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7131"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7" w:type="dxa"/>
            <w:tcBorders/>
            <w:shd w:fill="auto" w:val="clear"/>
            <w:vAlign w:val="bottom"/>
          </w:tcPr>
          <w:p>
            <w:pPr>
              <w:pStyle w:val="TableContents"/>
              <w:spacing w:before="0" w:after="0"/>
              <w:ind w:left="0" w:right="0" w:hanging="0"/>
              <w:jc w:val="center"/>
              <w:rPr/>
            </w:pPr>
            <w:r>
              <w:rPr/>
              <w:t> </w:t>
            </w:r>
          </w:p>
        </w:tc>
      </w:tr>
      <w:tr>
        <w:trPr/>
        <w:tc>
          <w:tcPr>
            <w:tcW w:w="27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December 31, 2009</w:t>
            </w:r>
          </w:p>
        </w:tc>
        <w:tc>
          <w:tcPr>
            <w:tcW w:w="171" w:type="dxa"/>
            <w:tcBorders/>
            <w:shd w:fill="CCEEFF" w:val="clear"/>
            <w:vAlign w:val="bottom"/>
          </w:tcPr>
          <w:p>
            <w:pPr>
              <w:pStyle w:val="TableContents"/>
              <w:spacing w:before="0" w:after="0"/>
              <w:ind w:left="0" w:right="0" w:hanging="0"/>
              <w:rPr/>
            </w:pPr>
            <w:r>
              <w:rPr/>
              <w:t> </w:t>
            </w:r>
          </w:p>
        </w:tc>
        <w:tc>
          <w:tcPr>
            <w:tcW w:w="7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71"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186"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86"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86"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6"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37" w:type="dxa"/>
            <w:tcBorders/>
            <w:shd w:fill="CCEEFF" w:val="clear"/>
            <w:vAlign w:val="bottom"/>
          </w:tcPr>
          <w:p>
            <w:pPr>
              <w:pStyle w:val="TableContents"/>
              <w:spacing w:before="0" w:after="0"/>
              <w:ind w:left="0" w:right="0" w:hanging="0"/>
              <w:rPr/>
            </w:pPr>
            <w:r>
              <w:rPr/>
              <w:t> </w:t>
            </w:r>
          </w:p>
        </w:tc>
      </w:tr>
      <w:tr>
        <w:trPr/>
        <w:tc>
          <w:tcPr>
            <w:tcW w:w="27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1"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86"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6"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7" w:type="dxa"/>
            <w:tcBorders/>
            <w:shd w:fill="auto" w:val="clear"/>
            <w:vAlign w:val="bottom"/>
          </w:tcPr>
          <w:p>
            <w:pPr>
              <w:pStyle w:val="TableContents"/>
              <w:spacing w:before="0" w:after="0"/>
              <w:ind w:left="0" w:right="0" w:hanging="0"/>
              <w:rPr/>
            </w:pPr>
            <w:r>
              <w:rPr/>
              <w:t> </w:t>
            </w:r>
          </w:p>
        </w:tc>
      </w:tr>
      <w:tr>
        <w:trPr/>
        <w:tc>
          <w:tcPr>
            <w:tcW w:w="27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 (Note 7)</w:t>
            </w:r>
          </w:p>
        </w:tc>
        <w:tc>
          <w:tcPr>
            <w:tcW w:w="171"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86"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15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86"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37" w:type="dxa"/>
            <w:tcBorders/>
            <w:shd w:fill="CCEEFF" w:val="clear"/>
            <w:vAlign w:val="bottom"/>
          </w:tcPr>
          <w:p>
            <w:pPr>
              <w:pStyle w:val="TableContents"/>
              <w:spacing w:before="0" w:after="0"/>
              <w:ind w:left="0" w:right="0" w:hanging="0"/>
              <w:rPr/>
            </w:pPr>
            <w:r>
              <w:rPr/>
              <w:t> </w:t>
            </w:r>
          </w:p>
        </w:tc>
      </w:tr>
      <w:tr>
        <w:trPr/>
        <w:tc>
          <w:tcPr>
            <w:tcW w:w="27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(Note 7)</w:t>
            </w:r>
          </w:p>
        </w:tc>
        <w:tc>
          <w:tcPr>
            <w:tcW w:w="171"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(512</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 (Note 7)</w:t>
            </w:r>
          </w:p>
        </w:tc>
        <w:tc>
          <w:tcPr>
            <w:tcW w:w="171"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5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7" w:type="dxa"/>
            <w:tcBorders/>
            <w:shd w:fill="CCEEFF" w:val="clear"/>
            <w:vAlign w:val="bottom"/>
          </w:tcPr>
          <w:p>
            <w:pPr>
              <w:pStyle w:val="TableContents"/>
              <w:spacing w:before="0" w:after="0"/>
              <w:ind w:left="0" w:right="0" w:hanging="0"/>
              <w:rPr/>
            </w:pPr>
            <w:r>
              <w:rPr/>
              <w:t> </w:t>
            </w:r>
          </w:p>
        </w:tc>
      </w:tr>
      <w:tr>
        <w:trPr/>
        <w:tc>
          <w:tcPr>
            <w:tcW w:w="27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71"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6"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pPr>
            <w:r>
              <w:rPr/>
              <w:t> </w:t>
            </w:r>
          </w:p>
        </w:tc>
        <w:tc>
          <w:tcPr>
            <w:tcW w:w="15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6" w:type="dxa"/>
            <w:tcBorders/>
            <w:shd w:fill="auto" w:val="clear"/>
            <w:vAlign w:val="bottom"/>
          </w:tcPr>
          <w:p>
            <w:pPr>
              <w:pStyle w:val="TableContents"/>
              <w:spacing w:before="0" w:after="0"/>
              <w:ind w:left="0" w:right="0" w:hanging="0"/>
              <w:rPr/>
            </w:pPr>
            <w:r>
              <w:rPr/>
              <w:t> </w:t>
            </w:r>
          </w:p>
        </w:tc>
        <w:tc>
          <w:tcPr>
            <w:tcW w:w="14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37" w:type="dxa"/>
            <w:tcBorders/>
            <w:shd w:fill="auto" w:val="clear"/>
            <w:vAlign w:val="bottom"/>
          </w:tcPr>
          <w:p>
            <w:pPr>
              <w:pStyle w:val="TableContents"/>
              <w:spacing w:before="0" w:after="0"/>
              <w:ind w:left="0" w:right="0" w:hanging="0"/>
              <w:rPr/>
            </w:pPr>
            <w:r>
              <w:rPr/>
              <w:t> </w:t>
            </w:r>
          </w:p>
        </w:tc>
      </w:tr>
      <w:tr>
        <w:trPr/>
        <w:tc>
          <w:tcPr>
            <w:tcW w:w="27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1" w:type="dxa"/>
            <w:tcBorders/>
            <w:shd w:fill="CCEEFF" w:val="clear"/>
            <w:vAlign w:val="bottom"/>
          </w:tcPr>
          <w:p>
            <w:pPr>
              <w:pStyle w:val="TableContents"/>
              <w:spacing w:before="0" w:after="0"/>
              <w:ind w:left="0" w:right="0" w:hanging="0"/>
              <w:rPr/>
            </w:pPr>
            <w:r>
              <w:rPr/>
              <w:t> </w:t>
            </w:r>
          </w:p>
        </w:tc>
        <w:tc>
          <w:tcPr>
            <w:tcW w:w="7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15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CCEEFF" w:val="clear"/>
            <w:vAlign w:val="bottom"/>
          </w:tcPr>
          <w:p>
            <w:pPr>
              <w:pStyle w:val="TableContents"/>
              <w:spacing w:before="0" w:after="0"/>
              <w:ind w:left="0" w:right="0" w:hanging="0"/>
              <w:rPr/>
            </w:pPr>
            <w:r>
              <w:rPr/>
              <w:t> </w:t>
            </w:r>
          </w:p>
        </w:tc>
        <w:tc>
          <w:tcPr>
            <w:tcW w:w="14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CCEEFF"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7" w:type="dxa"/>
            <w:tcBorders/>
            <w:shd w:fill="CCEEFF" w:val="clear"/>
            <w:vAlign w:val="bottom"/>
          </w:tcPr>
          <w:p>
            <w:pPr>
              <w:pStyle w:val="TableContents"/>
              <w:spacing w:before="0" w:after="0"/>
              <w:ind w:left="0" w:right="0" w:hanging="0"/>
              <w:rPr/>
            </w:pPr>
            <w:r>
              <w:rPr/>
              <w:t> </w:t>
            </w:r>
          </w:p>
        </w:tc>
      </w:tr>
      <w:tr>
        <w:trPr/>
        <w:tc>
          <w:tcPr>
            <w:tcW w:w="27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September 30, 2010</w:t>
            </w:r>
          </w:p>
        </w:tc>
        <w:tc>
          <w:tcPr>
            <w:tcW w:w="171" w:type="dxa"/>
            <w:tcBorders/>
            <w:shd w:fill="auto" w:val="clear"/>
            <w:vAlign w:val="bottom"/>
          </w:tcPr>
          <w:p>
            <w:pPr>
              <w:pStyle w:val="TableContents"/>
              <w:spacing w:before="0" w:after="0"/>
              <w:ind w:left="0" w:right="0" w:hanging="0"/>
              <w:rPr/>
            </w:pPr>
            <w:r>
              <w:rPr/>
              <w:t> </w:t>
            </w:r>
          </w:p>
        </w:tc>
        <w:tc>
          <w:tcPr>
            <w:tcW w:w="7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71"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4,014</w:t>
            </w:r>
          </w:p>
        </w:tc>
        <w:tc>
          <w:tcPr>
            <w:tcW w:w="186"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6"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4,111</w:t>
            </w:r>
          </w:p>
        </w:tc>
        <w:tc>
          <w:tcPr>
            <w:tcW w:w="186" w:type="dxa"/>
            <w:tcBorders/>
            <w:shd w:fill="auto" w:val="clear"/>
            <w:vAlign w:val="bottom"/>
          </w:tcPr>
          <w:p>
            <w:pPr>
              <w:pStyle w:val="TableContents"/>
              <w:spacing w:before="0" w:after="0"/>
              <w:ind w:left="0" w:right="0" w:hanging="0"/>
              <w:rPr/>
            </w:pPr>
            <w:r>
              <w:rPr/>
              <w:t> </w:t>
            </w:r>
          </w:p>
        </w:tc>
        <w:tc>
          <w:tcPr>
            <w:tcW w:w="2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86"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3" w:name="CondensedConsolidatedStatementsOf_123530"/>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89"/>
        <w:gridCol w:w="207"/>
        <w:gridCol w:w="175"/>
        <w:gridCol w:w="1045"/>
        <w:gridCol w:w="240"/>
        <w:gridCol w:w="175"/>
        <w:gridCol w:w="1117"/>
        <w:gridCol w:w="207"/>
        <w:gridCol w:w="161"/>
        <w:gridCol w:w="1081"/>
        <w:gridCol w:w="230"/>
        <w:gridCol w:w="161"/>
        <w:gridCol w:w="1081"/>
        <w:gridCol w:w="136"/>
      </w:tblGrid>
      <w:tr>
        <w:trPr/>
        <w:tc>
          <w:tcPr>
            <w:tcW w:w="41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71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6" w:type="dxa"/>
            <w:tcBorders/>
            <w:shd w:fill="auto" w:val="clear"/>
            <w:vAlign w:val="bottom"/>
          </w:tcPr>
          <w:p>
            <w:pPr>
              <w:pStyle w:val="TableContents"/>
              <w:spacing w:before="0" w:after="0"/>
              <w:ind w:left="0" w:right="0" w:hanging="0"/>
              <w:jc w:val="center"/>
              <w:rPr/>
            </w:pPr>
            <w:r>
              <w:rPr/>
              <w:t> </w:t>
            </w:r>
          </w:p>
        </w:tc>
      </w:tr>
      <w:tr>
        <w:trPr/>
        <w:tc>
          <w:tcPr>
            <w:tcW w:w="41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71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6" w:type="dxa"/>
            <w:tcBorders/>
            <w:shd w:fill="auto" w:val="clear"/>
            <w:vAlign w:val="bottom"/>
          </w:tcPr>
          <w:p>
            <w:pPr>
              <w:pStyle w:val="TableContents"/>
              <w:spacing w:before="0" w:after="0"/>
              <w:ind w:left="0" w:right="0" w:hanging="0"/>
              <w:jc w:val="center"/>
              <w:rPr/>
            </w:pPr>
            <w:r>
              <w:rPr/>
              <w:t> </w:t>
            </w:r>
          </w:p>
        </w:tc>
      </w:tr>
      <w:tr>
        <w:trPr/>
        <w:tc>
          <w:tcPr>
            <w:tcW w:w="41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40" w:type="dxa"/>
            <w:tcBorders/>
            <w:shd w:fill="auto" w:val="clear"/>
            <w:vAlign w:val="bottom"/>
          </w:tcPr>
          <w:p>
            <w:pPr>
              <w:pStyle w:val="TableContents"/>
              <w:spacing w:before="0" w:after="0"/>
              <w:ind w:left="0" w:right="0" w:hanging="0"/>
              <w:jc w:val="center"/>
              <w:rPr/>
            </w:pPr>
            <w:r>
              <w:rPr/>
              <w:t> </w:t>
            </w:r>
          </w:p>
        </w:tc>
        <w:tc>
          <w:tcPr>
            <w:tcW w:w="12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7"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0" w:type="dxa"/>
            <w:tcBorders/>
            <w:shd w:fill="auto" w:val="clear"/>
            <w:vAlign w:val="bottom"/>
          </w:tcPr>
          <w:p>
            <w:pPr>
              <w:pStyle w:val="TableContents"/>
              <w:spacing w:before="0" w:after="0"/>
              <w:ind w:left="0" w:right="0" w:hanging="0"/>
              <w:jc w:val="center"/>
              <w:rPr/>
            </w:pPr>
            <w:r>
              <w:rPr/>
              <w:t> </w:t>
            </w:r>
          </w:p>
        </w:tc>
        <w:tc>
          <w:tcPr>
            <w:tcW w:w="12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6" w:type="dxa"/>
            <w:tcBorders/>
            <w:shd w:fill="auto" w:val="clear"/>
            <w:vAlign w:val="bottom"/>
          </w:tcPr>
          <w:p>
            <w:pPr>
              <w:pStyle w:val="TableContents"/>
              <w:spacing w:before="0" w:after="0"/>
              <w:ind w:left="0" w:right="0" w:hanging="0"/>
              <w:jc w:val="center"/>
              <w:rPr/>
            </w:pPr>
            <w:r>
              <w:rPr/>
              <w:t> </w:t>
            </w:r>
          </w:p>
        </w:tc>
      </w:tr>
      <w:tr>
        <w:trPr/>
        <w:tc>
          <w:tcPr>
            <w:tcW w:w="418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07" w:type="dxa"/>
            <w:tcBorders/>
            <w:shd w:fill="auto" w:val="clear"/>
            <w:vAlign w:val="bottom"/>
          </w:tcPr>
          <w:p>
            <w:pPr>
              <w:pStyle w:val="TableContents"/>
              <w:spacing w:before="0" w:after="0"/>
              <w:ind w:left="0" w:right="0" w:hanging="0"/>
              <w:jc w:val="center"/>
              <w:rPr/>
            </w:pPr>
            <w:r>
              <w:rPr/>
              <w:t> </w:t>
            </w:r>
          </w:p>
        </w:tc>
        <w:tc>
          <w:tcPr>
            <w:tcW w:w="271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6" w:type="dxa"/>
            <w:tcBorders/>
            <w:shd w:fill="auto" w:val="clear"/>
            <w:vAlign w:val="bottom"/>
          </w:tcPr>
          <w:p>
            <w:pPr>
              <w:pStyle w:val="TableContents"/>
              <w:spacing w:before="0" w:after="0"/>
              <w:ind w:left="0" w:right="0" w:hanging="0"/>
              <w:jc w:val="center"/>
              <w:rPr/>
            </w:pPr>
            <w:r>
              <w:rPr/>
              <w:t> </w:t>
            </w:r>
          </w:p>
        </w:tc>
      </w:tr>
      <w:tr>
        <w:trPr/>
        <w:tc>
          <w:tcPr>
            <w:tcW w:w="41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7"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40"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7"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30"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6" w:type="dxa"/>
            <w:tcBorders/>
            <w:shd w:fill="CCEEFF" w:val="clear"/>
            <w:vAlign w:val="bottom"/>
          </w:tcPr>
          <w:p>
            <w:pPr>
              <w:pStyle w:val="TableContents"/>
              <w:spacing w:before="0" w:after="0"/>
              <w:ind w:left="0" w:right="0" w:hanging="0"/>
              <w:rPr/>
            </w:pPr>
            <w:r>
              <w:rPr/>
              <w:t> </w:t>
            </w:r>
          </w:p>
        </w:tc>
      </w:tr>
      <w:tr>
        <w:trPr/>
        <w:tc>
          <w:tcPr>
            <w:tcW w:w="41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207" w:type="dxa"/>
            <w:tcBorders/>
            <w:shd w:fill="auto"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0" w:type="dxa"/>
            <w:tcBorders/>
            <w:shd w:fill="auto"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7"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30"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36" w:type="dxa"/>
            <w:tcBorders/>
            <w:shd w:fill="auto" w:val="clear"/>
            <w:vAlign w:val="bottom"/>
          </w:tcPr>
          <w:p>
            <w:pPr>
              <w:pStyle w:val="TableContents"/>
              <w:spacing w:before="0" w:after="0"/>
              <w:ind w:left="0" w:right="0" w:hanging="0"/>
              <w:rPr/>
            </w:pPr>
            <w:r>
              <w:rPr/>
              <w:t> </w:t>
            </w:r>
          </w:p>
        </w:tc>
      </w:tr>
      <w:tr>
        <w:trPr/>
        <w:tc>
          <w:tcPr>
            <w:tcW w:w="41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7"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40"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07"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23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527</w:t>
            </w:r>
          </w:p>
        </w:tc>
        <w:tc>
          <w:tcPr>
            <w:tcW w:w="136" w:type="dxa"/>
            <w:tcBorders/>
            <w:shd w:fill="CCEEFF" w:val="clear"/>
            <w:vAlign w:val="bottom"/>
          </w:tcPr>
          <w:p>
            <w:pPr>
              <w:pStyle w:val="TableContents"/>
              <w:spacing w:before="0" w:after="0"/>
              <w:ind w:left="0" w:right="0" w:hanging="0"/>
              <w:rPr/>
            </w:pPr>
            <w:r>
              <w:rPr/>
              <w:t> </w:t>
            </w:r>
          </w:p>
        </w:tc>
      </w:tr>
      <w:tr>
        <w:trPr/>
        <w:tc>
          <w:tcPr>
            <w:tcW w:w="41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Comprehensive income attributable to noncontrolling interests</w:t>
            </w:r>
          </w:p>
        </w:tc>
        <w:tc>
          <w:tcPr>
            <w:tcW w:w="207" w:type="dxa"/>
            <w:tcBorders/>
            <w:shd w:fill="auto"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7"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40" w:type="dxa"/>
            <w:tcBorders/>
            <w:shd w:fill="CCEEFF" w:val="clear"/>
            <w:vAlign w:val="bottom"/>
          </w:tcPr>
          <w:p>
            <w:pPr>
              <w:pStyle w:val="TableContents"/>
              <w:spacing w:before="0" w:after="0"/>
              <w:ind w:left="0" w:right="0" w:hanging="0"/>
              <w:rPr/>
            </w:pPr>
            <w:r>
              <w:rPr/>
              <w:t> </w:t>
            </w:r>
          </w:p>
        </w:tc>
        <w:tc>
          <w:tcPr>
            <w:tcW w:w="1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07"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30" w:type="dxa"/>
            <w:tcBorders/>
            <w:shd w:fill="CCEEFF" w:val="clear"/>
            <w:vAlign w:val="bottom"/>
          </w:tcPr>
          <w:p>
            <w:pPr>
              <w:pStyle w:val="TableContents"/>
              <w:spacing w:before="0" w:after="0"/>
              <w:ind w:left="0" w:right="0" w:hanging="0"/>
              <w:rPr/>
            </w:pPr>
            <w:r>
              <w:rPr/>
              <w:t> </w:t>
            </w:r>
          </w:p>
        </w:tc>
        <w:tc>
          <w:tcPr>
            <w:tcW w:w="1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526</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bookmarkStart w:id="14" w:name="CondensedConsolidatedStatementOf_123936"/>
      <w:bookmarkEnd w:id="14"/>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82"/>
        <w:gridCol w:w="204"/>
        <w:gridCol w:w="261"/>
        <w:gridCol w:w="1144"/>
        <w:gridCol w:w="217"/>
        <w:gridCol w:w="224"/>
        <w:gridCol w:w="1192"/>
        <w:gridCol w:w="204"/>
        <w:gridCol w:w="180"/>
        <w:gridCol w:w="966"/>
        <w:gridCol w:w="217"/>
        <w:gridCol w:w="157"/>
        <w:gridCol w:w="1013"/>
        <w:gridCol w:w="144"/>
      </w:tblGrid>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4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17" w:type="dxa"/>
            <w:tcBorders/>
            <w:shd w:fill="auto" w:val="clear"/>
            <w:vAlign w:val="bottom"/>
          </w:tcPr>
          <w:p>
            <w:pPr>
              <w:pStyle w:val="TableContents"/>
              <w:spacing w:before="0" w:after="0"/>
              <w:ind w:left="0" w:right="0" w:hanging="0"/>
              <w:jc w:val="center"/>
              <w:rPr/>
            </w:pPr>
            <w:r>
              <w:rPr/>
              <w:t> </w:t>
            </w:r>
          </w:p>
        </w:tc>
        <w:tc>
          <w:tcPr>
            <w:tcW w:w="14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04" w:type="dxa"/>
            <w:tcBorders/>
            <w:shd w:fill="auto" w:val="clear"/>
            <w:vAlign w:val="bottom"/>
          </w:tcPr>
          <w:p>
            <w:pPr>
              <w:pStyle w:val="TableContents"/>
              <w:spacing w:before="0" w:after="0"/>
              <w:ind w:left="0" w:right="0" w:hanging="0"/>
              <w:jc w:val="center"/>
              <w:rPr/>
            </w:pPr>
            <w:r>
              <w:rPr/>
              <w:t> </w:t>
            </w:r>
          </w:p>
        </w:tc>
        <w:tc>
          <w:tcPr>
            <w:tcW w:w="1146" w:type="dxa"/>
            <w:gridSpan w:val="2"/>
            <w:tcBorders/>
            <w:shd w:fill="auto" w:val="clear"/>
            <w:vAlign w:val="bottom"/>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17" w:type="dxa"/>
            <w:tcBorders/>
            <w:shd w:fill="auto" w:val="clear"/>
            <w:vAlign w:val="bottom"/>
          </w:tcPr>
          <w:p>
            <w:pPr>
              <w:pStyle w:val="TableContents"/>
              <w:spacing w:before="0" w:after="0"/>
              <w:ind w:left="0" w:right="0" w:hanging="0"/>
              <w:jc w:val="center"/>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04" w:type="dxa"/>
            <w:tcBorders/>
            <w:shd w:fill="auto" w:val="clear"/>
            <w:vAlign w:val="bottom"/>
          </w:tcPr>
          <w:p>
            <w:pPr>
              <w:pStyle w:val="TableContents"/>
              <w:spacing w:before="0" w:after="0"/>
              <w:ind w:left="0" w:right="0" w:hanging="0"/>
              <w:jc w:val="center"/>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17"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5775"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4" w:type="dxa"/>
            <w:tcBorders/>
            <w:shd w:fill="auto" w:val="clear"/>
            <w:vAlign w:val="bottom"/>
          </w:tcPr>
          <w:p>
            <w:pPr>
              <w:pStyle w:val="TableContents"/>
              <w:spacing w:before="0" w:after="0"/>
              <w:ind w:left="0" w:right="0" w:hanging="0"/>
              <w:jc w:val="center"/>
              <w:rPr/>
            </w:pPr>
            <w:r>
              <w:rPr/>
              <w:t> </w:t>
            </w:r>
          </w:p>
        </w:tc>
      </w:tr>
      <w:tr>
        <w:trPr/>
        <w:tc>
          <w:tcPr>
            <w:tcW w:w="40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December 31, 2009</w:t>
            </w:r>
          </w:p>
        </w:tc>
        <w:tc>
          <w:tcPr>
            <w:tcW w:w="204"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2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4"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44" w:type="dxa"/>
            <w:tcBorders/>
            <w:shd w:fill="CCEEFF" w:val="clear"/>
            <w:vAlign w:val="bottom"/>
          </w:tcPr>
          <w:p>
            <w:pPr>
              <w:pStyle w:val="TableContents"/>
              <w:spacing w:before="0" w:after="0"/>
              <w:ind w:left="0" w:right="0" w:hanging="0"/>
              <w:rPr/>
            </w:pPr>
            <w:r>
              <w:rPr/>
              <w:t> </w:t>
            </w:r>
          </w:p>
        </w:tc>
      </w:tr>
      <w:tr>
        <w:trPr/>
        <w:tc>
          <w:tcPr>
            <w:tcW w:w="40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4" w:type="dxa"/>
            <w:tcBorders/>
            <w:shd w:fill="auto" w:val="clear"/>
            <w:vAlign w:val="bottom"/>
          </w:tcPr>
          <w:p>
            <w:pPr>
              <w:pStyle w:val="TableContents"/>
              <w:spacing w:before="0" w:after="0"/>
              <w:ind w:left="0" w:right="0" w:hanging="0"/>
              <w:rPr/>
            </w:pPr>
            <w:r>
              <w:rPr/>
              <w:t> </w:t>
            </w:r>
          </w:p>
        </w:tc>
        <w:tc>
          <w:tcPr>
            <w:tcW w:w="14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auto" w:val="clear"/>
            <w:vAlign w:val="bottom"/>
          </w:tcPr>
          <w:p>
            <w:pPr>
              <w:pStyle w:val="TableContents"/>
              <w:spacing w:before="0" w:after="0"/>
              <w:ind w:left="0" w:right="0" w:hanging="0"/>
              <w:rPr/>
            </w:pPr>
            <w:r>
              <w:rPr/>
              <w:t> </w:t>
            </w:r>
          </w:p>
        </w:tc>
        <w:tc>
          <w:tcPr>
            <w:tcW w:w="14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1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44" w:type="dxa"/>
            <w:tcBorders/>
            <w:shd w:fill="auto" w:val="clear"/>
            <w:vAlign w:val="bottom"/>
          </w:tcPr>
          <w:p>
            <w:pPr>
              <w:pStyle w:val="TableContents"/>
              <w:spacing w:before="0" w:after="0"/>
              <w:ind w:left="0" w:right="0" w:hanging="0"/>
              <w:rPr/>
            </w:pPr>
            <w:r>
              <w:rPr/>
              <w:t> </w:t>
            </w:r>
          </w:p>
        </w:tc>
      </w:tr>
      <w:tr>
        <w:trPr/>
        <w:tc>
          <w:tcPr>
            <w:tcW w:w="40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4" w:type="dxa"/>
            <w:tcBorders/>
            <w:shd w:fill="CCEEFF" w:val="clear"/>
            <w:vAlign w:val="bottom"/>
          </w:tcPr>
          <w:p>
            <w:pPr>
              <w:pStyle w:val="TableContents"/>
              <w:spacing w:before="0" w:after="0"/>
              <w:ind w:left="0" w:right="0" w:hanging="0"/>
              <w:rPr/>
            </w:pPr>
            <w:r>
              <w:rPr/>
              <w:t> </w:t>
            </w:r>
          </w:p>
        </w:tc>
        <w:tc>
          <w:tcPr>
            <w:tcW w:w="14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1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4" w:type="dxa"/>
            <w:tcBorders/>
            <w:shd w:fill="auto" w:val="clear"/>
            <w:vAlign w:val="bottom"/>
          </w:tcPr>
          <w:p>
            <w:pPr>
              <w:pStyle w:val="TableContents"/>
              <w:spacing w:before="0" w:after="0"/>
              <w:ind w:left="0" w:right="0" w:hanging="0"/>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4" w:type="dxa"/>
            <w:tcBorders/>
            <w:shd w:fill="auto"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44" w:type="dxa"/>
            <w:tcBorders/>
            <w:shd w:fill="auto" w:val="clear"/>
            <w:vAlign w:val="bottom"/>
          </w:tcPr>
          <w:p>
            <w:pPr>
              <w:pStyle w:val="TableContents"/>
              <w:spacing w:before="0" w:after="0"/>
              <w:ind w:left="0" w:right="0" w:hanging="0"/>
              <w:rPr/>
            </w:pPr>
            <w:r>
              <w:rPr/>
              <w:t> </w:t>
            </w:r>
          </w:p>
        </w:tc>
      </w:tr>
      <w:tr>
        <w:trPr/>
        <w:tc>
          <w:tcPr>
            <w:tcW w:w="40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4" w:type="dxa"/>
            <w:tcBorders/>
            <w:shd w:fill="CCEEFF" w:val="clear"/>
            <w:vAlign w:val="bottom"/>
          </w:tcPr>
          <w:p>
            <w:pPr>
              <w:pStyle w:val="TableContents"/>
              <w:spacing w:before="0" w:after="0"/>
              <w:ind w:left="0" w:right="0" w:hanging="0"/>
              <w:rPr/>
            </w:pPr>
            <w:r>
              <w:rPr/>
              <w:t> </w:t>
            </w:r>
          </w:p>
        </w:tc>
        <w:tc>
          <w:tcPr>
            <w:tcW w:w="14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pPr>
            <w:r>
              <w:rPr/>
              <w:t> </w:t>
            </w:r>
          </w:p>
        </w:tc>
        <w:tc>
          <w:tcPr>
            <w:tcW w:w="141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4" w:type="dxa"/>
            <w:tcBorders/>
            <w:shd w:fill="CCEEFF" w:val="clear"/>
            <w:vAlign w:val="bottom"/>
          </w:tcPr>
          <w:p>
            <w:pPr>
              <w:pStyle w:val="TableContents"/>
              <w:spacing w:before="0" w:after="0"/>
              <w:ind w:left="0" w:right="0" w:hanging="0"/>
              <w:rPr/>
            </w:pPr>
            <w:r>
              <w:rPr/>
              <w:t> </w:t>
            </w:r>
          </w:p>
        </w:tc>
        <w:tc>
          <w:tcPr>
            <w:tcW w:w="11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44" w:type="dxa"/>
            <w:tcBorders/>
            <w:shd w:fill="CCEEFF" w:val="clear"/>
            <w:vAlign w:val="bottom"/>
          </w:tcPr>
          <w:p>
            <w:pPr>
              <w:pStyle w:val="TableContents"/>
              <w:spacing w:before="0" w:after="0"/>
              <w:ind w:left="0" w:right="0" w:hanging="0"/>
              <w:rPr/>
            </w:pPr>
            <w:r>
              <w:rPr/>
              <w:t> </w:t>
            </w:r>
          </w:p>
        </w:tc>
      </w:tr>
      <w:tr>
        <w:trPr/>
        <w:tc>
          <w:tcPr>
            <w:tcW w:w="40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September 30, 2010</w:t>
            </w:r>
          </w:p>
        </w:tc>
        <w:tc>
          <w:tcPr>
            <w:tcW w:w="204"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7" w:type="dxa"/>
            <w:tcBorders/>
            <w:shd w:fill="auto" w:val="clear"/>
            <w:vAlign w:val="bottom"/>
          </w:tcPr>
          <w:p>
            <w:pPr>
              <w:pStyle w:val="TableContents"/>
              <w:spacing w:before="0" w:after="0"/>
              <w:ind w:left="0" w:right="0" w:hanging="0"/>
              <w:rPr/>
            </w:pPr>
            <w:r>
              <w:rPr/>
              <w:t> </w:t>
            </w:r>
          </w:p>
        </w:tc>
        <w:tc>
          <w:tcPr>
            <w:tcW w:w="2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4"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4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5" w:name="PB_6_124028_141"/>
      <w:bookmarkEnd w:id="15"/>
    </w:p>
    <w:p>
      <w:pPr>
        <w:pStyle w:val="HorizontalLine"/>
        <w:pBdr>
          <w:bottom w:val="single" w:sz="18" w:space="0" w:color="010101"/>
        </w:pBdr>
        <w:spacing w:before="0" w:after="0"/>
        <w:rPr/>
      </w:pPr>
      <w:r>
        <w:rPr/>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THE CONDENSED CONSOLIDATED FINANCIAL STATEMENTS</w:t>
      </w:r>
      <w:bookmarkStart w:id="16" w:name="NotesToTheCondensedConsolidatedFi_124409"/>
      <w:bookmarkEnd w:id="16"/>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7" w:name="Note1organizationAndBasisOfPresen_124415"/>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refined products and LPG. We also engage in the development and operation of natural gas storage facilities. We manage our operations through three operating segments: (i) Transportation, (ii) Facilities and (iii) Supply and Logistics. See Note 11 for further detail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in this Form 10-Q, the terms Partnership, Plains, PAA, we, us, our, ours and similar terms refer to Plains All American Pipeline, L.P. and its subsidiaries, unless the context indicates otherwise.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additional defined terms are used in this Form 10-Q and shall have the meanings indicated below:</w:t>
      </w:r>
    </w:p>
    <w:p>
      <w:pPr>
        <w:pStyle w:val="TextBody"/>
        <w:spacing w:before="0" w:after="0"/>
        <w:ind w:left="0" w:right="0" w:hanging="0"/>
        <w:rPr/>
      </w:pPr>
      <w:r>
        <w:rPr/>
        <w:t> </w:t>
      </w:r>
    </w:p>
    <w:tbl>
      <w:tblPr>
        <w:tblW w:w="4750" w:type="pct"/>
        <w:jc w:val="left"/>
        <w:tblInd w:w="0" w:type="dxa"/>
        <w:tblCellMar>
          <w:top w:w="0" w:type="dxa"/>
          <w:left w:w="0" w:type="dxa"/>
          <w:bottom w:w="0" w:type="dxa"/>
          <w:right w:w="0" w:type="dxa"/>
        </w:tblCellMar>
      </w:tblPr>
      <w:tblGrid>
        <w:gridCol w:w="1565"/>
        <w:gridCol w:w="8129"/>
      </w:tblGrid>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Accumulated other comprehensive income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API 653</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American Petroleum Institute Standard 653</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Billion cubic feet</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CAA</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Clean Air Act</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Canadian Dollar</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DCP</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Disclosure controls and procedures</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Distribution Equivalent Rights</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DOJ</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United States Department of Justice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EPA</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United States Environmental Protection Agency</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Federal Energy Regulation Commission</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Financial Accounting Standards Board</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IntercontinentalExchange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IPO </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Initial Public Offering </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London Interbank Offered Rate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Liquefied petroleum gas and other natural gas-related petroleum products</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Long term incentive plan</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Thousand cubic feet</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MLP </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Master limited partnership </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MTBE</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Methyl tertiary-butyl ether</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NJDEP</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New Jersey Department of Environmental Protection</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New York Mercantile Exchange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NPNS </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Normal purchase and normal sale </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Class B units</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Class B units of our general partner, Plains AAP, L.P.</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Pipeline loss allowance</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PNG </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PAA Natural Gas Storage, L.P. </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 Class B units</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Class B units of PNGs general partner, PNGS GP LLC</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PNG Plan </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PAA Natural Gas Storage, L.P. 2010 Long Term Incentive Plan </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PAA Natural Gas Storage, LLC</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PAT</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Pacific Atlantic Terminals, LLC</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Rainbow Pipe Line Company Ltd.</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RMPS</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Rocky Mountain Pipeline System</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Securities and Exchange Commission</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GAAP</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United States generally accepted accounting principles</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United States Dollar</w:t>
            </w:r>
          </w:p>
        </w:tc>
      </w:tr>
      <w:tr>
        <w:trPr/>
        <w:tc>
          <w:tcPr>
            <w:tcW w:w="1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8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West Texas Intermediate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8" w:name="PB_7_141626_5335"/>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condensed consolidated interim financial statements should be read in conjunction with our consolidated financial statements and notes thereto presented in our 2009 Annual Report on Form 10-K. The financial statements have been prepared in accordance with the instructions for interim reporting as prescribed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Plains. The condensed balance sheet data as of December 31, 2009 was derived from audited financial statements, but does not include all disclosures required by U.S. GAAP. The results of operations for the three and nine months ended September 30, 2010 should not be taken as indicative of the results to be expected for the full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within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19" w:name="Note2recentAccountingPronouncemen_124638"/>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2009 Annual Report on Form 10-K, no new accounting pronouncements have become effective during the nine months ended September 30, 2010</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Fair Value Measurement Disclosure Requirements.</w:t>
      </w:r>
      <w:r>
        <w:rPr>
          <w:rFonts w:ascii="Times New Roman" w:hAnsi="Times New Roman"/>
        </w:rPr>
        <w:t xml:space="preserve"> </w:t>
      </w:r>
      <w:r>
        <w:rPr>
          <w:rFonts w:ascii="Times New Roman" w:hAnsi="Times New Roman"/>
          <w:sz w:val="17"/>
        </w:rPr>
        <w:t>In January 2010, the FASB issued guidance to enhance disclosures related to the existing fair value hierarchy disclosure requirements. A fair value measurement is designated as Level 1, 2 or 3 within the hierarchy based on the nature of the inputs used in the valuation process. Level 1 measurements generally reflect quoted market prices in active markets for identical assets or liabilities, Level 2 measurements generally reflect the use of significant observable inputs and Level 3 measurements typically utilize significant unobservable inputs. This new guidance requires additional disclosures regarding transfers into and out of Level 1 and Level 2 measurements and requires a gross presentation of activities within the Level 3 roll forward. This guidance was effective for the first interim or annual reporting period beginning after December 15, 2009, except for the gross presentation of the Level 3 roll forward, which is required for annual reporting periods beginning after December 15, 2010 and for interim reporting periods within those years. We adopted the guidance relating to Level 1 and Level 2 measurements as of January 1, 2010. Our adoption did not have any material impact on our financial position, results of operations or cash flows. We will adopt the guidance relating to Level 3 measurements on January 1, 2011. We do not expect that adoption of this guidance will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Variable Interest Entities.</w:t>
      </w:r>
      <w:r>
        <w:rPr>
          <w:rFonts w:ascii="Times New Roman" w:hAnsi="Times New Roman"/>
        </w:rPr>
        <w:t xml:space="preserve"> </w:t>
      </w:r>
      <w:r>
        <w:rPr>
          <w:rFonts w:ascii="Times New Roman" w:hAnsi="Times New Roman"/>
          <w:sz w:val="17"/>
        </w:rPr>
        <w:t>In June 2009, the FASB issued guidance that requires an enterprise to perform an analysis to determine whether the enterprises variable interest(s) provide a controlling financial interest in a variable interest entity (VIE). This analysis identifies the primary beneficiary of a VIE as the enterprise that has (i) the power to direct the activities of a VIE that most significantly impact the entitys economic performance and (ii) the obligation to absorb losses of the entity, or the right to receive benefits from the entity, that could potentially be significant to the VIE. This guidance also (i) requires such assessments to be ongoing, (ii) amends certain guidance for determining whether an entity is a VIE and (iii) enhances disclosures that will provide users of financial statements with more transparent information regarding an enterprises involvement in a VIE. We adopted this guidance as of January 1, 2010. Our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3Trade Accounts Receivable</w:t>
      </w:r>
      <w:bookmarkStart w:id="20" w:name="Note3tradeAccountsReceivable_124641"/>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2010 and December 31, 2009, substantially all of our accounts receivable (net of allowance for doubtful accounts) were less than 60 days past their scheduled invoice date. Our allowance for doubtful accounts receivable totaled $4 million and $9 million at September 30, 2010 and December 31, 2009, respectively. The decrease in our allowance for doubtful accounts receivable balance during the nine months ended September 30, 2010 primarily is due to the collection and related settlement of claims for receivables that had been reserved for during the years ended December 31, 2009 and 2008. Although we consider our allowance for doubtful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2010 and December 31, 2009, we had received approximately $142 million and $212 million, respectively, of advance cash payments from third parties to mitigate credit risk. In addition, we enter into netting arrangements (contractual agreements that allow us and the counterparty to offset receivables and payables between the two) that cover a significant part of our transactions and also serve to mitigate credit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1" w:name="PB_8_141626_5796"/>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4Inventory, Linefill, Base Gas and Long-term Inventory</w:t>
      </w:r>
      <w:bookmarkStart w:id="22" w:name="Note4inventoryLinefillBaseGasAndL_124651"/>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long-term inventory consisted of the following (barrels in thousands, natural gas volumes in millions and total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28"/>
        <w:gridCol w:w="209"/>
        <w:gridCol w:w="762"/>
        <w:gridCol w:w="209"/>
        <w:gridCol w:w="762"/>
        <w:gridCol w:w="209"/>
        <w:gridCol w:w="111"/>
        <w:gridCol w:w="548"/>
        <w:gridCol w:w="209"/>
        <w:gridCol w:w="111"/>
        <w:gridCol w:w="548"/>
        <w:gridCol w:w="209"/>
        <w:gridCol w:w="762"/>
        <w:gridCol w:w="209"/>
        <w:gridCol w:w="762"/>
        <w:gridCol w:w="209"/>
        <w:gridCol w:w="111"/>
        <w:gridCol w:w="548"/>
        <w:gridCol w:w="209"/>
        <w:gridCol w:w="110"/>
        <w:gridCol w:w="548"/>
        <w:gridCol w:w="122"/>
      </w:tblGrid>
      <w:tr>
        <w:trPr/>
        <w:tc>
          <w:tcPr>
            <w:tcW w:w="2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3469"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209" w:type="dxa"/>
            <w:tcBorders/>
            <w:shd w:fill="auto" w:val="clear"/>
            <w:vAlign w:val="bottom"/>
          </w:tcPr>
          <w:p>
            <w:pPr>
              <w:pStyle w:val="TableContents"/>
              <w:spacing w:before="0" w:after="0"/>
              <w:ind w:left="0" w:right="0" w:hanging="0"/>
              <w:jc w:val="center"/>
              <w:rPr/>
            </w:pPr>
            <w:r>
              <w:rPr/>
              <w:t> </w:t>
            </w:r>
          </w:p>
        </w:tc>
        <w:tc>
          <w:tcPr>
            <w:tcW w:w="346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22" w:type="dxa"/>
            <w:tcBorders/>
            <w:shd w:fill="auto" w:val="clear"/>
            <w:vAlign w:val="bottom"/>
          </w:tcPr>
          <w:p>
            <w:pPr>
              <w:pStyle w:val="TableContents"/>
              <w:spacing w:before="0" w:after="0"/>
              <w:ind w:left="0" w:right="0" w:hanging="0"/>
              <w:jc w:val="center"/>
              <w:rPr/>
            </w:pPr>
            <w:r>
              <w:rPr/>
              <w:t> </w:t>
            </w:r>
          </w:p>
        </w:tc>
      </w:tr>
      <w:tr>
        <w:trPr/>
        <w:tc>
          <w:tcPr>
            <w:tcW w:w="2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9" w:type="dxa"/>
            <w:tcBorders/>
            <w:shd w:fill="auto" w:val="clear"/>
            <w:vAlign w:val="bottom"/>
          </w:tcPr>
          <w:p>
            <w:pPr>
              <w:pStyle w:val="TableContents"/>
              <w:spacing w:before="0" w:after="0"/>
              <w:ind w:left="0" w:right="0" w:hanging="0"/>
              <w:jc w:val="center"/>
              <w:rPr/>
            </w:pPr>
            <w:r>
              <w:rPr/>
              <w:t> </w:t>
            </w:r>
          </w:p>
        </w:tc>
        <w:tc>
          <w:tcPr>
            <w:tcW w:w="65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2" w:type="dxa"/>
            <w:tcBorders/>
            <w:shd w:fill="auto" w:val="clear"/>
            <w:vAlign w:val="bottom"/>
          </w:tcPr>
          <w:p>
            <w:pPr>
              <w:pStyle w:val="TableContents"/>
              <w:spacing w:before="0" w:after="0"/>
              <w:ind w:left="0" w:right="0" w:hanging="0"/>
              <w:jc w:val="center"/>
              <w:rPr/>
            </w:pPr>
            <w:r>
              <w:rPr/>
              <w:t> </w:t>
            </w:r>
          </w:p>
        </w:tc>
      </w:tr>
      <w:tr>
        <w:trPr/>
        <w:tc>
          <w:tcPr>
            <w:tcW w:w="2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shd w:fill="auto" w:val="clear"/>
            <w:vAlign w:val="bottom"/>
          </w:tcPr>
          <w:p>
            <w:pPr>
              <w:pStyle w:val="TableContents"/>
              <w:spacing w:before="0" w:after="0"/>
              <w:ind w:left="0" w:right="0" w:hanging="0"/>
              <w:jc w:val="center"/>
              <w:rPr/>
            </w:pPr>
            <w:r>
              <w:rPr/>
              <w:t> </w:t>
            </w:r>
          </w:p>
        </w:tc>
        <w:tc>
          <w:tcPr>
            <w:tcW w:w="7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9" w:type="dxa"/>
            <w:tcBorders/>
            <w:shd w:fill="auto" w:val="clear"/>
            <w:vAlign w:val="bottom"/>
          </w:tcPr>
          <w:p>
            <w:pPr>
              <w:pStyle w:val="TableContents"/>
              <w:spacing w:before="0" w:after="0"/>
              <w:ind w:left="0" w:right="0" w:hanging="0"/>
              <w:jc w:val="center"/>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9" w:type="dxa"/>
            <w:tcBorders/>
            <w:shd w:fill="auto" w:val="clear"/>
            <w:vAlign w:val="bottom"/>
          </w:tcPr>
          <w:p>
            <w:pPr>
              <w:pStyle w:val="TableContents"/>
              <w:spacing w:before="0" w:after="0"/>
              <w:ind w:left="0" w:right="0" w:hanging="0"/>
              <w:jc w:val="center"/>
              <w:rPr/>
            </w:pPr>
            <w:r>
              <w:rPr/>
              <w:t> </w:t>
            </w:r>
          </w:p>
        </w:tc>
        <w:tc>
          <w:tcPr>
            <w:tcW w:w="6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2" w:type="dxa"/>
            <w:tcBorders/>
            <w:shd w:fill="auto" w:val="clear"/>
            <w:vAlign w:val="bottom"/>
          </w:tcPr>
          <w:p>
            <w:pPr>
              <w:pStyle w:val="TableContents"/>
              <w:spacing w:before="0" w:after="0"/>
              <w:ind w:left="0" w:right="0" w:hanging="0"/>
              <w:jc w:val="center"/>
              <w:rPr/>
            </w:pPr>
            <w:r>
              <w:rPr/>
              <w:t> </w:t>
            </w:r>
          </w:p>
        </w:tc>
      </w:tr>
      <w:tr>
        <w:trPr/>
        <w:tc>
          <w:tcPr>
            <w:tcW w:w="27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14,556</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1,066</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73.23</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12,232</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2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72.43</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9,627</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09"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47.99</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6,051</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40.82</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83.33</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74.20</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pPr>
            <w:r>
              <w:rPr>
                <w:rFonts w:ascii="Times New Roman" w:hAnsi="Times New Roman"/>
                <w:sz w:val="17"/>
              </w:rPr>
              <w:t xml:space="preserve">Natural gas </w:t>
            </w:r>
            <w:r>
              <w:rPr>
                <w:sz w:val="11"/>
              </w:rPr>
              <w:t>(2)</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Parts and supplies</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1,556</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9,166</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51.06</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9,404</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50.09</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pPr>
            <w:r>
              <w:rPr>
                <w:rFonts w:ascii="Times New Roman" w:hAnsi="Times New Roman"/>
                <w:sz w:val="17"/>
              </w:rPr>
              <w:t xml:space="preserve">Natural gas </w:t>
            </w:r>
            <w:r>
              <w:rPr>
                <w:sz w:val="11"/>
              </w:rPr>
              <w:t>(2)</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11,194</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9"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9,194</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51.95</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38.46</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1,420</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9"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68.31</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68.80</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9"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42.28</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9"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39.30</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2728"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762"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659"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658"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72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2,186</w:t>
            </w:r>
          </w:p>
        </w:tc>
        <w:tc>
          <w:tcPr>
            <w:tcW w:w="209"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76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1,779</w:t>
            </w:r>
          </w:p>
        </w:tc>
        <w:tc>
          <w:tcPr>
            <w:tcW w:w="209"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represents a weighted average associated with various grades, qualities, and locations; accordingly, these prices may not be comparable to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volumetric ratio of mcf of natural gas to barrels of crude oil is 6:1; thus, natural gas volumes can be converted to barrels by dividing by 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3" w:name="PB_9_141626_2897"/>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5Debt</w:t>
      </w:r>
      <w:bookmarkStart w:id="24" w:name="Note5debt_125223"/>
      <w:bookmarkEnd w:id="2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12"/>
        <w:gridCol w:w="209"/>
        <w:gridCol w:w="170"/>
        <w:gridCol w:w="1307"/>
        <w:gridCol w:w="219"/>
        <w:gridCol w:w="166"/>
        <w:gridCol w:w="1289"/>
        <w:gridCol w:w="133"/>
      </w:tblGrid>
      <w:tr>
        <w:trPr/>
        <w:tc>
          <w:tcPr>
            <w:tcW w:w="671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9" w:type="dxa"/>
            <w:tcBorders/>
            <w:shd w:fill="auto" w:val="clear"/>
            <w:vAlign w:val="bottom"/>
          </w:tcPr>
          <w:p>
            <w:pPr>
              <w:pStyle w:val="TableContents"/>
              <w:spacing w:before="0" w:after="0"/>
              <w:ind w:left="0" w:right="0" w:hanging="0"/>
              <w:jc w:val="center"/>
              <w:rPr/>
            </w:pPr>
            <w:r>
              <w:rPr/>
              <w:t> </w:t>
            </w:r>
          </w:p>
        </w:tc>
        <w:tc>
          <w:tcPr>
            <w:tcW w:w="145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3" w:type="dxa"/>
            <w:tcBorders/>
            <w:shd w:fill="auto" w:val="clear"/>
            <w:vAlign w:val="bottom"/>
          </w:tcPr>
          <w:p>
            <w:pPr>
              <w:pStyle w:val="TableContents"/>
              <w:spacing w:before="0" w:after="0"/>
              <w:ind w:left="0" w:right="0" w:hanging="0"/>
              <w:jc w:val="center"/>
              <w:rPr/>
            </w:pPr>
            <w:r>
              <w:rPr/>
              <w:t> </w:t>
            </w:r>
          </w:p>
        </w:tc>
      </w:tr>
      <w:tr>
        <w:trPr/>
        <w:tc>
          <w:tcPr>
            <w:tcW w:w="671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9" w:type="dxa"/>
            <w:tcBorders/>
            <w:shd w:fill="auto" w:val="clear"/>
            <w:vAlign w:val="bottom"/>
          </w:tcPr>
          <w:p>
            <w:pPr>
              <w:pStyle w:val="TableContents"/>
              <w:spacing w:before="0" w:after="0"/>
              <w:ind w:left="0" w:right="0" w:hanging="0"/>
              <w:jc w:val="center"/>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6712"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Short-term debt:</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interest at a rate of 2.5% at both September 30, 2010 and December 31, 2009</w:t>
            </w:r>
          </w:p>
        </w:tc>
        <w:tc>
          <w:tcPr>
            <w:tcW w:w="20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pPr>
            <w:r>
              <w:rPr>
                <w:rFonts w:ascii="Times New Roman" w:hAnsi="Times New Roman"/>
                <w:sz w:val="17"/>
              </w:rPr>
              <w:t xml:space="preserve">Senior unsecured revolving credit facility, bearing interest at a rate of 0.7% and 0.8% at September 30, 2010 and December 31, 2009, respectively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493</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short-term debt</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Long-term debt:</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pPr>
            <w:r>
              <w:rPr>
                <w:rFonts w:ascii="Times New Roman" w:hAnsi="Times New Roman"/>
                <w:sz w:val="17"/>
              </w:rPr>
              <w:t xml:space="preserve">4.25% senior notes due September 2012 </w:t>
            </w:r>
            <w:r>
              <w:rPr>
                <w:sz w:val="11"/>
              </w:rPr>
              <w:t>(2)</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7.75% senior notes due October 2012</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pPr>
            <w:r>
              <w:rPr>
                <w:rFonts w:ascii="Times New Roman" w:hAnsi="Times New Roman"/>
                <w:sz w:val="17"/>
              </w:rPr>
              <w:t xml:space="preserve">3.95% senior notes due September 2015 </w:t>
            </w:r>
            <w:r>
              <w:rPr>
                <w:sz w:val="11"/>
              </w:rPr>
              <w:t>(3)</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pPr>
            <w:r>
              <w:rPr>
                <w:rFonts w:ascii="Times New Roman" w:hAnsi="Times New Roman"/>
                <w:sz w:val="17"/>
              </w:rPr>
              <w:t xml:space="preserve">6.25% senior notes due September 2015 </w:t>
            </w:r>
            <w:r>
              <w:rPr>
                <w:sz w:val="11"/>
              </w:rPr>
              <w:t>(4)</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Unamortized discount</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712" w:type="dxa"/>
            <w:tcBorders/>
            <w:shd w:fill="auto" w:val="clear"/>
          </w:tcPr>
          <w:p>
            <w:pPr>
              <w:pStyle w:val="TableContents"/>
              <w:spacing w:before="0" w:after="0"/>
              <w:ind w:left="0" w:right="0" w:hanging="0"/>
              <w:rPr/>
            </w:pPr>
            <w:r>
              <w:rPr>
                <w:rFonts w:ascii="Times New Roman" w:hAnsi="Times New Roman"/>
                <w:sz w:val="17"/>
              </w:rPr>
              <w:t xml:space="preserve">Long-term debt under credit facilities and other </w:t>
            </w:r>
            <w:r>
              <w:rPr>
                <w:sz w:val="11"/>
              </w:rPr>
              <w:t>(5)</w:t>
            </w:r>
          </w:p>
        </w:tc>
        <w:tc>
          <w:tcPr>
            <w:tcW w:w="209" w:type="dxa"/>
            <w:tcBorders/>
            <w:shd w:fill="auto"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9" w:type="dxa"/>
            <w:tcBorders/>
            <w:shd w:fill="auto"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3" w:type="dxa"/>
            <w:tcBorders/>
            <w:shd w:fill="auto" w:val="clear"/>
            <w:vAlign w:val="bottom"/>
          </w:tcPr>
          <w:p>
            <w:pPr>
              <w:pStyle w:val="TableContents"/>
              <w:spacing w:before="0" w:after="0"/>
              <w:ind w:left="0" w:right="0" w:hanging="0"/>
              <w:rPr/>
            </w:pPr>
            <w:r>
              <w:rPr/>
              <w:t> </w:t>
            </w:r>
          </w:p>
        </w:tc>
      </w:tr>
      <w:tr>
        <w:trPr/>
        <w:tc>
          <w:tcPr>
            <w:tcW w:w="6712" w:type="dxa"/>
            <w:tcBorders/>
            <w:shd w:fill="CCEEFF" w:val="clear"/>
          </w:tcPr>
          <w:p>
            <w:pPr>
              <w:pStyle w:val="TableContents"/>
              <w:spacing w:before="0" w:after="0"/>
              <w:ind w:left="0" w:right="0" w:hanging="0"/>
              <w:rPr/>
            </w:pPr>
            <w:r>
              <w:rPr>
                <w:rFonts w:ascii="Times New Roman" w:hAnsi="Times New Roman"/>
                <w:sz w:val="17"/>
              </w:rPr>
              <w:t xml:space="preserve">Total long-term debt </w:t>
            </w:r>
            <w:r>
              <w:rPr>
                <w:sz w:val="11"/>
              </w:rPr>
              <w:t>(1) (6)</w:t>
            </w:r>
          </w:p>
        </w:tc>
        <w:tc>
          <w:tcPr>
            <w:tcW w:w="209" w:type="dxa"/>
            <w:tcBorders/>
            <w:shd w:fill="CCEEFF" w:val="clear"/>
            <w:vAlign w:val="bottom"/>
          </w:tcPr>
          <w:p>
            <w:pPr>
              <w:pStyle w:val="TableContents"/>
              <w:spacing w:before="0" w:after="0"/>
              <w:ind w:left="0" w:right="0" w:hanging="0"/>
              <w:rPr/>
            </w:pPr>
            <w:r>
              <w:rPr/>
              <w:t> </w:t>
            </w:r>
          </w:p>
        </w:tc>
        <w:tc>
          <w:tcPr>
            <w:tcW w:w="14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219" w:type="dxa"/>
            <w:tcBorders/>
            <w:shd w:fill="CCEEFF"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133" w:type="dxa"/>
            <w:tcBorders/>
            <w:shd w:fill="CCEEFF" w:val="clear"/>
            <w:vAlign w:val="bottom"/>
          </w:tcPr>
          <w:p>
            <w:pPr>
              <w:pStyle w:val="TableContents"/>
              <w:spacing w:before="0" w:after="0"/>
              <w:ind w:left="0" w:right="0" w:hanging="0"/>
              <w:rPr/>
            </w:pPr>
            <w:r>
              <w:rPr/>
              <w:t> </w:t>
            </w:r>
          </w:p>
        </w:tc>
      </w:tr>
      <w:tr>
        <w:trPr/>
        <w:tc>
          <w:tcPr>
            <w:tcW w:w="67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9" w:type="dxa"/>
            <w:tcBorders/>
            <w:shd w:fill="auto" w:val="clear"/>
            <w:vAlign w:val="bottom"/>
          </w:tcPr>
          <w:p>
            <w:pPr>
              <w:pStyle w:val="TableContents"/>
              <w:spacing w:before="0" w:after="0"/>
              <w:ind w:left="0" w:right="0" w:hanging="0"/>
              <w:rPr/>
            </w:pPr>
            <w:r>
              <w:rPr/>
              <w:t> </w:t>
            </w:r>
          </w:p>
        </w:tc>
        <w:tc>
          <w:tcPr>
            <w:tcW w:w="17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5,488</w:t>
            </w:r>
          </w:p>
        </w:tc>
        <w:tc>
          <w:tcPr>
            <w:tcW w:w="219"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classify as short-term our borrowings under our senior unsecured revolving credit facility. These borrowings are designated as working capital borrowings, must be repaid within one year and are primarily for hedged LPG and crude oil inventory and NYMEX and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notes were issued in July 2009 and the proceeds are being used to supplement capital available from our hedged inventory facility. At September 30, 2010 and December 31, 2009, approximately $500 million and $222 million, respectively, had been used to fund hedged inventory and would be classified as short-term debt if funded on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July 2010, we completed the issuance of $400 million of 3.95% senior notes due September 15, 2015. The senior notes were sold at 99.889% of face value. Interest payments are due on March 15 and September 15 of each year, beginning on September 15, 2010. We used the net proceeds from this offering to repay outstanding indebtedness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On September 15, 2010, our $175 million, 6.25% senior notes due 2015 were redeemed in full.  In conjunction with the early redemption, we recognized a loss of approximately $6 million. We utilized cash on hand and available capacity under our credit facilities to redeem these 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 xml:space="preserve">In April 2010, our consolidated subsidiary PNG entered into a three year, $400 million senior unsecured revolving credit facility that matures in May 2013. This credit facility, which bears interest based on LIBOR plus an applicable margin (as defined by the credit agreement), may be expanded to $600 million, subject to additional lender commitments, with approval of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5" w:name="PB_10_141626_3020"/>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administrative agent for the credit facility. At September 30, 2010, borrowings of approximately $222 million were outstanding under this facility.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Our fixed-rate senior notes have a face value of approximately $4.4 billion as of September 30, 2010. We estimate the aggregate fair value of these notes as of September 30, 2010 to be approximately $4.9 billion. Our fixed-rate senior notes are traded among institutions, which trades are routinely published by a reporting service. Our determination of fair value is based on reported trading activity near quarter end.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October 2010, we renewed our 364-day committed hedged inventory credit facility, which matures in October 2011. The facility has a borrowing capacity of $500 million, which may be increased to $1.2 billion, subject to obtaining additional lender commitments. Borrowings under this facility will be used to finance (i) the purchase of hedged crude oil inventory for storage activities and (ii) foreign import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At September 30, 2010 and December 31, 2009, we had outstanding letters of credit of approximately $68 million and $76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6Net Income Per Limited Partner Unit</w:t>
      </w:r>
      <w:bookmarkStart w:id="26" w:name="Note6netIncomePerLimitedPartnerUn_125609"/>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nine months ended September 30, 2010 and 2009 (amounts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97"/>
        <w:gridCol w:w="211"/>
        <w:gridCol w:w="142"/>
        <w:gridCol w:w="814"/>
        <w:gridCol w:w="225"/>
        <w:gridCol w:w="142"/>
        <w:gridCol w:w="815"/>
        <w:gridCol w:w="218"/>
        <w:gridCol w:w="139"/>
        <w:gridCol w:w="805"/>
        <w:gridCol w:w="223"/>
        <w:gridCol w:w="138"/>
        <w:gridCol w:w="806"/>
        <w:gridCol w:w="130"/>
      </w:tblGrid>
      <w:tr>
        <w:trPr/>
        <w:tc>
          <w:tcPr>
            <w:tcW w:w="539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September 30,</w:t>
            </w:r>
          </w:p>
        </w:tc>
        <w:tc>
          <w:tcPr>
            <w:tcW w:w="218" w:type="dxa"/>
            <w:tcBorders/>
            <w:shd w:fill="auto" w:val="clear"/>
            <w:vAlign w:val="bottom"/>
          </w:tcPr>
          <w:p>
            <w:pPr>
              <w:pStyle w:val="TableContents"/>
              <w:spacing w:before="0" w:after="0"/>
              <w:ind w:left="0" w:right="0" w:hanging="0"/>
              <w:jc w:val="center"/>
              <w:rPr/>
            </w:pPr>
            <w:r>
              <w:rPr/>
              <w:t> </w:t>
            </w:r>
          </w:p>
        </w:tc>
        <w:tc>
          <w:tcPr>
            <w:tcW w:w="211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Nine Months Ended</w:t>
            </w:r>
            <w:r>
              <w:rPr>
                <w:b/>
                <w:sz w:val="13"/>
              </w:rPr>
              <w:br/>
              <w:t>September 30,</w:t>
            </w:r>
          </w:p>
        </w:tc>
        <w:tc>
          <w:tcPr>
            <w:tcW w:w="130" w:type="dxa"/>
            <w:tcBorders/>
            <w:shd w:fill="auto" w:val="clear"/>
            <w:vAlign w:val="bottom"/>
          </w:tcPr>
          <w:p>
            <w:pPr>
              <w:pStyle w:val="TableContents"/>
              <w:spacing w:before="0" w:after="0"/>
              <w:ind w:left="0" w:right="0" w:hanging="0"/>
              <w:jc w:val="center"/>
              <w:rPr/>
            </w:pPr>
            <w:r>
              <w:rPr/>
              <w:t> </w:t>
            </w:r>
          </w:p>
        </w:tc>
      </w:tr>
      <w:tr>
        <w:trPr/>
        <w:tc>
          <w:tcPr>
            <w:tcW w:w="539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5" w:type="dxa"/>
            <w:tcBorders/>
            <w:shd w:fill="auto" w:val="clear"/>
            <w:vAlign w:val="bottom"/>
          </w:tcPr>
          <w:p>
            <w:pPr>
              <w:pStyle w:val="TableContents"/>
              <w:spacing w:before="0" w:after="0"/>
              <w:ind w:left="0" w:right="0" w:hanging="0"/>
              <w:jc w:val="center"/>
              <w:rPr/>
            </w:pPr>
            <w:r>
              <w:rPr/>
              <w:t> </w:t>
            </w:r>
          </w:p>
        </w:tc>
        <w:tc>
          <w:tcPr>
            <w:tcW w:w="9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8" w:type="dxa"/>
            <w:tcBorders/>
            <w:shd w:fill="auto" w:val="clear"/>
            <w:vAlign w:val="bottom"/>
          </w:tcPr>
          <w:p>
            <w:pPr>
              <w:pStyle w:val="TableContents"/>
              <w:spacing w:before="0" w:after="0"/>
              <w:ind w:left="0" w:right="0" w:hanging="0"/>
              <w:jc w:val="center"/>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0" w:type="dxa"/>
            <w:tcBorders/>
            <w:shd w:fill="auto" w:val="clear"/>
            <w:vAlign w:val="bottom"/>
          </w:tcPr>
          <w:p>
            <w:pPr>
              <w:pStyle w:val="TableContents"/>
              <w:spacing w:before="0" w:after="0"/>
              <w:ind w:left="0" w:right="0" w:hanging="0"/>
              <w:jc w:val="center"/>
              <w:rPr/>
            </w:pPr>
            <w:r>
              <w:rPr/>
              <w:t> </w:t>
            </w:r>
          </w:p>
        </w:tc>
      </w:tr>
      <w:tr>
        <w:trPr/>
        <w:tc>
          <w:tcPr>
            <w:tcW w:w="53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8"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23"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8"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23"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8"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3"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the application of the two-class method for MLPs</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944"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tcPr>
          <w:p>
            <w:pPr>
              <w:pStyle w:val="TableContents"/>
              <w:spacing w:before="0" w:after="0"/>
              <w:ind w:left="0" w:right="0" w:hanging="0"/>
              <w:rPr/>
            </w:pPr>
            <w:r>
              <w:rPr>
                <w:rFonts w:ascii="Times New Roman" w:hAnsi="Times New Roman"/>
                <w:sz w:val="17"/>
              </w:rPr>
              <w:t xml:space="preserve">Weighted average LTIP units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auto" w:val="clear"/>
            <w:vAlign w:val="bottom"/>
          </w:tcPr>
          <w:p>
            <w:pPr>
              <w:pStyle w:val="TableContents"/>
              <w:spacing w:before="0" w:after="0"/>
              <w:ind w:left="0" w:right="0" w:hanging="0"/>
              <w:rPr/>
            </w:pPr>
            <w:r>
              <w:rPr/>
              <w:t> </w:t>
            </w:r>
          </w:p>
        </w:tc>
        <w:tc>
          <w:tcPr>
            <w:tcW w:w="95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5" w:type="dxa"/>
            <w:tcBorders/>
            <w:shd w:fill="auto" w:val="clear"/>
            <w:vAlign w:val="bottom"/>
          </w:tcPr>
          <w:p>
            <w:pPr>
              <w:pStyle w:val="TableContents"/>
              <w:spacing w:before="0" w:after="0"/>
              <w:ind w:left="0" w:right="0" w:hanging="0"/>
              <w:rPr/>
            </w:pPr>
            <w:r>
              <w:rPr/>
              <w:t> </w:t>
            </w:r>
          </w:p>
        </w:tc>
        <w:tc>
          <w:tcPr>
            <w:tcW w:w="95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8" w:type="dxa"/>
            <w:tcBorders/>
            <w:shd w:fill="auto" w:val="clear"/>
            <w:vAlign w:val="bottom"/>
          </w:tcPr>
          <w:p>
            <w:pPr>
              <w:pStyle w:val="TableContents"/>
              <w:spacing w:before="0" w:after="0"/>
              <w:ind w:left="0" w:right="0" w:hanging="0"/>
              <w:rPr/>
            </w:pPr>
            <w:r>
              <w:rPr/>
              <w:t> </w:t>
            </w:r>
          </w:p>
        </w:tc>
        <w:tc>
          <w:tcPr>
            <w:tcW w:w="94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3" w:type="dxa"/>
            <w:tcBorders/>
            <w:shd w:fill="auto" w:val="clear"/>
            <w:vAlign w:val="bottom"/>
          </w:tcPr>
          <w:p>
            <w:pPr>
              <w:pStyle w:val="TableContents"/>
              <w:spacing w:before="0" w:after="0"/>
              <w:ind w:left="0" w:right="0" w:hanging="0"/>
              <w:rPr/>
            </w:pPr>
            <w:r>
              <w:rPr/>
              <w:t> </w:t>
            </w:r>
          </w:p>
        </w:tc>
        <w:tc>
          <w:tcPr>
            <w:tcW w:w="94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30" w:type="dxa"/>
            <w:tcBorders/>
            <w:shd w:fill="auto" w:val="clear"/>
            <w:vAlign w:val="bottom"/>
          </w:tcPr>
          <w:p>
            <w:pPr>
              <w:pStyle w:val="TableContents"/>
              <w:spacing w:before="0" w:after="0"/>
              <w:ind w:left="0" w:right="0" w:hanging="0"/>
              <w:rPr/>
            </w:pPr>
            <w:r>
              <w:rPr/>
              <w:t> </w:t>
            </w:r>
          </w:p>
        </w:tc>
      </w:tr>
      <w:tr>
        <w:trPr/>
        <w:tc>
          <w:tcPr>
            <w:tcW w:w="539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56"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944"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53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25"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1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223"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 xml:space="preserve">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7" w:name="PB_11_141626_7748"/>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LTIP awards (described in Note 8)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7Partners Capital and Distributions</w:t>
      </w:r>
      <w:bookmarkStart w:id="28" w:name="Note7partnersCapitalAndDistributi_130312"/>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Sale of Noncontrolling Interest in a Subsidiary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Initial Public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May 5, 2010, PNG completed its IPO of 13,478,000 common units representing limited partner interests at $21.50 per common unit. The number of units issued at closing included 1,758,000 common units issued pursuant to the full exercise of the underwriters over-allotment option. Net proceeds received by PNG from the sale of the 13,478,000 common units were approximately $268 million and were used to repay amounts outstanding under our credit facilities and for general partnership purposes. The common units offered represent approximately 23% of the outstanding equity of PNG. We own the remaining 77% equity interest in PNG and control the entity, and therefore, continue to consolidate the financial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the PNG IPO, we owned 100% of PNGS natural gas storage business, the predecessor of PNG, and related operating entities. Immediately prior to the closing of the IPO, we contributed 100% of the equity interests in PNGS and its subsidiaries to PNG in exchange for approximately 18.1 million common units, approximately 13.9 million Series A subordinated units, 11.5 million Series B subordinated units and a 2% general partner interest and incentive distribution rights. In conjunction with the offering, we recorded non-controlling interest of $167 million associated with the book value of PNG sold to the public. We also recorded an increase to our partners capital of approximately $101 million associated with the net increase from our share of the proceeds received in the offering partially offset by the dilution of our interest in PNG resulting from the IPO.</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Modification of Holdings in PNG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On August 16, 2010, the Amended and Restated Agreement of Limited Partnership of PNG was amended and restated (the Second Amended and Restated Agreement) to reduce the number of </w:t>
      </w:r>
      <w:r>
        <w:rPr>
          <w:rFonts w:ascii="Times New Roman" w:hAnsi="Times New Roman"/>
          <w:caps/>
          <w:sz w:val="17"/>
        </w:rPr>
        <w:t>s</w:t>
      </w:r>
      <w:r>
        <w:rPr>
          <w:rFonts w:ascii="Times New Roman" w:hAnsi="Times New Roman"/>
          <w:sz w:val="17"/>
        </w:rPr>
        <w:t xml:space="preserve">eries A subordinated units by 2 million and increase the number of </w:t>
      </w:r>
      <w:r>
        <w:rPr>
          <w:rFonts w:ascii="Times New Roman" w:hAnsi="Times New Roman"/>
          <w:caps/>
          <w:sz w:val="17"/>
        </w:rPr>
        <w:t>s</w:t>
      </w:r>
      <w:r>
        <w:rPr>
          <w:rFonts w:ascii="Times New Roman" w:hAnsi="Times New Roman"/>
          <w:sz w:val="17"/>
        </w:rPr>
        <w:t>eries B subordinated units by an equivalent amount.  The Second Amended and Restated Agreement also increased the number of potential conversion tranches on Series B subordinated units from three to five.  In addition, the terms of the Series B subordinated units were modified to extend the conversion period by raising the operating and financial performance benchmarks of approximately one-third of the Series B subordinated units outstanding prior to this modification. This amendment was intended to increase the distribution coverage and organic growth profile of PNGs common and Series A subordinated units and improve PNGs posture with respect to potential acquisitions.  We accounted for this transaction as an exchange between entities under common control and accordingly, we reclassified the book value of the 2.0 million Series A subordinated units at the time of the modification to Series B subordinated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9" w:name="PB_12_141626_141"/>
      <w:bookmarkEnd w:id="29"/>
    </w:p>
    <w:p>
      <w:pPr>
        <w:pStyle w:val="HorizontalLine"/>
        <w:pBdr>
          <w:bottom w:val="single" w:sz="18" w:space="0" w:color="010101"/>
        </w:pBdr>
        <w:spacing w:before="0" w:after="0"/>
        <w:rPr/>
      </w:pPr>
      <w:r>
        <w:rPr/>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changes made to our holdings in the limited partner units of PNG from May 5, 2010 through September 30, 2010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28"/>
        <w:gridCol w:w="209"/>
        <w:gridCol w:w="1249"/>
        <w:gridCol w:w="208"/>
        <w:gridCol w:w="1250"/>
        <w:gridCol w:w="208"/>
        <w:gridCol w:w="1249"/>
        <w:gridCol w:w="104"/>
      </w:tblGrid>
      <w:tr>
        <w:trPr/>
        <w:tc>
          <w:tcPr>
            <w:tcW w:w="5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Prior to</w:t>
            </w:r>
            <w:r>
              <w:rPr>
                <w:b/>
                <w:sz w:val="13"/>
              </w:rPr>
              <w:br/>
              <w:t>Modification</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Modification</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Post</w:t>
            </w:r>
            <w:r>
              <w:rPr>
                <w:b/>
                <w:sz w:val="13"/>
              </w:rPr>
              <w:br/>
              <w:t>Modification</w:t>
            </w:r>
          </w:p>
        </w:tc>
        <w:tc>
          <w:tcPr>
            <w:tcW w:w="104" w:type="dxa"/>
            <w:tcBorders/>
            <w:shd w:fill="auto" w:val="clear"/>
            <w:vAlign w:val="bottom"/>
          </w:tcPr>
          <w:p>
            <w:pPr>
              <w:pStyle w:val="TableContents"/>
              <w:spacing w:before="0" w:after="0"/>
              <w:ind w:left="0" w:right="0" w:hanging="0"/>
              <w:jc w:val="center"/>
              <w:rPr/>
            </w:pPr>
            <w:r>
              <w:rPr/>
              <w:t> </w:t>
            </w:r>
          </w:p>
        </w:tc>
      </w:tr>
      <w:tr>
        <w:trPr/>
        <w:tc>
          <w:tcPr>
            <w:tcW w:w="572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41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4" w:type="dxa"/>
            <w:tcBorders/>
            <w:shd w:fill="auto" w:val="clear"/>
            <w:vAlign w:val="bottom"/>
          </w:tcPr>
          <w:p>
            <w:pPr>
              <w:pStyle w:val="TableContents"/>
              <w:spacing w:before="0" w:after="0"/>
              <w:ind w:left="0" w:right="0" w:hanging="0"/>
              <w:jc w:val="center"/>
              <w:rPr/>
            </w:pPr>
            <w:r>
              <w:rPr/>
              <w:t> </w:t>
            </w:r>
          </w:p>
        </w:tc>
      </w:tr>
      <w:tr>
        <w:trPr/>
        <w:tc>
          <w:tcPr>
            <w:tcW w:w="572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PNG Units Owned by PAA:</w:t>
            </w:r>
          </w:p>
        </w:tc>
        <w:tc>
          <w:tcPr>
            <w:tcW w:w="20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Units</w:t>
            </w:r>
          </w:p>
        </w:tc>
        <w:tc>
          <w:tcPr>
            <w:tcW w:w="20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04" w:type="dxa"/>
            <w:tcBorders/>
            <w:shd w:fill="auto" w:val="clear"/>
            <w:vAlign w:val="bottom"/>
          </w:tcPr>
          <w:p>
            <w:pPr>
              <w:pStyle w:val="TableContents"/>
              <w:spacing w:before="0" w:after="0"/>
              <w:ind w:left="0" w:right="0" w:hanging="0"/>
              <w:rPr/>
            </w:pPr>
            <w:r>
              <w:rPr/>
              <w:t> </w:t>
            </w:r>
          </w:p>
        </w:tc>
      </w:tr>
      <w:tr>
        <w:trPr/>
        <w:tc>
          <w:tcPr>
            <w:tcW w:w="5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A Subordinated Units</w:t>
            </w:r>
          </w:p>
        </w:tc>
        <w:tc>
          <w:tcPr>
            <w:tcW w:w="209"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&amp; Series A Subordinated Unit Subtotal</w:t>
            </w:r>
          </w:p>
        </w:tc>
        <w:tc>
          <w:tcPr>
            <w:tcW w:w="20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04" w:type="dxa"/>
            <w:tcBorders/>
            <w:shd w:fill="auto" w:val="clear"/>
            <w:vAlign w:val="bottom"/>
          </w:tcPr>
          <w:p>
            <w:pPr>
              <w:pStyle w:val="TableContents"/>
              <w:spacing w:before="0" w:after="0"/>
              <w:ind w:left="0" w:right="0" w:hanging="0"/>
              <w:rPr/>
            </w:pPr>
            <w:r>
              <w:rPr/>
              <w:t> </w:t>
            </w:r>
          </w:p>
        </w:tc>
      </w:tr>
      <w:tr>
        <w:trPr/>
        <w:tc>
          <w:tcPr>
            <w:tcW w:w="5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B Subordinated Units (Performance Thresholds):</w:t>
            </w:r>
          </w:p>
        </w:tc>
        <w:tc>
          <w:tcPr>
            <w:tcW w:w="20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1 ($1.44 / 29.6 Bcf)</w:t>
            </w:r>
          </w:p>
        </w:tc>
        <w:tc>
          <w:tcPr>
            <w:tcW w:w="20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4" w:type="dxa"/>
            <w:tcBorders/>
            <w:shd w:fill="auto" w:val="clear"/>
            <w:vAlign w:val="bottom"/>
          </w:tcPr>
          <w:p>
            <w:pPr>
              <w:pStyle w:val="TableContents"/>
              <w:spacing w:before="0" w:after="0"/>
              <w:ind w:left="0" w:right="0" w:hanging="0"/>
              <w:rPr/>
            </w:pPr>
            <w:r>
              <w:rPr/>
              <w:t> </w:t>
            </w:r>
          </w:p>
        </w:tc>
      </w:tr>
      <w:tr>
        <w:trPr/>
        <w:tc>
          <w:tcPr>
            <w:tcW w:w="5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Tranche 2 ($1.53 / 35.6 Bcf)</w:t>
            </w:r>
          </w:p>
        </w:tc>
        <w:tc>
          <w:tcPr>
            <w:tcW w:w="20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3 ($1.63 / 41.6 Bcf)</w:t>
            </w:r>
          </w:p>
        </w:tc>
        <w:tc>
          <w:tcPr>
            <w:tcW w:w="20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04" w:type="dxa"/>
            <w:tcBorders/>
            <w:shd w:fill="auto" w:val="clear"/>
            <w:vAlign w:val="bottom"/>
          </w:tcPr>
          <w:p>
            <w:pPr>
              <w:pStyle w:val="TableContents"/>
              <w:spacing w:before="0" w:after="0"/>
              <w:ind w:left="0" w:right="0" w:hanging="0"/>
              <w:rPr/>
            </w:pPr>
            <w:r>
              <w:rPr/>
              <w:t> </w:t>
            </w:r>
          </w:p>
        </w:tc>
      </w:tr>
      <w:tr>
        <w:trPr/>
        <w:tc>
          <w:tcPr>
            <w:tcW w:w="5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Tranche 4 ($1.71 / 48.0 Bcf)</w:t>
            </w:r>
          </w:p>
        </w:tc>
        <w:tc>
          <w:tcPr>
            <w:tcW w:w="20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Tranche 5 ($1.80 / 48.0 Bcf)</w:t>
            </w:r>
          </w:p>
        </w:tc>
        <w:tc>
          <w:tcPr>
            <w:tcW w:w="209"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04" w:type="dxa"/>
            <w:tcBorders/>
            <w:shd w:fill="auto" w:val="clear"/>
            <w:vAlign w:val="bottom"/>
          </w:tcPr>
          <w:p>
            <w:pPr>
              <w:pStyle w:val="TableContents"/>
              <w:spacing w:before="0" w:after="0"/>
              <w:ind w:left="0" w:right="0" w:hanging="0"/>
              <w:rPr/>
            </w:pPr>
            <w:r>
              <w:rPr/>
              <w:t> </w:t>
            </w:r>
          </w:p>
        </w:tc>
      </w:tr>
      <w:tr>
        <w:trPr/>
        <w:tc>
          <w:tcPr>
            <w:tcW w:w="57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Series B Subordinated Unit Subtotal</w:t>
            </w:r>
          </w:p>
        </w:tc>
        <w:tc>
          <w:tcPr>
            <w:tcW w:w="209"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04" w:type="dxa"/>
            <w:tcBorders/>
            <w:shd w:fill="CCEEFF" w:val="clear"/>
            <w:vAlign w:val="bottom"/>
          </w:tcPr>
          <w:p>
            <w:pPr>
              <w:pStyle w:val="TableContents"/>
              <w:spacing w:before="0" w:after="0"/>
              <w:ind w:left="0" w:right="0" w:hanging="0"/>
              <w:rPr/>
            </w:pPr>
            <w:r>
              <w:rPr/>
              <w:t> </w:t>
            </w:r>
          </w:p>
        </w:tc>
      </w:tr>
      <w:tr>
        <w:trPr/>
        <w:tc>
          <w:tcPr>
            <w:tcW w:w="5728" w:type="dxa"/>
            <w:tcBorders/>
            <w:shd w:fill="auto" w:val="clear"/>
          </w:tcPr>
          <w:p>
            <w:pPr>
              <w:pStyle w:val="TableContents"/>
              <w:spacing w:before="0" w:after="0"/>
              <w:ind w:left="0" w:right="0" w:hanging="0"/>
              <w:rPr/>
            </w:pPr>
            <w:r>
              <w:rPr>
                <w:rFonts w:ascii="Times New Roman" w:hAnsi="Times New Roman"/>
                <w:sz w:val="17"/>
              </w:rPr>
              <w:t>Total PNG Units Owned by PAA</w:t>
            </w:r>
            <w:r>
              <w:rPr>
                <w:sz w:val="11"/>
              </w:rPr>
              <w:t>(1)</w:t>
            </w:r>
          </w:p>
        </w:tc>
        <w:tc>
          <w:tcPr>
            <w:tcW w:w="209"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w:t>
            </w:r>
          </w:p>
        </w:tc>
        <w:tc>
          <w:tcPr>
            <w:tcW w:w="10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See PNG Transaction Grants in Note 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Series A and Series B Subordinated Units.  </w:t>
      </w:r>
      <w:r>
        <w:rPr>
          <w:rFonts w:ascii="Times New Roman" w:hAnsi="Times New Roman"/>
          <w:sz w:val="17"/>
        </w:rPr>
        <w:t>The Series A subordinated units are not entitled to receive any distributions until the common units have received the minimum quarterly distribution ($1.35 on an annualized basis) plus any arrearages in the payment of the minimum quarterly distribution from prior quarters. The Series A subordinated units will convert to common units once certain earnings and distribution targets are met for three consecutive, non-overlapping four-quarter periods. The Series B subordinated units are not entitled to participate in quarterly distributions until they convert into Series A subordinated units. The Series B subordinated units will convert into Series A subordinated units upon satisfaction of the following operational and financial conditions: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2,600,000 Series B subordinated units will convert into Series A subordinated units on a one-for-one basis if (a) the aggregate amount of working gas storage capacity at Pine Prairie that has been placed into service totals at least 29.6 Bcf, (b) PNG generates distributable cash flow for two consecutive quarters sufficient to pay a quarterly distribution of at least $0.36 per unit (representing an annualized distribution of $1.44 per unit) on the weighted average number of outstanding common units and Series A subordinated units and all of such Series B subordinated units and (c) PNG makes a quarterly distribution of available cash of at least $0.36 per quarter for two consecutive quarters on all outstanding common units and Series A subordinated units and the corresponding distributions on PNGs general partners 2.0% interest and the related distributions on the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2,833,333 Series B subordinated units will convert into Series A subordinated units on a one-for-one basis if (a) the aggregate amount of working gas storage capacity at Pine Prairie that has been placed into service totals at least 35.6 Bcf, (b) PNG generates distributable cash flow for two consecutive quarters sufficient to pay a quarterly distribution of at least $0.3825 per unit (representing an annualized distribution of $1.53 per unit) on the weighted average number of outstanding common units and Series A subordinated units and all of such Series B subordinated units and, if any, the Series B subordinated units described in the prior bullet, and (c) PNG makes a quarterly distribution of available cash of at least $0.3825 per quarter for two consecutive quarters on all outstanding common units and Series A subordinated units and the corresponding distributions on PNGs general partners 2.0% interest and the related distributions on the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2,066,667 Series B subordinated units will convert into Series A subordinated units on a one-for-one basis if (a) the aggregate amount of working gas storage capacity at Pine Prairie that has been placed into service totals at least 41.6 Bcf, (b) PNG generates distributable cash flow for two consecutive quarters sufficient to pay a quarterly distribution of at least $0.4075 per unit (representing an annualized distribution of $1.63 per unit) on the weighted average number of outstanding common units and Series A subordinated units and all of such Series B subordinated units and, if any, the Series B subordinated units described in the prior two bullets, and (c) PNG makes a quarterly distribution of available cash of at least $0.4075 per quarter for two consecutive quarters on all outstanding common units and Series A subordinated units and the corresponding distributions on PNGs general partners 2.0% interest and the related distributions on the incentive distribution rights;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3,000,000 Series B subordinated units will convert into Series A subordinated units on a one-for-one basis if (a) the aggregate amount of working gas storage capacity at Pine Prairie that has been placed into service totals at least 48.0 Bcf, (b) PNG generates distributable cash flow for two consecutive quarters sufficient to pay a quarterly distribution of at least $0.4275 per unit (representing an annualized distribution of $1.71 per unit) on the weighted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0" w:name="PB_13_100628_7748"/>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average number of outstanding common units and Series A subordinated units and all of such Series B subordinated units and, if any, the Series B subordinated units described in the prior three bullets, and (c) PNG makes a quarterly distribution of available cash of at least $0.4275 per quarter for two consecutive quarters on all outstanding common units and Series A subordinated units and the corresponding distributions on PNGs general partners 2.0% interest and the related distributions on the incentive distribution rights;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3,000,000 Series B subordinated units will convert into Series A subordinated units on a one-for-one basis if (a) the aggregate amount of working gas storage capacity at Pine Prairie that has been placed into service totals at least 48.0 Bcf, (b) PNG generates distributable cash flow for two consecutive quarters sufficient to pay a quarterly distribution of at least $0.45 per unit (representing an annualized distribution of $1.80 per unit) on the weighted average number of outstanding common units and Series A subordinated units and all of such Series B subordinated units and, if any, the Series B subordinated units described in the prior four bullets, and (c) PNG makes a quarterly distribution of available cash of at least $0.45 per quarter for two consecutive quarters on all outstanding common units and Series A subordinated units and the corresponding distributions on PNGs general partners 2.0% interest and the related distributions on the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PNGs general partner will determine whether the in-service operational tests set forth above have been satisfied. To the extent that the operational tests described above are satisfied prior to or during the two-quarter period applicable to the financial tests described above, the holder of the Series B subordinated units subject to conversion will be entitled to receive the quarterly distribution payable with respect to the second quarter of such two-quarter period. In all other circumstances, where the operational tests are satisfied following the two-quarter period applicable to the financial tests, the holder of the Series B subordinated units subject to conversion will be entitled to receive any distribution payable following the satisfaction of such operational tests.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Series B subordinated units that remain outstanding as of December 31, 2018 will automatically be cancelled.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conversion of any Series B subordinated units into Series A subordinated units, such converted Series B subordinated units will further convert into common units (together with any other outstanding Series A subordinated units) to the extent that the tests for conversion of the Series A subordinated units are satisfied. In determining whether such conversion tests have been satisfied, the Series B subordinated units that have converted into Series A subordinated units will be treated as Series A subordinated units from and after the date of their conversion into Series A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at the time the above operational and financial tests are satisfied, the subordination period has already ended and all outstanding Series A subordinated units have converted into common units, the Series B subordinated units will instead convert directly into common units on a one-for-one basis and participate in the quarterly distribution payable to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74"/>
        <w:gridCol w:w="198"/>
        <w:gridCol w:w="345"/>
        <w:gridCol w:w="1694"/>
        <w:gridCol w:w="347"/>
        <w:gridCol w:w="345"/>
        <w:gridCol w:w="1474"/>
        <w:gridCol w:w="128"/>
      </w:tblGrid>
      <w:tr>
        <w:trPr/>
        <w:tc>
          <w:tcPr>
            <w:tcW w:w="5674"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42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 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5674"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347" w:type="dxa"/>
            <w:tcBorders/>
            <w:shd w:fill="auto" w:val="clear"/>
            <w:vAlign w:val="bottom"/>
          </w:tcPr>
          <w:p>
            <w:pPr>
              <w:pStyle w:val="TableContents"/>
              <w:spacing w:before="0" w:after="0"/>
              <w:ind w:left="0" w:right="0" w:hanging="0"/>
              <w:jc w:val="center"/>
              <w:rPr/>
            </w:pPr>
            <w:r>
              <w:rPr/>
              <w:t> </w:t>
            </w:r>
          </w:p>
        </w:tc>
        <w:tc>
          <w:tcPr>
            <w:tcW w:w="1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8" w:type="dxa"/>
            <w:tcBorders/>
            <w:shd w:fill="auto" w:val="clear"/>
            <w:vAlign w:val="bottom"/>
          </w:tcPr>
          <w:p>
            <w:pPr>
              <w:pStyle w:val="TableContents"/>
              <w:spacing w:before="0" w:after="0"/>
              <w:ind w:left="0" w:right="0" w:hanging="0"/>
              <w:jc w:val="center"/>
              <w:rPr/>
            </w:pPr>
            <w:r>
              <w:rPr/>
              <w:t> </w:t>
            </w:r>
          </w:p>
        </w:tc>
      </w:tr>
      <w:tr>
        <w:trPr/>
        <w:tc>
          <w:tcPr>
            <w:tcW w:w="56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198" w:type="dxa"/>
            <w:tcBorders/>
            <w:shd w:fill="CCEEFF" w:val="clear"/>
            <w:vAlign w:val="bottom"/>
          </w:tcPr>
          <w:p>
            <w:pPr>
              <w:pStyle w:val="TableContents"/>
              <w:spacing w:before="0" w:after="0"/>
              <w:ind w:left="0" w:right="0" w:hanging="0"/>
              <w:rPr/>
            </w:pPr>
            <w:r>
              <w:rPr/>
              <w:t> </w:t>
            </w:r>
          </w:p>
        </w:tc>
        <w:tc>
          <w:tcPr>
            <w:tcW w:w="3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347" w:type="dxa"/>
            <w:tcBorders/>
            <w:shd w:fill="CCEEFF" w:val="clear"/>
            <w:vAlign w:val="bottom"/>
          </w:tcPr>
          <w:p>
            <w:pPr>
              <w:pStyle w:val="TableContents"/>
              <w:spacing w:before="0" w:after="0"/>
              <w:ind w:left="0" w:right="0" w:hanging="0"/>
              <w:rPr/>
            </w:pPr>
            <w:r>
              <w:rPr/>
              <w:t> </w:t>
            </w:r>
          </w:p>
        </w:tc>
        <w:tc>
          <w:tcPr>
            <w:tcW w:w="3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interests in subsidiaries</w:t>
            </w:r>
          </w:p>
        </w:tc>
        <w:tc>
          <w:tcPr>
            <w:tcW w:w="198" w:type="dxa"/>
            <w:tcBorders/>
            <w:shd w:fill="auto" w:val="clear"/>
            <w:vAlign w:val="bottom"/>
          </w:tcPr>
          <w:p>
            <w:pPr>
              <w:pStyle w:val="TableContents"/>
              <w:spacing w:before="0" w:after="0"/>
              <w:ind w:left="0" w:right="0" w:hanging="0"/>
              <w:rPr/>
            </w:pPr>
            <w:r>
              <w:rPr/>
              <w:t> </w:t>
            </w:r>
          </w:p>
        </w:tc>
        <w:tc>
          <w:tcPr>
            <w:tcW w:w="2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347" w:type="dxa"/>
            <w:tcBorders/>
            <w:shd w:fill="auto" w:val="clear"/>
            <w:vAlign w:val="bottom"/>
          </w:tcPr>
          <w:p>
            <w:pPr>
              <w:pStyle w:val="TableContents"/>
              <w:spacing w:before="0" w:after="0"/>
              <w:ind w:left="0" w:right="0" w:hanging="0"/>
              <w:rPr/>
            </w:pPr>
            <w:r>
              <w:rPr/>
              <w:t> </w:t>
            </w:r>
          </w:p>
        </w:tc>
        <w:tc>
          <w:tcPr>
            <w:tcW w:w="1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8" w:type="dxa"/>
            <w:tcBorders/>
            <w:shd w:fill="auto" w:val="clear"/>
            <w:vAlign w:val="bottom"/>
          </w:tcPr>
          <w:p>
            <w:pPr>
              <w:pStyle w:val="TableContents"/>
              <w:spacing w:before="0" w:after="0"/>
              <w:ind w:left="0" w:right="0" w:hanging="0"/>
              <w:rPr/>
            </w:pPr>
            <w:r>
              <w:rPr/>
              <w:t> </w:t>
            </w:r>
          </w:p>
        </w:tc>
      </w:tr>
      <w:tr>
        <w:trPr/>
        <w:tc>
          <w:tcPr>
            <w:tcW w:w="56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98" w:type="dxa"/>
            <w:tcBorders/>
            <w:shd w:fill="CCEEFF" w:val="clear"/>
            <w:vAlign w:val="bottom"/>
          </w:tcPr>
          <w:p>
            <w:pPr>
              <w:pStyle w:val="TableContents"/>
              <w:spacing w:before="0" w:after="0"/>
              <w:ind w:left="0" w:right="0" w:hanging="0"/>
              <w:rPr/>
            </w:pPr>
            <w:r>
              <w:rPr/>
              <w:t> </w:t>
            </w:r>
          </w:p>
        </w:tc>
        <w:tc>
          <w:tcPr>
            <w:tcW w:w="20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47" w:type="dxa"/>
            <w:tcBorders/>
            <w:shd w:fill="CCEEFF" w:val="clear"/>
            <w:vAlign w:val="bottom"/>
          </w:tcPr>
          <w:p>
            <w:pPr>
              <w:pStyle w:val="TableContents"/>
              <w:spacing w:before="0" w:after="0"/>
              <w:ind w:left="0" w:right="0" w:hanging="0"/>
              <w:rPr/>
            </w:pPr>
            <w:r>
              <w:rPr/>
              <w:t> </w:t>
            </w:r>
          </w:p>
        </w:tc>
        <w:tc>
          <w:tcPr>
            <w:tcW w:w="1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CCEEFF" w:val="clear"/>
            <w:vAlign w:val="bottom"/>
          </w:tcPr>
          <w:p>
            <w:pPr>
              <w:pStyle w:val="TableContents"/>
              <w:spacing w:before="0" w:after="0"/>
              <w:ind w:left="0" w:right="0" w:hanging="0"/>
              <w:rPr/>
            </w:pPr>
            <w:r>
              <w:rPr/>
              <w:t> </w:t>
            </w:r>
          </w:p>
        </w:tc>
      </w:tr>
      <w:tr>
        <w:trPr/>
        <w:tc>
          <w:tcPr>
            <w:tcW w:w="5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198" w:type="dxa"/>
            <w:tcBorders/>
            <w:shd w:fill="auto" w:val="clear"/>
            <w:vAlign w:val="bottom"/>
          </w:tcPr>
          <w:p>
            <w:pPr>
              <w:pStyle w:val="TableContents"/>
              <w:spacing w:before="0" w:after="0"/>
              <w:ind w:left="0" w:right="0" w:hanging="0"/>
              <w:rPr/>
            </w:pPr>
            <w:r>
              <w:rPr/>
              <w:t> </w:t>
            </w:r>
          </w:p>
        </w:tc>
        <w:tc>
          <w:tcPr>
            <w:tcW w:w="2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56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8" w:type="dxa"/>
            <w:tcBorders/>
            <w:shd w:fill="CCEEFF" w:val="clear"/>
            <w:vAlign w:val="bottom"/>
          </w:tcPr>
          <w:p>
            <w:pPr>
              <w:pStyle w:val="TableContents"/>
              <w:spacing w:before="0" w:after="0"/>
              <w:ind w:left="0" w:right="0" w:hanging="0"/>
              <w:rPr/>
            </w:pPr>
            <w:r>
              <w:rPr/>
              <w:t> </w:t>
            </w:r>
          </w:p>
        </w:tc>
        <w:tc>
          <w:tcPr>
            <w:tcW w:w="20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47" w:type="dxa"/>
            <w:tcBorders/>
            <w:shd w:fill="CCEEFF" w:val="clear"/>
            <w:vAlign w:val="bottom"/>
          </w:tcPr>
          <w:p>
            <w:pPr>
              <w:pStyle w:val="TableContents"/>
              <w:spacing w:before="0" w:after="0"/>
              <w:ind w:left="0" w:right="0" w:hanging="0"/>
              <w:rPr/>
            </w:pPr>
            <w:r>
              <w:rPr/>
              <w:t> </w:t>
            </w:r>
          </w:p>
        </w:tc>
        <w:tc>
          <w:tcPr>
            <w:tcW w:w="1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6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198" w:type="dxa"/>
            <w:tcBorders/>
            <w:shd w:fill="auto" w:val="clear"/>
            <w:vAlign w:val="bottom"/>
          </w:tcPr>
          <w:p>
            <w:pPr>
              <w:pStyle w:val="TableContents"/>
              <w:spacing w:before="0" w:after="0"/>
              <w:ind w:left="0" w:right="0" w:hanging="0"/>
              <w:rPr/>
            </w:pPr>
            <w:r>
              <w:rPr/>
              <w:t> </w:t>
            </w:r>
          </w:p>
        </w:tc>
        <w:tc>
          <w:tcPr>
            <w:tcW w:w="3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347" w:type="dxa"/>
            <w:tcBorders/>
            <w:shd w:fill="auto" w:val="clear"/>
            <w:vAlign w:val="bottom"/>
          </w:tcPr>
          <w:p>
            <w:pPr>
              <w:pStyle w:val="TableContents"/>
              <w:spacing w:before="0" w:after="0"/>
              <w:ind w:left="0" w:right="0" w:hanging="0"/>
              <w:rPr/>
            </w:pPr>
            <w:r>
              <w:rPr/>
              <w:t> </w:t>
            </w:r>
          </w:p>
        </w:tc>
        <w:tc>
          <w:tcPr>
            <w:tcW w:w="3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2010, in connection with the settlement of vested LTIP awards, we issued 283,187 common units at a price of $56.89, for a fair value of approximately $16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1" w:name="PB_14_100628_141"/>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pertaining to 2010,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47"/>
        <w:gridCol w:w="178"/>
        <w:gridCol w:w="2339"/>
        <w:gridCol w:w="178"/>
        <w:gridCol w:w="168"/>
        <w:gridCol w:w="748"/>
        <w:gridCol w:w="178"/>
        <w:gridCol w:w="204"/>
        <w:gridCol w:w="732"/>
        <w:gridCol w:w="204"/>
        <w:gridCol w:w="190"/>
        <w:gridCol w:w="607"/>
        <w:gridCol w:w="178"/>
        <w:gridCol w:w="142"/>
        <w:gridCol w:w="677"/>
        <w:gridCol w:w="178"/>
        <w:gridCol w:w="164"/>
        <w:gridCol w:w="1070"/>
        <w:gridCol w:w="123"/>
      </w:tblGrid>
      <w:tr>
        <w:trPr/>
        <w:tc>
          <w:tcPr>
            <w:tcW w:w="1947"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339"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402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8" w:type="dxa"/>
            <w:tcBorders/>
            <w:shd w:fill="auto" w:val="clear"/>
            <w:vAlign w:val="bottom"/>
          </w:tcPr>
          <w:p>
            <w:pPr>
              <w:pStyle w:val="TableContents"/>
              <w:spacing w:before="0" w:after="0"/>
              <w:ind w:left="0" w:right="0" w:hanging="0"/>
              <w:jc w:val="center"/>
              <w:rPr/>
            </w:pPr>
            <w:r>
              <w:rPr/>
              <w:t> </w:t>
            </w:r>
          </w:p>
        </w:tc>
        <w:tc>
          <w:tcPr>
            <w:tcW w:w="12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123" w:type="dxa"/>
            <w:tcBorders/>
            <w:shd w:fill="auto" w:val="clear"/>
            <w:vAlign w:val="bottom"/>
          </w:tcPr>
          <w:p>
            <w:pPr>
              <w:pStyle w:val="TableContents"/>
              <w:spacing w:before="0" w:after="0"/>
              <w:ind w:left="0" w:right="0" w:hanging="0"/>
              <w:jc w:val="center"/>
              <w:rPr/>
            </w:pPr>
            <w:r>
              <w:rPr/>
              <w:t> </w:t>
            </w:r>
          </w:p>
        </w:tc>
      </w:tr>
      <w:tr>
        <w:trPr/>
        <w:tc>
          <w:tcPr>
            <w:tcW w:w="1947" w:type="dxa"/>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2339" w:type="dxa"/>
            <w:tcBorders/>
            <w:shd w:fill="auto" w:val="cle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91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37"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1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8" w:type="dxa"/>
            <w:tcBorders/>
            <w:shd w:fill="auto" w:val="clear"/>
            <w:vAlign w:val="bottom"/>
          </w:tcPr>
          <w:p>
            <w:pPr>
              <w:pStyle w:val="TableContents"/>
              <w:spacing w:before="0" w:after="0"/>
              <w:ind w:left="0" w:right="0" w:hanging="0"/>
              <w:jc w:val="center"/>
              <w:rPr/>
            </w:pPr>
            <w:r>
              <w:rPr/>
              <w:t> </w:t>
            </w:r>
          </w:p>
        </w:tc>
        <w:tc>
          <w:tcPr>
            <w:tcW w:w="12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123" w:type="dxa"/>
            <w:tcBorders/>
            <w:shd w:fill="auto" w:val="clear"/>
            <w:vAlign w:val="bottom"/>
          </w:tcPr>
          <w:p>
            <w:pPr>
              <w:pStyle w:val="TableContents"/>
              <w:spacing w:before="0" w:after="0"/>
              <w:ind w:left="0" w:right="0" w:hanging="0"/>
              <w:jc w:val="center"/>
              <w:rPr/>
            </w:pPr>
            <w:r>
              <w:rPr/>
              <w:t> </w:t>
            </w:r>
          </w:p>
        </w:tc>
      </w:tr>
      <w:tr>
        <w:trPr/>
        <w:tc>
          <w:tcPr>
            <w:tcW w:w="194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8" w:type="dxa"/>
            <w:tcBorders/>
            <w:shd w:fill="auto" w:val="clear"/>
            <w:vAlign w:val="bottom"/>
          </w:tcPr>
          <w:p>
            <w:pPr>
              <w:pStyle w:val="TableContents"/>
              <w:spacing w:before="0" w:after="0"/>
              <w:ind w:left="0" w:right="0" w:hanging="0"/>
              <w:jc w:val="center"/>
              <w:rPr/>
            </w:pPr>
            <w:r>
              <w:rPr/>
              <w:t> </w:t>
            </w:r>
          </w:p>
        </w:tc>
        <w:tc>
          <w:tcPr>
            <w:tcW w:w="23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8" w:type="dxa"/>
            <w:tcBorders/>
            <w:shd w:fill="auto" w:val="clear"/>
            <w:vAlign w:val="bottom"/>
          </w:tcPr>
          <w:p>
            <w:pPr>
              <w:pStyle w:val="TableContents"/>
              <w:spacing w:before="0" w:after="0"/>
              <w:ind w:left="0" w:right="0" w:hanging="0"/>
              <w:jc w:val="center"/>
              <w:rPr/>
            </w:pPr>
            <w:r>
              <w:rPr/>
              <w:t> </w:t>
            </w:r>
          </w:p>
        </w:tc>
        <w:tc>
          <w:tcPr>
            <w:tcW w:w="9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8" w:type="dxa"/>
            <w:tcBorders/>
            <w:shd w:fill="auto" w:val="clear"/>
            <w:vAlign w:val="bottom"/>
          </w:tcPr>
          <w:p>
            <w:pPr>
              <w:pStyle w:val="TableContents"/>
              <w:spacing w:before="0" w:after="0"/>
              <w:ind w:left="0" w:right="0" w:hanging="0"/>
              <w:jc w:val="center"/>
              <w:rPr/>
            </w:pPr>
            <w:r>
              <w:rPr/>
              <w:t> </w:t>
            </w:r>
          </w:p>
        </w:tc>
        <w:tc>
          <w:tcPr>
            <w:tcW w:w="9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04" w:type="dxa"/>
            <w:tcBorders/>
            <w:shd w:fill="auto" w:val="clear"/>
            <w:vAlign w:val="bottom"/>
          </w:tcPr>
          <w:p>
            <w:pPr>
              <w:pStyle w:val="TableContents"/>
              <w:spacing w:before="0" w:after="0"/>
              <w:ind w:left="0" w:right="0" w:hanging="0"/>
              <w:jc w:val="center"/>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78" w:type="dxa"/>
            <w:tcBorders/>
            <w:shd w:fill="auto" w:val="clear"/>
            <w:vAlign w:val="bottom"/>
          </w:tcPr>
          <w:p>
            <w:pPr>
              <w:pStyle w:val="TableContents"/>
              <w:spacing w:before="0" w:after="0"/>
              <w:ind w:left="0" w:right="0" w:hanging="0"/>
              <w:jc w:val="center"/>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8"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123" w:type="dxa"/>
            <w:tcBorders/>
            <w:shd w:fill="auto" w:val="clear"/>
            <w:vAlign w:val="bottom"/>
          </w:tcPr>
          <w:p>
            <w:pPr>
              <w:pStyle w:val="TableContents"/>
              <w:spacing w:before="0" w:after="0"/>
              <w:ind w:left="0" w:right="0" w:hanging="0"/>
              <w:jc w:val="center"/>
              <w:rPr/>
            </w:pPr>
            <w:r>
              <w:rPr/>
              <w:t> </w:t>
            </w:r>
          </w:p>
        </w:tc>
      </w:tr>
      <w:tr>
        <w:trPr/>
        <w:tc>
          <w:tcPr>
            <w:tcW w:w="19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October 12, 2010</w:t>
            </w:r>
          </w:p>
        </w:tc>
        <w:tc>
          <w:tcPr>
            <w:tcW w:w="178" w:type="dxa"/>
            <w:tcBorders/>
            <w:shd w:fill="CCEEFF" w:val="clear"/>
            <w:vAlign w:val="bottom"/>
          </w:tcPr>
          <w:p>
            <w:pPr>
              <w:pStyle w:val="TableContents"/>
              <w:spacing w:before="0" w:after="0"/>
              <w:ind w:left="0" w:right="0" w:hanging="0"/>
              <w:rPr/>
            </w:pPr>
            <w:r>
              <w:rPr/>
              <w:t> </w:t>
            </w:r>
          </w:p>
        </w:tc>
        <w:tc>
          <w:tcPr>
            <w:tcW w:w="2339" w:type="dxa"/>
            <w:tcBorders/>
            <w:shd w:fill="CCEEFF" w:val="clear"/>
            <w:vAlign w:val="bottom"/>
          </w:tcPr>
          <w:p>
            <w:pPr>
              <w:pStyle w:val="TableContents"/>
              <w:spacing w:before="0" w:after="0"/>
              <w:ind w:left="0" w:right="0" w:hanging="0"/>
              <w:rPr/>
            </w:pPr>
            <w:r>
              <w:rPr>
                <w:rFonts w:ascii="Times New Roman" w:hAnsi="Times New Roman"/>
                <w:sz w:val="17"/>
              </w:rPr>
              <w:t xml:space="preserve">November 12, 2010 </w:t>
            </w:r>
            <w:r>
              <w:rPr>
                <w:sz w:val="11"/>
              </w:rPr>
              <w:t>(1)</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0.9500</w:t>
            </w:r>
          </w:p>
        </w:tc>
        <w:tc>
          <w:tcPr>
            <w:tcW w:w="123" w:type="dxa"/>
            <w:tcBorders/>
            <w:shd w:fill="CCEEFF" w:val="clear"/>
            <w:vAlign w:val="bottom"/>
          </w:tcPr>
          <w:p>
            <w:pPr>
              <w:pStyle w:val="TableContents"/>
              <w:spacing w:before="0" w:after="0"/>
              <w:ind w:left="0" w:right="0" w:hanging="0"/>
              <w:rPr/>
            </w:pPr>
            <w:r>
              <w:rPr/>
              <w:t> </w:t>
            </w:r>
          </w:p>
        </w:tc>
      </w:tr>
      <w:tr>
        <w:trPr/>
        <w:tc>
          <w:tcPr>
            <w:tcW w:w="19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July 13, 2010</w:t>
            </w:r>
          </w:p>
        </w:tc>
        <w:tc>
          <w:tcPr>
            <w:tcW w:w="178" w:type="dxa"/>
            <w:tcBorders/>
            <w:shd w:fill="auto" w:val="clear"/>
            <w:vAlign w:val="bottom"/>
          </w:tcPr>
          <w:p>
            <w:pPr>
              <w:pStyle w:val="TableContents"/>
              <w:spacing w:before="0" w:after="0"/>
              <w:ind w:left="0" w:right="0" w:hanging="0"/>
              <w:rPr/>
            </w:pPr>
            <w:r>
              <w:rPr/>
              <w:t> </w:t>
            </w:r>
          </w:p>
        </w:tc>
        <w:tc>
          <w:tcPr>
            <w:tcW w:w="2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August 13, 2010</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0.9425</w:t>
            </w:r>
          </w:p>
        </w:tc>
        <w:tc>
          <w:tcPr>
            <w:tcW w:w="123" w:type="dxa"/>
            <w:tcBorders/>
            <w:shd w:fill="auto" w:val="clear"/>
            <w:vAlign w:val="bottom"/>
          </w:tcPr>
          <w:p>
            <w:pPr>
              <w:pStyle w:val="TableContents"/>
              <w:spacing w:before="0" w:after="0"/>
              <w:ind w:left="0" w:right="0" w:hanging="0"/>
              <w:rPr/>
            </w:pPr>
            <w:r>
              <w:rPr/>
              <w:t> </w:t>
            </w:r>
          </w:p>
        </w:tc>
      </w:tr>
      <w:tr>
        <w:trPr/>
        <w:tc>
          <w:tcPr>
            <w:tcW w:w="19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April 13, 2010</w:t>
            </w:r>
          </w:p>
        </w:tc>
        <w:tc>
          <w:tcPr>
            <w:tcW w:w="178" w:type="dxa"/>
            <w:tcBorders/>
            <w:shd w:fill="CCEEFF" w:val="clear"/>
            <w:vAlign w:val="bottom"/>
          </w:tcPr>
          <w:p>
            <w:pPr>
              <w:pStyle w:val="TableContents"/>
              <w:spacing w:before="0" w:after="0"/>
              <w:ind w:left="0" w:right="0" w:hanging="0"/>
              <w:rPr/>
            </w:pPr>
            <w:r>
              <w:rPr/>
              <w:t> </w:t>
            </w:r>
          </w:p>
        </w:tc>
        <w:tc>
          <w:tcPr>
            <w:tcW w:w="23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14, 2010</w:t>
            </w:r>
          </w:p>
        </w:tc>
        <w:tc>
          <w:tcPr>
            <w:tcW w:w="178"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78"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78" w:type="dxa"/>
            <w:tcBorders/>
            <w:shd w:fill="CCEEFF" w:val="clear"/>
            <w:vAlign w:val="bottom"/>
          </w:tcPr>
          <w:p>
            <w:pPr>
              <w:pStyle w:val="TableContents"/>
              <w:spacing w:before="0" w:after="0"/>
              <w:ind w:left="0" w:right="0" w:hanging="0"/>
              <w:rPr/>
            </w:pPr>
            <w:r>
              <w:rPr/>
              <w:t> </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0.9350</w:t>
            </w:r>
          </w:p>
        </w:tc>
        <w:tc>
          <w:tcPr>
            <w:tcW w:w="123" w:type="dxa"/>
            <w:tcBorders/>
            <w:shd w:fill="CCEEFF" w:val="clear"/>
            <w:vAlign w:val="bottom"/>
          </w:tcPr>
          <w:p>
            <w:pPr>
              <w:pStyle w:val="TableContents"/>
              <w:spacing w:before="0" w:after="0"/>
              <w:ind w:left="0" w:right="0" w:hanging="0"/>
              <w:rPr/>
            </w:pPr>
            <w:r>
              <w:rPr/>
              <w:t> </w:t>
            </w:r>
          </w:p>
        </w:tc>
      </w:tr>
      <w:tr>
        <w:trPr/>
        <w:tc>
          <w:tcPr>
            <w:tcW w:w="19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January 20, 2010</w:t>
            </w:r>
          </w:p>
        </w:tc>
        <w:tc>
          <w:tcPr>
            <w:tcW w:w="178" w:type="dxa"/>
            <w:tcBorders/>
            <w:shd w:fill="auto" w:val="clear"/>
            <w:vAlign w:val="bottom"/>
          </w:tcPr>
          <w:p>
            <w:pPr>
              <w:pStyle w:val="TableContents"/>
              <w:spacing w:before="0" w:after="0"/>
              <w:ind w:left="0" w:right="0" w:hanging="0"/>
              <w:rPr/>
            </w:pPr>
            <w:r>
              <w:rPr/>
              <w:t> </w:t>
            </w:r>
          </w:p>
        </w:tc>
        <w:tc>
          <w:tcPr>
            <w:tcW w:w="2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12, 2010</w:t>
            </w:r>
          </w:p>
        </w:tc>
        <w:tc>
          <w:tcPr>
            <w:tcW w:w="178"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78"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4"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8"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78"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0.9275</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on November 2, 2010, for the period July 1, 2010 through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closing of the Pacific acquisition in November 2006, the Rainbow acquisition in May 2008 and the PNGS acquisition in September 2009, our general partner agreed to reduce the amounts due it as incentive distributions.  The total reduction in incentive distributions related to these acquisitions is $83 million. Following the distribution in November 2010, the aggregate incentive distribution reductions remaining will be approximately $7 million. See Note 2 to our Consolidated Financial Statements included in Part IV of our 2009 Annual Report on Form 10-K for further detail regarding our </w:t>
      </w:r>
      <w:r>
        <w:rPr>
          <w:rFonts w:ascii="Times New Roman" w:hAnsi="Times New Roman"/>
          <w:i/>
          <w:sz w:val="17"/>
        </w:rPr>
        <w:t>General Partner Incentive Distributions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8Equity Compensation Plans</w:t>
      </w:r>
      <w:bookmarkStart w:id="32" w:name="Note8equityCompensationPlans_131449"/>
      <w:bookmarkEnd w:id="3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discussion of our equity compensation awards, see Note 10 to our Consolidated Financial Statements included in Part IV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Adoption of PNG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April 2010, PNGs general partner adopted the PNG Plan.  The majority of the awards granted under the PNG Plan will vest either upon (i) annualized PNG distribution levels of between $1.55 and $1.90 or (ii) upon the conversion of PNGs Series A or Series B subordinated units.  The PNG Plan limits the number of PNG common units that may be delivered pursuant to awards under the plan to 3,000,000.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PNGs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July 2010, the Board of Directors of PNGs general partner authorized the issuance of 165,000 PNG Class B Units.  Approximately 97,625 PNG Class B Units were awarded and the remaining units are reserved for future grants.  The PNG Class B Units earn the right to participate in distributions (i.e. become earned) in 25% increments 180 days following annualized PNG distribution levels of $2.00, $2.30, $2.50 and $2.70.  In addition, 50% of the applicable earned units vest immediately upon becoming earned units and the remaining 50% vest on the fifth anniversary of the date of grant. If PNG Class B Units become earned units after the fifth anniversary of the date of grant, 100% of such units will vest immediately upon becoming earned units.  When earned, the PNG Class B Units participate in quarterly distributions paid to PNGs general partner to the extent such distributions exceed $2.5 million per quarter.  Assuming all 165,000 PNG Class B Units were granted and earned, the maximum participation rate would be 6% of PNGs quarterly general partner distribution in excess of $2.5 million. As the PNG distribution levels required for vesting are not currently considered to be probable of occurring, no expense was recognized for the PNG Class B Units during the three months ended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PNG Transaction Grants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September 2010, we entered into agreements with certain of our officers, pursuant to which these officers acquired an aggregate of 375,000 phantom common units, phantom Series A subordinated units, and phantom Series B subordinated units representing a portion of the limited partner interests of PNG issued to us in the IPO. The awards, referred to herein as PNG Transaction Grants, will vest upon the completion of the service period and certain performance conditions, including the conversion of PNGs Series A subordinated units into common units of PNG and the conversion of PNGs Series B subordinated units into Series A subordinated units of PNG.  Upon vesting, these awards will be settled with outstanding common or Series A subordinated units of PNG currently owned by us, resulting in a dilution of our interest in PNG.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3" w:name="PB_15_100628_7608"/>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equity compensation activity for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81"/>
        <w:gridCol w:w="193"/>
        <w:gridCol w:w="1142"/>
        <w:gridCol w:w="206"/>
        <w:gridCol w:w="240"/>
        <w:gridCol w:w="1625"/>
        <w:gridCol w:w="193"/>
        <w:gridCol w:w="1142"/>
        <w:gridCol w:w="193"/>
        <w:gridCol w:w="240"/>
        <w:gridCol w:w="1625"/>
        <w:gridCol w:w="125"/>
      </w:tblGrid>
      <w:tr>
        <w:trPr/>
        <w:tc>
          <w:tcPr>
            <w:tcW w:w="3281"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321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w:t>
            </w:r>
          </w:p>
        </w:tc>
        <w:tc>
          <w:tcPr>
            <w:tcW w:w="193" w:type="dxa"/>
            <w:tcBorders/>
            <w:shd w:fill="auto" w:val="clear"/>
            <w:vAlign w:val="bottom"/>
          </w:tcPr>
          <w:p>
            <w:pPr>
              <w:pStyle w:val="TableContents"/>
              <w:spacing w:before="0" w:after="0"/>
              <w:ind w:left="0" w:right="0" w:hanging="0"/>
              <w:jc w:val="center"/>
              <w:rPr/>
            </w:pPr>
            <w:r>
              <w:rPr/>
              <w:t> </w:t>
            </w:r>
          </w:p>
        </w:tc>
        <w:tc>
          <w:tcPr>
            <w:tcW w:w="320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(2) (3)</w:t>
            </w:r>
          </w:p>
        </w:tc>
        <w:tc>
          <w:tcPr>
            <w:tcW w:w="125" w:type="dxa"/>
            <w:tcBorders/>
            <w:shd w:fill="auto" w:val="clear"/>
            <w:vAlign w:val="bottom"/>
          </w:tcPr>
          <w:p>
            <w:pPr>
              <w:pStyle w:val="TableContents"/>
              <w:spacing w:before="0" w:after="0"/>
              <w:ind w:left="0" w:right="0" w:hanging="0"/>
              <w:jc w:val="center"/>
              <w:rPr/>
            </w:pPr>
            <w:r>
              <w:rPr/>
              <w:t> </w:t>
            </w:r>
          </w:p>
        </w:tc>
      </w:tr>
      <w:tr>
        <w:trPr/>
        <w:tc>
          <w:tcPr>
            <w:tcW w:w="3281"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86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8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r>
          </w:p>
        </w:tc>
        <w:tc>
          <w:tcPr>
            <w:tcW w:w="125" w:type="dxa"/>
            <w:tcBorders/>
            <w:shd w:fill="auto" w:val="clear"/>
            <w:vAlign w:val="bottom"/>
          </w:tcPr>
          <w:p>
            <w:pPr>
              <w:pStyle w:val="TableContents"/>
              <w:spacing w:before="0" w:after="0"/>
              <w:ind w:left="0" w:right="0" w:hanging="0"/>
              <w:jc w:val="center"/>
              <w:rPr/>
            </w:pPr>
            <w:r>
              <w:rPr/>
              <w:t> </w:t>
            </w:r>
          </w:p>
        </w:tc>
      </w:tr>
      <w:tr>
        <w:trPr/>
        <w:tc>
          <w:tcPr>
            <w:tcW w:w="3281"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8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86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25" w:type="dxa"/>
            <w:tcBorders/>
            <w:shd w:fill="auto" w:val="clear"/>
            <w:vAlign w:val="bottom"/>
          </w:tcPr>
          <w:p>
            <w:pPr>
              <w:pStyle w:val="TableContents"/>
              <w:spacing w:before="0" w:after="0"/>
              <w:ind w:left="0" w:right="0" w:hanging="0"/>
              <w:jc w:val="center"/>
              <w:rPr/>
            </w:pPr>
            <w:r>
              <w:rPr/>
              <w:t> </w:t>
            </w:r>
          </w:p>
        </w:tc>
      </w:tr>
      <w:tr>
        <w:trPr/>
        <w:tc>
          <w:tcPr>
            <w:tcW w:w="3281"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6" w:type="dxa"/>
            <w:tcBorders/>
            <w:shd w:fill="auto" w:val="clear"/>
            <w:vAlign w:val="bottom"/>
          </w:tcPr>
          <w:p>
            <w:pPr>
              <w:pStyle w:val="TableContents"/>
              <w:spacing w:before="0" w:after="0"/>
              <w:ind w:left="0" w:right="0" w:hanging="0"/>
              <w:jc w:val="center"/>
              <w:rPr/>
            </w:pPr>
            <w:r>
              <w:rPr/>
              <w:t> </w:t>
            </w:r>
          </w:p>
        </w:tc>
        <w:tc>
          <w:tcPr>
            <w:tcW w:w="1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193" w:type="dxa"/>
            <w:tcBorders/>
            <w:shd w:fill="auto" w:val="clear"/>
            <w:vAlign w:val="bottom"/>
          </w:tcPr>
          <w:p>
            <w:pPr>
              <w:pStyle w:val="TableContents"/>
              <w:spacing w:before="0" w:after="0"/>
              <w:ind w:left="0" w:right="0" w:hanging="0"/>
              <w:jc w:val="center"/>
              <w:rPr/>
            </w:pPr>
            <w:r>
              <w:rPr/>
              <w:t> </w:t>
            </w:r>
          </w:p>
        </w:tc>
        <w:tc>
          <w:tcPr>
            <w:tcW w:w="11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3" w:type="dxa"/>
            <w:tcBorders/>
            <w:shd w:fill="auto" w:val="clear"/>
            <w:vAlign w:val="bottom"/>
          </w:tcPr>
          <w:p>
            <w:pPr>
              <w:pStyle w:val="TableContents"/>
              <w:spacing w:before="0" w:after="0"/>
              <w:ind w:left="0" w:right="0" w:hanging="0"/>
              <w:jc w:val="center"/>
              <w:rPr/>
            </w:pPr>
            <w:r>
              <w:rPr/>
              <w:t> </w:t>
            </w:r>
          </w:p>
        </w:tc>
        <w:tc>
          <w:tcPr>
            <w:tcW w:w="1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125" w:type="dxa"/>
            <w:tcBorders/>
            <w:shd w:fill="auto" w:val="clear"/>
            <w:vAlign w:val="bottom"/>
          </w:tcPr>
          <w:p>
            <w:pPr>
              <w:pStyle w:val="TableContents"/>
              <w:spacing w:before="0" w:after="0"/>
              <w:ind w:left="0" w:right="0" w:hanging="0"/>
              <w:jc w:val="center"/>
              <w:rPr/>
            </w:pPr>
            <w:r>
              <w:rPr/>
              <w:t> </w:t>
            </w:r>
          </w:p>
        </w:tc>
      </w:tr>
      <w:tr>
        <w:trPr/>
        <w:tc>
          <w:tcPr>
            <w:tcW w:w="3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December 31, 2009</w:t>
            </w:r>
          </w:p>
        </w:tc>
        <w:tc>
          <w:tcPr>
            <w:tcW w:w="193" w:type="dxa"/>
            <w:tcBorders/>
            <w:shd w:fill="CCEEFF" w:val="clear"/>
            <w:vAlign w:val="bottom"/>
          </w:tcPr>
          <w:p>
            <w:pPr>
              <w:pStyle w:val="TableContents"/>
              <w:spacing w:before="0" w:after="0"/>
              <w:ind w:left="0" w:right="0" w:hanging="0"/>
              <w:rPr/>
            </w:pPr>
            <w:r>
              <w:rPr/>
              <w:t> </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36.40</w:t>
            </w:r>
          </w:p>
        </w:tc>
        <w:tc>
          <w:tcPr>
            <w:tcW w:w="193" w:type="dxa"/>
            <w:tcBorders/>
            <w:shd w:fill="CCEEFF" w:val="clear"/>
            <w:vAlign w:val="bottom"/>
          </w:tcPr>
          <w:p>
            <w:pPr>
              <w:pStyle w:val="TableContents"/>
              <w:spacing w:before="0" w:after="0"/>
              <w:ind w:left="0" w:right="0" w:hanging="0"/>
              <w:rPr/>
            </w:pPr>
            <w:r>
              <w:rPr/>
              <w:t> </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3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93" w:type="dxa"/>
            <w:tcBorders/>
            <w:shd w:fill="auto" w:val="clear"/>
            <w:vAlign w:val="bottom"/>
          </w:tcPr>
          <w:p>
            <w:pPr>
              <w:pStyle w:val="TableContents"/>
              <w:spacing w:before="0" w:after="0"/>
              <w:ind w:left="0" w:right="0" w:hanging="0"/>
              <w:rPr/>
            </w:pPr>
            <w:r>
              <w:rPr/>
              <w:t> </w:t>
            </w:r>
          </w:p>
        </w:tc>
        <w:tc>
          <w:tcPr>
            <w:tcW w:w="11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6"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42.45</w:t>
            </w:r>
          </w:p>
        </w:tc>
        <w:tc>
          <w:tcPr>
            <w:tcW w:w="193" w:type="dxa"/>
            <w:tcBorders/>
            <w:shd w:fill="auto" w:val="clear"/>
            <w:vAlign w:val="bottom"/>
          </w:tcPr>
          <w:p>
            <w:pPr>
              <w:pStyle w:val="TableContents"/>
              <w:spacing w:before="0" w:after="0"/>
              <w:ind w:left="0" w:right="0" w:hanging="0"/>
              <w:rPr/>
            </w:pPr>
            <w:r>
              <w:rPr/>
              <w:t> </w:t>
            </w:r>
          </w:p>
        </w:tc>
        <w:tc>
          <w:tcPr>
            <w:tcW w:w="11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20.71</w:t>
            </w:r>
          </w:p>
        </w:tc>
        <w:tc>
          <w:tcPr>
            <w:tcW w:w="125" w:type="dxa"/>
            <w:tcBorders/>
            <w:shd w:fill="auto" w:val="clear"/>
            <w:vAlign w:val="bottom"/>
          </w:tcPr>
          <w:p>
            <w:pPr>
              <w:pStyle w:val="TableContents"/>
              <w:spacing w:before="0" w:after="0"/>
              <w:ind w:left="0" w:right="0" w:hanging="0"/>
              <w:rPr/>
            </w:pPr>
            <w:r>
              <w:rPr/>
              <w:t> </w:t>
            </w:r>
          </w:p>
        </w:tc>
      </w:tr>
      <w:tr>
        <w:trPr/>
        <w:tc>
          <w:tcPr>
            <w:tcW w:w="3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93" w:type="dxa"/>
            <w:tcBorders/>
            <w:shd w:fill="CCEEFF" w:val="clear"/>
            <w:vAlign w:val="bottom"/>
          </w:tcPr>
          <w:p>
            <w:pPr>
              <w:pStyle w:val="TableContents"/>
              <w:spacing w:before="0" w:after="0"/>
              <w:ind w:left="0" w:right="0" w:hanging="0"/>
              <w:rPr/>
            </w:pPr>
            <w:r>
              <w:rPr/>
              <w:t> </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34.58</w:t>
            </w:r>
          </w:p>
        </w:tc>
        <w:tc>
          <w:tcPr>
            <w:tcW w:w="193" w:type="dxa"/>
            <w:tcBorders/>
            <w:shd w:fill="CCEEFF" w:val="clear"/>
            <w:vAlign w:val="bottom"/>
          </w:tcPr>
          <w:p>
            <w:pPr>
              <w:pStyle w:val="TableContents"/>
              <w:spacing w:before="0" w:after="0"/>
              <w:ind w:left="0" w:right="0" w:hanging="0"/>
              <w:rPr/>
            </w:pPr>
            <w:r>
              <w:rPr/>
              <w:t> </w:t>
            </w:r>
          </w:p>
        </w:tc>
        <w:tc>
          <w:tcPr>
            <w:tcW w:w="11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32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93" w:type="dxa"/>
            <w:tcBorders/>
            <w:shd w:fill="auto" w:val="clear"/>
            <w:vAlign w:val="bottom"/>
          </w:tcPr>
          <w:p>
            <w:pPr>
              <w:pStyle w:val="TableContents"/>
              <w:spacing w:before="0" w:after="0"/>
              <w:ind w:left="0" w:right="0" w:hanging="0"/>
              <w:rPr/>
            </w:pPr>
            <w:r>
              <w:rPr/>
              <w:t> </w:t>
            </w:r>
          </w:p>
        </w:tc>
        <w:tc>
          <w:tcPr>
            <w:tcW w:w="11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35.66</w:t>
            </w:r>
          </w:p>
        </w:tc>
        <w:tc>
          <w:tcPr>
            <w:tcW w:w="193" w:type="dxa"/>
            <w:tcBorders/>
            <w:shd w:fill="auto" w:val="clear"/>
            <w:vAlign w:val="bottom"/>
          </w:tcPr>
          <w:p>
            <w:pPr>
              <w:pStyle w:val="TableContents"/>
              <w:spacing w:before="0" w:after="0"/>
              <w:ind w:left="0" w:right="0" w:hanging="0"/>
              <w:rPr/>
            </w:pPr>
            <w:r>
              <w:rPr/>
              <w:t> </w:t>
            </w:r>
          </w:p>
        </w:tc>
        <w:tc>
          <w:tcPr>
            <w:tcW w:w="11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32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September 30, 2010</w:t>
            </w:r>
          </w:p>
        </w:tc>
        <w:tc>
          <w:tcPr>
            <w:tcW w:w="193" w:type="dxa"/>
            <w:tcBorders/>
            <w:shd w:fill="CCEEFF" w:val="clear"/>
            <w:vAlign w:val="bottom"/>
          </w:tcPr>
          <w:p>
            <w:pPr>
              <w:pStyle w:val="TableContents"/>
              <w:spacing w:before="0" w:after="0"/>
              <w:ind w:left="0" w:right="0" w:hanging="0"/>
              <w:rPr/>
            </w:pPr>
            <w:r>
              <w:rPr/>
              <w:t> </w:t>
            </w:r>
          </w:p>
        </w:tc>
        <w:tc>
          <w:tcPr>
            <w:tcW w:w="11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6"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38.93</w:t>
            </w:r>
          </w:p>
        </w:tc>
        <w:tc>
          <w:tcPr>
            <w:tcW w:w="193" w:type="dxa"/>
            <w:tcBorders/>
            <w:shd w:fill="CCEEFF" w:val="clear"/>
            <w:vAlign w:val="bottom"/>
          </w:tcPr>
          <w:p>
            <w:pPr>
              <w:pStyle w:val="TableContents"/>
              <w:spacing w:before="0" w:after="0"/>
              <w:ind w:left="0" w:right="0" w:hanging="0"/>
              <w:rPr/>
            </w:pPr>
            <w:r>
              <w:rPr/>
              <w:t> </w:t>
            </w:r>
          </w:p>
        </w:tc>
        <w:tc>
          <w:tcPr>
            <w:tcW w:w="11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20.71</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PAA Class B units.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do not include PNG Class B units.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include PNG Transaction Grants.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summarizes the expense recognized and unit or cash settled vestings related to all of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6"/>
        <w:gridCol w:w="207"/>
        <w:gridCol w:w="205"/>
        <w:gridCol w:w="1077"/>
        <w:gridCol w:w="236"/>
        <w:gridCol w:w="205"/>
        <w:gridCol w:w="1078"/>
        <w:gridCol w:w="207"/>
        <w:gridCol w:w="198"/>
        <w:gridCol w:w="1064"/>
        <w:gridCol w:w="232"/>
        <w:gridCol w:w="197"/>
        <w:gridCol w:w="1065"/>
        <w:gridCol w:w="128"/>
      </w:tblGrid>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0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75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6" w:type="dxa"/>
            <w:tcBorders/>
            <w:shd w:fill="auto" w:val="clear"/>
            <w:vAlign w:val="bottom"/>
          </w:tcPr>
          <w:p>
            <w:pPr>
              <w:pStyle w:val="TableContents"/>
              <w:spacing w:before="0" w:after="0"/>
              <w:ind w:left="0" w:right="0" w:hanging="0"/>
              <w:jc w:val="center"/>
              <w:rPr/>
            </w:pPr>
            <w:r>
              <w:rPr/>
              <w:t> </w:t>
            </w:r>
          </w:p>
        </w:tc>
        <w:tc>
          <w:tcPr>
            <w:tcW w:w="12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7"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2" w:type="dxa"/>
            <w:tcBorders/>
            <w:shd w:fill="auto" w:val="clear"/>
            <w:vAlign w:val="bottom"/>
          </w:tcPr>
          <w:p>
            <w:pPr>
              <w:pStyle w:val="TableContents"/>
              <w:spacing w:before="0" w:after="0"/>
              <w:ind w:left="0" w:right="0" w:hanging="0"/>
              <w:jc w:val="center"/>
              <w:rPr/>
            </w:pPr>
            <w:r>
              <w:rPr/>
              <w:t> </w:t>
            </w:r>
          </w:p>
        </w:tc>
        <w:tc>
          <w:tcPr>
            <w:tcW w:w="12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8" w:type="dxa"/>
            <w:tcBorders/>
            <w:shd w:fill="auto" w:val="clear"/>
            <w:vAlign w:val="bottom"/>
          </w:tcPr>
          <w:p>
            <w:pPr>
              <w:pStyle w:val="TableContents"/>
              <w:spacing w:before="0" w:after="0"/>
              <w:ind w:left="0" w:right="0" w:hanging="0"/>
              <w:jc w:val="center"/>
              <w:rPr/>
            </w:pPr>
            <w:r>
              <w:rPr/>
              <w:t> </w:t>
            </w:r>
          </w:p>
        </w:tc>
      </w:tr>
      <w:tr>
        <w:trPr/>
        <w:tc>
          <w:tcPr>
            <w:tcW w:w="41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 settled vestings (PAA units only)</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8" w:type="dxa"/>
            <w:tcBorders/>
            <w:shd w:fill="auto" w:val="clear"/>
            <w:vAlign w:val="bottom"/>
          </w:tcPr>
          <w:p>
            <w:pPr>
              <w:pStyle w:val="TableContents"/>
              <w:spacing w:before="0" w:after="0"/>
              <w:ind w:left="0" w:right="0" w:hanging="0"/>
              <w:rPr/>
            </w:pPr>
            <w:r>
              <w:rPr/>
              <w:t> </w:t>
            </w:r>
          </w:p>
        </w:tc>
      </w:tr>
      <w:tr>
        <w:trPr/>
        <w:tc>
          <w:tcPr>
            <w:tcW w:w="41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settled vestings</w:t>
            </w:r>
          </w:p>
        </w:tc>
        <w:tc>
          <w:tcPr>
            <w:tcW w:w="20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8" w:type="dxa"/>
            <w:tcBorders/>
            <w:shd w:fill="CCEEFF" w:val="clear"/>
            <w:vAlign w:val="bottom"/>
          </w:tcPr>
          <w:p>
            <w:pPr>
              <w:pStyle w:val="TableContents"/>
              <w:spacing w:before="0" w:after="0"/>
              <w:ind w:left="0" w:right="0" w:hanging="0"/>
              <w:rPr/>
            </w:pPr>
            <w:r>
              <w:rPr/>
              <w:t> </w:t>
            </w:r>
          </w:p>
        </w:tc>
      </w:tr>
      <w:tr>
        <w:trPr/>
        <w:tc>
          <w:tcPr>
            <w:tcW w:w="41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2"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b/>
          <w:sz w:val="17"/>
        </w:rPr>
        <w:t>Note 9Derivatives and Risk Management Activities</w:t>
      </w:r>
      <w:bookmarkStart w:id="34" w:name="Note9derivativesAndRiskManagement_131814"/>
      <w:bookmarkEnd w:id="3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only for risk management purposes.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NYMEX, ICE and over-the-counter positions, as well as physical volumes, grades, locations, delivery schedules and storage capacity. Our interest rate and foreign currency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and strategies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purchase only product for which we have a market, (ii) to structure our sales contracts so that price fluctuations do not materially affect the segment profit we earn, and (iii) not to acquire and hold physical inventory, futures contracts or other derivative products for the purpose of speculating on outright commodity price changes. Although we seek to maintain positions that are substantially balanced,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In connection with our efforts to maintain a balanced position, specifically authorized personnel can purchase or sell an aggregate limit of up to 810,000 barrels of crude oil, refined products and LPG relative to the volumes originally scheduled for such month, based on interim information. The purpose of these purchases and sales is to manage risk as opposed to establishing a risk position. When unscheduled physical inventory builds or draws do occur, they are monitored continuously and managed to a balanced position over a reasonable period of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material commodity related risks inherent in our business activities can be summarized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supply and logistics operations, we purchase and sell crude oil, LPG, and refined products. We use derivatives to manage the associated risks and to optimize profits. As of September 30, 2010,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207,800 barrels per day net long position (total of 6.2 million barrels) associated with our crude oil activities, which was unwound ratably during October 2010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32,400 barrels per day (total of 15.5 million barrels) net short spread position, which hedges a portion of our anticipated crude oil lease gathering purchases through January 2012. These derivatives protect our margin on future floating-price crude oil purchase commitments.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16,000 barrels per day (total of 6.7 million barrels) of calendar spread call options for the period November 2010 through December 2011.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6,000 barrels per day on average (total of 5.1 million barrels) of WTS/WTI crude oil basis swaps through January 2013, which hedge anticipated sales of crude oil (WTI).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63 million barrels of crude oil, LPG and refined products storage capacity that is not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September 30, 2010, we used derivatives to manage the risk of not utilizing approximately 2.5 million barrels per month of storage capacity through 2012. These positions are a combination of calendar spread options and NYMEX futures contracts. These positions involve no outright price exposure, but instead represent potential offsetting purchases and sales between time periods (first month versus second month for example).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 </w:t>
      </w:r>
      <w:r>
        <w:rPr>
          <w:rFonts w:ascii="Times New Roman" w:hAnsi="Times New Roman"/>
        </w:rPr>
        <w:t xml:space="preserve"> </w:t>
      </w:r>
      <w:r>
        <w:rPr>
          <w:rFonts w:ascii="Times New Roman" w:hAnsi="Times New Roman"/>
          <w:sz w:val="17"/>
        </w:rPr>
        <w:t xml:space="preserve">At times, we elect to purchase and store crude oil, LPG and refined products inventory in conjunction with our supply and logistics activities. These activities primarily relate to the seasonal storage of LPG inventories and contango market storage activities. When we purchase and store barrels, we enter into physical sales contracts or use derivatives to mitigate price risk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5" w:name="PB_16_100628_814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associated with the inventory. As of September 30, 2010, we had derivatives totaling approximately 17.2 million barrels hedging our inventory.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purchase foreign cargoes of crude oil and may enter into derivatives to mitigate various price risks associated with the purchase and ultimate sale of foreign crude inventory. As of September 30, 2010, we had approximately 2.1 million barrels of crude oil derivatives hedging the anticipated sale of foreign crude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September 30, 2010, we had PLA hedges consisting of (i) a net short position consisting of crude oil futures and swaps for an average of approximately 2,100 barrels per day (total of 1.7 million barrels) through December 2012, (ii) a long put option position of approximately 0.3 million barrels through December 2012 and (iii) a long call option position of approximately 1.1 million barrels through December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Purchases and Sales</w:t>
      </w:r>
      <w:r>
        <w:rPr>
          <w:rFonts w:ascii="Times New Roman" w:hAnsi="Times New Roman"/>
        </w:rPr>
        <w:t xml:space="preserve"> </w:t>
      </w:r>
      <w:r>
        <w:rPr>
          <w:rFonts w:ascii="Times New Roman" w:hAnsi="Times New Roman"/>
          <w:sz w:val="17"/>
        </w:rPr>
        <w:t> Our gas storage facilities require minimum levels of natural gas (base gas) to operate. For our natural gas storage facilities that are under construction, we anticipate purchasing base gas in future periods as construction is completed. We use derivatives to hedge such anticipated purchases of natural gas. As of September 30, 2010, we have a long position of approximately 1 Bcf consisting of natural gas futures contracts through August 2011 and natural gas call options for approximately 1 Bcf through August 2011.  Additionally, we use derivatives to hedge anticipated sales of operational gas when that gas is no longer needed for cavern development purposes.   As of September 30, 2010, we have a short futures position of approximately 1 Bcf consisting of NYMEX futures.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derivative instruments we use to manage our commodity price risk consist primarily of futures, options and swaps traded on the NYMEX and ICE and in over-the-counter transactions. Over-the-counter transactions include commodity swap and option contracts. All of our commodity derivatives that qualify for hedge accounting are designated as cash flow hedges. Therefore, the corresponding changes in fair value for the effective portion of the hedges are deferred into AOCI and recognized in revenues or purchases and related costs in the periods during which the underlying physical transactions occur. We have determined that substantially all of our physical purchase and sale agreements qualify for the NPNS exclusion and thus are not subject to the accounting treatment for derivative instruments and hedging activities as set forth in FASB guidance. Physical commodity contracts that meet the definition of a derivative but are ineligible, or not designated, for the NPNS scope exception are recorded on the balance sheet as assets or liabilities at their fair value, with changes in fair value recorded net in revenues.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in certain cases, outstanding debt instruments. The derivative instruments we use to manage this risk consist primarily of interest rate swaps and treasury locks. As of September 30, 2010, AOCI includes deferred losses of $8 million that relate to terminated interest rate swaps and treasury locks that were designated for hedge accounting. These terminated interest rate derivatives were cash-settled in connection with the issuance or refinancing of debt agreements. The deferred loss related to these instruments is being amortized to interest expense over the original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2010, we had four outstanding interest rate swaps. For the interest rate swaps, we receive fixed interest payments and pay floating-rate interest payments based on three-month LIBOR plus an average spread of 2.42% on a semi-annual basis. The swaps have an aggregate notional amount of $300 million with fixed rates of 4.25%. Two of the swaps terminate in 2011 and  two of the swaps terminate in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October 2010, we entered into three forward starting interest rate swaps to hedge the underlying benchmark interest rate related to forecasted debt issuances through 2013.  The following table summarizes the terms of our forward starting interest rate swaps (notional amounts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6" w:name="PB_17_100628_7091"/>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279"/>
        <w:gridCol w:w="165"/>
        <w:gridCol w:w="1916"/>
        <w:gridCol w:w="165"/>
        <w:gridCol w:w="194"/>
        <w:gridCol w:w="615"/>
        <w:gridCol w:w="165"/>
        <w:gridCol w:w="1544"/>
        <w:gridCol w:w="165"/>
        <w:gridCol w:w="1182"/>
        <w:gridCol w:w="230"/>
        <w:gridCol w:w="1473"/>
        <w:gridCol w:w="112"/>
      </w:tblGrid>
      <w:tr>
        <w:trPr/>
        <w:tc>
          <w:tcPr>
            <w:tcW w:w="22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Hedged Transaction</w:t>
            </w:r>
          </w:p>
        </w:tc>
        <w:tc>
          <w:tcPr>
            <w:tcW w:w="165" w:type="dxa"/>
            <w:tcBorders/>
            <w:shd w:fill="auto" w:val="clear"/>
            <w:tcMar>
              <w:bottom w:w="0" w:type="dxa"/>
            </w:tcMar>
            <w:vAlign w:val="bottom"/>
          </w:tcPr>
          <w:p>
            <w:pPr>
              <w:pStyle w:val="TableContents"/>
              <w:spacing w:before="0" w:after="0"/>
              <w:ind w:left="0" w:right="0" w:hanging="0"/>
              <w:jc w:val="center"/>
              <w:rPr/>
            </w:pPr>
            <w:r>
              <w:rPr/>
              <w:t> </w:t>
            </w:r>
          </w:p>
        </w:tc>
        <w:tc>
          <w:tcPr>
            <w:tcW w:w="191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 of</w:t>
              <w:br/>
              <w:t>Derivatives Employed</w:t>
            </w:r>
          </w:p>
        </w:tc>
        <w:tc>
          <w:tcPr>
            <w:tcW w:w="165" w:type="dxa"/>
            <w:tcBorders/>
            <w:shd w:fill="auto" w:val="clear"/>
            <w:tcMar>
              <w:bottom w:w="0" w:type="dxa"/>
            </w:tcMar>
            <w:vAlign w:val="bottom"/>
          </w:tcPr>
          <w:p>
            <w:pPr>
              <w:pStyle w:val="TableContents"/>
              <w:spacing w:before="0" w:after="0"/>
              <w:ind w:left="0" w:right="0" w:hanging="0"/>
              <w:jc w:val="center"/>
              <w:rPr/>
            </w:pPr>
            <w:r>
              <w:rPr/>
              <w:t> </w:t>
            </w:r>
          </w:p>
        </w:tc>
        <w:tc>
          <w:tcPr>
            <w:tcW w:w="80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65" w:type="dxa"/>
            <w:tcBorders/>
            <w:shd w:fill="auto" w:val="clear"/>
            <w:tcMar>
              <w:bottom w:w="0" w:type="dxa"/>
            </w:tcMar>
            <w:vAlign w:val="bottom"/>
          </w:tcPr>
          <w:p>
            <w:pPr>
              <w:pStyle w:val="TableContents"/>
              <w:spacing w:before="0" w:after="0"/>
              <w:ind w:left="0" w:right="0" w:hanging="0"/>
              <w:jc w:val="center"/>
              <w:rPr/>
            </w:pPr>
            <w:r>
              <w:rPr/>
              <w:t> </w:t>
            </w:r>
          </w:p>
        </w:tc>
        <w:tc>
          <w:tcPr>
            <w:tcW w:w="154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65" w:type="dxa"/>
            <w:tcBorders/>
            <w:shd w:fill="auto" w:val="clear"/>
            <w:tcMar>
              <w:bottom w:w="0" w:type="dxa"/>
            </w:tcMar>
            <w:vAlign w:val="bottom"/>
          </w:tcPr>
          <w:p>
            <w:pPr>
              <w:pStyle w:val="TableContents"/>
              <w:spacing w:before="0" w:after="0"/>
              <w:ind w:left="0" w:right="0" w:hanging="0"/>
              <w:jc w:val="center"/>
              <w:rPr/>
            </w:pPr>
            <w:r>
              <w:rPr/>
              <w:t> </w:t>
            </w:r>
          </w:p>
        </w:tc>
        <w:tc>
          <w:tcPr>
            <w:tcW w:w="118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Rate</w:t>
              <w:br/>
              <w:t>Locked</w:t>
            </w:r>
          </w:p>
        </w:tc>
        <w:tc>
          <w:tcPr>
            <w:tcW w:w="230" w:type="dxa"/>
            <w:tcBorders/>
            <w:shd w:fill="auto" w:val="clear"/>
            <w:tcMar>
              <w:bottom w:w="0" w:type="dxa"/>
            </w:tcMar>
            <w:vAlign w:val="bottom"/>
          </w:tcPr>
          <w:p>
            <w:pPr>
              <w:pStyle w:val="TableContents"/>
              <w:spacing w:before="0" w:after="0"/>
              <w:ind w:left="0" w:right="0" w:hanging="0"/>
              <w:jc w:val="center"/>
              <w:rPr/>
            </w:pPr>
            <w:r>
              <w:rPr/>
              <w:t> </w:t>
            </w:r>
          </w:p>
        </w:tc>
        <w:tc>
          <w:tcPr>
            <w:tcW w:w="14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227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5" w:type="dxa"/>
            <w:tcBorders/>
            <w:shd w:fill="CCEEFF" w:val="clear"/>
            <w:tcMar>
              <w:bottom w:w="0" w:type="dxa"/>
            </w:tcMar>
            <w:vAlign w:val="bottom"/>
          </w:tcPr>
          <w:p>
            <w:pPr>
              <w:pStyle w:val="TableContents"/>
              <w:spacing w:before="0" w:after="0"/>
              <w:ind w:left="0" w:right="0" w:hanging="0"/>
              <w:rPr/>
            </w:pPr>
            <w:r>
              <w:rPr/>
              <w:t> </w:t>
            </w:r>
          </w:p>
        </w:tc>
        <w:tc>
          <w:tcPr>
            <w:tcW w:w="191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 forward starting swap (30-year)</w:t>
            </w:r>
          </w:p>
        </w:tc>
        <w:tc>
          <w:tcPr>
            <w:tcW w:w="165" w:type="dxa"/>
            <w:tcBorders/>
            <w:shd w:fill="CCEEFF" w:val="clear"/>
            <w:tcMar>
              <w:bottom w:w="0" w:type="dxa"/>
            </w:tcMar>
            <w:vAlign w:val="bottom"/>
          </w:tcPr>
          <w:p>
            <w:pPr>
              <w:pStyle w:val="TableContents"/>
              <w:spacing w:before="0" w:after="0"/>
              <w:ind w:left="0" w:right="0" w:hanging="0"/>
              <w:rPr/>
            </w:pPr>
            <w:r>
              <w:rPr/>
              <w:t> </w:t>
            </w:r>
          </w:p>
        </w:tc>
        <w:tc>
          <w:tcPr>
            <w:tcW w:w="19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65" w:type="dxa"/>
            <w:tcBorders/>
            <w:shd w:fill="CCEEFF" w:val="clear"/>
            <w:tcMar>
              <w:bottom w:w="0" w:type="dxa"/>
            </w:tcMar>
            <w:vAlign w:val="bottom"/>
          </w:tcPr>
          <w:p>
            <w:pPr>
              <w:pStyle w:val="TableContents"/>
              <w:spacing w:before="0" w:after="0"/>
              <w:ind w:left="0" w:right="0" w:hanging="0"/>
              <w:rPr/>
            </w:pPr>
            <w:r>
              <w:rPr/>
              <w:t> </w:t>
            </w:r>
          </w:p>
        </w:tc>
        <w:tc>
          <w:tcPr>
            <w:tcW w:w="15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12/15/2013</w:t>
            </w:r>
          </w:p>
        </w:tc>
        <w:tc>
          <w:tcPr>
            <w:tcW w:w="165" w:type="dxa"/>
            <w:tcBorders/>
            <w:shd w:fill="CCEEFF" w:val="clear"/>
            <w:tcMar>
              <w:bottom w:w="0" w:type="dxa"/>
            </w:tcMar>
            <w:vAlign w:val="bottom"/>
          </w:tcPr>
          <w:p>
            <w:pPr>
              <w:pStyle w:val="TableContents"/>
              <w:spacing w:before="0" w:after="0"/>
              <w:ind w:left="0" w:right="0" w:hanging="0"/>
              <w:rPr/>
            </w:pPr>
            <w:r>
              <w:rPr/>
              <w:t> </w:t>
            </w:r>
          </w:p>
        </w:tc>
        <w:tc>
          <w:tcPr>
            <w:tcW w:w="11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23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3"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27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65" w:type="dxa"/>
            <w:tcBorders/>
            <w:shd w:fill="auto" w:val="clear"/>
            <w:tcMar>
              <w:bottom w:w="0" w:type="dxa"/>
            </w:tcMar>
            <w:vAlign w:val="bottom"/>
          </w:tcPr>
          <w:p>
            <w:pPr>
              <w:pStyle w:val="TableContents"/>
              <w:spacing w:before="0" w:after="0"/>
              <w:ind w:left="0" w:right="0" w:hanging="0"/>
              <w:rPr/>
            </w:pPr>
            <w:r>
              <w:rPr/>
              <w:t> </w:t>
            </w:r>
          </w:p>
        </w:tc>
        <w:tc>
          <w:tcPr>
            <w:tcW w:w="1916"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 forward starting swaps (10-year)</w:t>
            </w:r>
          </w:p>
        </w:tc>
        <w:tc>
          <w:tcPr>
            <w:tcW w:w="165" w:type="dxa"/>
            <w:tcBorders/>
            <w:shd w:fill="auto" w:val="clear"/>
            <w:tcMar>
              <w:bottom w:w="0" w:type="dxa"/>
            </w:tcMar>
            <w:vAlign w:val="bottom"/>
          </w:tcPr>
          <w:p>
            <w:pPr>
              <w:pStyle w:val="TableContents"/>
              <w:spacing w:before="0" w:after="0"/>
              <w:ind w:left="0" w:right="0" w:hanging="0"/>
              <w:rPr/>
            </w:pPr>
            <w:r>
              <w:rPr/>
              <w:t> </w:t>
            </w:r>
          </w:p>
        </w:tc>
        <w:tc>
          <w:tcPr>
            <w:tcW w:w="19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65" w:type="dxa"/>
            <w:tcBorders/>
            <w:shd w:fill="auto" w:val="clear"/>
            <w:tcMar>
              <w:bottom w:w="0" w:type="dxa"/>
            </w:tcMar>
            <w:vAlign w:val="bottom"/>
          </w:tcPr>
          <w:p>
            <w:pPr>
              <w:pStyle w:val="TableContents"/>
              <w:spacing w:before="0" w:after="0"/>
              <w:ind w:left="0" w:right="0" w:hanging="0"/>
              <w:rPr/>
            </w:pPr>
            <w:r>
              <w:rPr/>
              <w:t> </w:t>
            </w:r>
          </w:p>
        </w:tc>
        <w:tc>
          <w:tcPr>
            <w:tcW w:w="15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10/15/2012</w:t>
            </w:r>
          </w:p>
        </w:tc>
        <w:tc>
          <w:tcPr>
            <w:tcW w:w="165" w:type="dxa"/>
            <w:tcBorders/>
            <w:shd w:fill="auto" w:val="clear"/>
            <w:tcMar>
              <w:bottom w:w="0" w:type="dxa"/>
            </w:tcMar>
            <w:vAlign w:val="bottom"/>
          </w:tcPr>
          <w:p>
            <w:pPr>
              <w:pStyle w:val="TableContents"/>
              <w:spacing w:before="0" w:after="0"/>
              <w:ind w:left="0" w:right="0" w:hanging="0"/>
              <w:rPr/>
            </w:pPr>
            <w:r>
              <w:rPr/>
              <w:t> </w:t>
            </w:r>
          </w:p>
        </w:tc>
        <w:tc>
          <w:tcPr>
            <w:tcW w:w="11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3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As of September 30, 2010, AOCI includes net deferred gains of $16 million that relate to open and settled forward exchange contracts that were designated for hedge accounting. These forward exchange contracts hedge the cash flow variability associated with CAD-denominated interest payments on a CAD-denominated intercompany note as a result of changes in the foreign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2010, our outstanding foreign currency derivatives also include derivatives used to hedge CAD-denominated crude oil purchases and sales. We may from time to time hedge the commodity price risk associated with a CAD-denominated commodity transaction with a USD-denominated commodity derivative. In conjunction with entering into the commodity derivative, we may enter into a foreign currency derivative to hedge the resulting foreign currency risk. These foreign currency derivatives are generally short-term in nature and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2010, our open foreign exchange derivatives included forward exchange contracts that exchange CAD for USD on a net basis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28"/>
        <w:gridCol w:w="212"/>
        <w:gridCol w:w="110"/>
        <w:gridCol w:w="1058"/>
        <w:gridCol w:w="212"/>
        <w:gridCol w:w="110"/>
        <w:gridCol w:w="1058"/>
        <w:gridCol w:w="212"/>
        <w:gridCol w:w="2491"/>
        <w:gridCol w:w="114"/>
      </w:tblGrid>
      <w:tr>
        <w:trPr/>
        <w:tc>
          <w:tcPr>
            <w:tcW w:w="462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2" w:type="dxa"/>
            <w:tcBorders/>
            <w:shd w:fill="auto" w:val="clear"/>
            <w:vAlign w:val="bottom"/>
          </w:tcPr>
          <w:p>
            <w:pPr>
              <w:pStyle w:val="TableContents"/>
              <w:spacing w:before="0" w:after="0"/>
              <w:ind w:left="0" w:right="0" w:hanging="0"/>
              <w:jc w:val="center"/>
              <w:rPr/>
            </w:pPr>
            <w:r>
              <w:rPr/>
              <w:t> </w:t>
            </w:r>
          </w:p>
        </w:tc>
        <w:tc>
          <w:tcPr>
            <w:tcW w:w="11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2" w:type="dxa"/>
            <w:tcBorders/>
            <w:shd w:fill="auto" w:val="clear"/>
            <w:vAlign w:val="bottom"/>
          </w:tcPr>
          <w:p>
            <w:pPr>
              <w:pStyle w:val="TableContents"/>
              <w:spacing w:before="0" w:after="0"/>
              <w:ind w:left="0" w:right="0" w:hanging="0"/>
              <w:jc w:val="center"/>
              <w:rPr/>
            </w:pPr>
            <w:r>
              <w:rPr/>
              <w:t> </w:t>
            </w:r>
          </w:p>
        </w:tc>
        <w:tc>
          <w:tcPr>
            <w:tcW w:w="249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4" w:type="dxa"/>
            <w:tcBorders/>
            <w:shd w:fill="auto" w:val="clear"/>
            <w:vAlign w:val="bottom"/>
          </w:tcPr>
          <w:p>
            <w:pPr>
              <w:pStyle w:val="TableContents"/>
              <w:spacing w:before="0" w:after="0"/>
              <w:ind w:left="0" w:right="0" w:hanging="0"/>
              <w:jc w:val="center"/>
              <w:rPr/>
            </w:pPr>
            <w:r>
              <w:rPr/>
              <w:t> </w:t>
            </w:r>
          </w:p>
        </w:tc>
      </w:tr>
      <w:tr>
        <w:trPr/>
        <w:tc>
          <w:tcPr>
            <w:tcW w:w="46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CCEEFF" w:val="clear"/>
            <w:vAlign w:val="bottom"/>
          </w:tcPr>
          <w:p>
            <w:pPr>
              <w:pStyle w:val="TableContents"/>
              <w:spacing w:before="0" w:after="0"/>
              <w:ind w:left="0" w:right="0" w:hanging="0"/>
              <w:rPr/>
            </w:pPr>
            <w:r>
              <w:rPr/>
              <w:t> </w:t>
            </w:r>
          </w:p>
        </w:tc>
        <w:tc>
          <w:tcPr>
            <w:tcW w:w="24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CAD $1.15 to USD $1.00</w:t>
            </w:r>
          </w:p>
        </w:tc>
        <w:tc>
          <w:tcPr>
            <w:tcW w:w="114" w:type="dxa"/>
            <w:tcBorders/>
            <w:shd w:fill="CCEEFF" w:val="clear"/>
            <w:vAlign w:val="bottom"/>
          </w:tcPr>
          <w:p>
            <w:pPr>
              <w:pStyle w:val="TableContents"/>
              <w:spacing w:before="0" w:after="0"/>
              <w:ind w:left="0" w:right="0" w:hanging="0"/>
              <w:rPr/>
            </w:pPr>
            <w:r>
              <w:rPr/>
              <w:t> </w:t>
            </w:r>
          </w:p>
        </w:tc>
      </w:tr>
      <w:tr>
        <w:trPr/>
        <w:tc>
          <w:tcPr>
            <w:tcW w:w="46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auto" w:val="clear"/>
            <w:vAlign w:val="bottom"/>
          </w:tcPr>
          <w:p>
            <w:pPr>
              <w:pStyle w:val="TableContents"/>
              <w:spacing w:before="0" w:after="0"/>
              <w:ind w:left="0" w:right="0" w:hanging="0"/>
              <w:rPr/>
            </w:pPr>
            <w:r>
              <w:rPr/>
              <w:t> </w:t>
            </w:r>
          </w:p>
        </w:tc>
        <w:tc>
          <w:tcPr>
            <w:tcW w:w="24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CAD $1.01 to USD $1.00</w:t>
            </w:r>
          </w:p>
        </w:tc>
        <w:tc>
          <w:tcPr>
            <w:tcW w:w="114" w:type="dxa"/>
            <w:tcBorders/>
            <w:shd w:fill="auto" w:val="clear"/>
            <w:vAlign w:val="bottom"/>
          </w:tcPr>
          <w:p>
            <w:pPr>
              <w:pStyle w:val="TableContents"/>
              <w:spacing w:before="0" w:after="0"/>
              <w:ind w:left="0" w:right="0" w:hanging="0"/>
              <w:rPr/>
            </w:pPr>
            <w:r>
              <w:rPr/>
              <w:t> </w:t>
            </w:r>
          </w:p>
        </w:tc>
      </w:tr>
      <w:tr>
        <w:trPr/>
        <w:tc>
          <w:tcPr>
            <w:tcW w:w="462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2" w:type="dxa"/>
            <w:tcBorders/>
            <w:shd w:fill="CCEEFF" w:val="clear"/>
            <w:vAlign w:val="bottom"/>
          </w:tcPr>
          <w:p>
            <w:pPr>
              <w:pStyle w:val="TableContents"/>
              <w:spacing w:before="0" w:after="0"/>
              <w:ind w:left="0" w:right="0" w:hanging="0"/>
              <w:rPr/>
            </w:pPr>
            <w:r>
              <w:rPr/>
              <w:t> </w:t>
            </w:r>
          </w:p>
        </w:tc>
        <w:tc>
          <w:tcPr>
            <w:tcW w:w="24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CAD $1.01 to USD $1.00</w:t>
            </w:r>
          </w:p>
        </w:tc>
        <w:tc>
          <w:tcPr>
            <w:tcW w:w="114" w:type="dxa"/>
            <w:tcBorders/>
            <w:shd w:fill="CCEEFF" w:val="clear"/>
            <w:vAlign w:val="bottom"/>
          </w:tcPr>
          <w:p>
            <w:pPr>
              <w:pStyle w:val="TableContents"/>
              <w:spacing w:before="0" w:after="0"/>
              <w:ind w:left="0" w:right="0" w:hanging="0"/>
              <w:rPr/>
            </w:pPr>
            <w:r>
              <w:rPr/>
              <w:t> </w:t>
            </w:r>
          </w:p>
        </w:tc>
      </w:tr>
      <w:tr>
        <w:trPr/>
        <w:tc>
          <w:tcPr>
            <w:tcW w:w="46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auto" w:val="clear"/>
            <w:vAlign w:val="bottom"/>
          </w:tcPr>
          <w:p>
            <w:pPr>
              <w:pStyle w:val="TableContents"/>
              <w:spacing w:before="0" w:after="0"/>
              <w:ind w:left="0" w:right="0" w:hanging="0"/>
              <w:rPr/>
            </w:pPr>
            <w:r>
              <w:rPr/>
              <w:t> </w:t>
            </w:r>
          </w:p>
        </w:tc>
        <w:tc>
          <w:tcPr>
            <w:tcW w:w="24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CAD $1.00 to USD $1.00</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financial instruments are placed with large, highly rated financial institutions.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derivative activity is related to our commodity price-risk hedging activities. All of our commodity derivatives that qualify for hedge accounting are designated as cash flow hedges. Therefore, the corresponding changes in fair value for the effective portion of the hedges are deferred to AOCI and recognized in earnings in the periods during which the underlying physical transactions impact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operating cash flows in our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7" w:name="PB_18_100628_455"/>
      <w:bookmarkEnd w:id="37"/>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nine months ended September 30, 2010 and 2009 is as follows (in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Three months ended September 30, 2010 and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46"/>
        <w:gridCol w:w="147"/>
        <w:gridCol w:w="306"/>
        <w:gridCol w:w="952"/>
        <w:gridCol w:w="199"/>
        <w:gridCol w:w="383"/>
        <w:gridCol w:w="806"/>
        <w:gridCol w:w="186"/>
        <w:gridCol w:w="335"/>
        <w:gridCol w:w="596"/>
        <w:gridCol w:w="164"/>
        <w:gridCol w:w="147"/>
        <w:gridCol w:w="221"/>
        <w:gridCol w:w="1036"/>
        <w:gridCol w:w="164"/>
        <w:gridCol w:w="311"/>
        <w:gridCol w:w="822"/>
        <w:gridCol w:w="164"/>
        <w:gridCol w:w="255"/>
        <w:gridCol w:w="751"/>
        <w:gridCol w:w="44"/>
        <w:gridCol w:w="70"/>
      </w:tblGrid>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376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2010</w:t>
            </w:r>
          </w:p>
        </w:tc>
        <w:tc>
          <w:tcPr>
            <w:tcW w:w="164" w:type="dxa"/>
            <w:tcBorders/>
            <w:shd w:fill="auto" w:val="clear"/>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376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2009</w:t>
            </w:r>
          </w:p>
        </w:tc>
        <w:tc>
          <w:tcPr>
            <w:tcW w:w="70" w:type="dxa"/>
            <w:tcBorders/>
            <w:shd w:fill="auto" w:val="clear"/>
            <w:vAlign w:val="bottom"/>
          </w:tcPr>
          <w:p>
            <w:pPr>
              <w:pStyle w:val="TableContents"/>
              <w:spacing w:before="0" w:after="0"/>
              <w:ind w:left="0" w:right="0" w:hanging="0"/>
              <w:jc w:val="center"/>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125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br/>
              <w:t>Cash Flow</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18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4" w:type="dxa"/>
            <w:tcBorders/>
            <w:shd w:fill="auto" w:val="clear"/>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br/>
              <w:t>Cash Flow</w:t>
            </w:r>
          </w:p>
        </w:tc>
        <w:tc>
          <w:tcPr>
            <w:tcW w:w="16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16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 w:type="dxa"/>
            <w:gridSpan w:val="2"/>
            <w:tcBorders/>
            <w:shd w:fill="auto" w:val="clear"/>
            <w:vAlign w:val="bottom"/>
          </w:tcPr>
          <w:p>
            <w:pPr>
              <w:pStyle w:val="TableContents"/>
              <w:spacing w:before="0" w:after="0"/>
              <w:ind w:left="0" w:right="0" w:hanging="0"/>
              <w:jc w:val="center"/>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125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99" w:type="dxa"/>
            <w:tcBorders/>
            <w:shd w:fill="auto" w:val="clear"/>
            <w:vAlign w:val="bottom"/>
          </w:tcPr>
          <w:p>
            <w:pPr>
              <w:pStyle w:val="TableContents"/>
              <w:spacing w:before="0" w:after="0"/>
              <w:ind w:left="0" w:right="0" w:hanging="0"/>
              <w:jc w:val="center"/>
              <w:rPr/>
            </w:pPr>
            <w:r>
              <w:rPr/>
              <w:t> </w:t>
            </w:r>
          </w:p>
        </w:tc>
        <w:tc>
          <w:tcPr>
            <w:tcW w:w="11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86" w:type="dxa"/>
            <w:tcBorders/>
            <w:shd w:fill="auto" w:val="clear"/>
            <w:vAlign w:val="bottom"/>
          </w:tcPr>
          <w:p>
            <w:pPr>
              <w:pStyle w:val="TableContents"/>
              <w:spacing w:before="0" w:after="0"/>
              <w:ind w:left="0" w:right="0" w:hanging="0"/>
              <w:jc w:val="center"/>
              <w:rPr/>
            </w:pPr>
            <w:r>
              <w:rPr/>
              <w:t> </w:t>
            </w:r>
          </w:p>
        </w:tc>
        <w:tc>
          <w:tcPr>
            <w:tcW w:w="931" w:type="dxa"/>
            <w:gridSpan w:val="2"/>
            <w:tcBorders/>
            <w:shd w:fill="auto" w:val="clear"/>
            <w:vAlign w:val="bottom"/>
          </w:tcPr>
          <w:p>
            <w:pPr>
              <w:pStyle w:val="TableContents"/>
              <w:spacing w:before="0" w:after="0"/>
              <w:ind w:left="0" w:right="0" w:hanging="0"/>
              <w:jc w:val="center"/>
              <w:rPr/>
            </w:pPr>
            <w:r>
              <w:rPr/>
              <w:t> </w:t>
            </w:r>
          </w:p>
        </w:tc>
        <w:tc>
          <w:tcPr>
            <w:tcW w:w="164" w:type="dxa"/>
            <w:tcBorders/>
            <w:shd w:fill="auto" w:val="clear"/>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164" w:type="dxa"/>
            <w:tcBorders/>
            <w:shd w:fill="auto" w:val="clear"/>
            <w:vAlign w:val="bottom"/>
          </w:tcPr>
          <w:p>
            <w:pPr>
              <w:pStyle w:val="TableContents"/>
              <w:spacing w:before="0" w:after="0"/>
              <w:ind w:left="0" w:right="0" w:hanging="0"/>
              <w:jc w:val="center"/>
              <w:rPr/>
            </w:pPr>
            <w:r>
              <w:rPr/>
              <w:t> </w:t>
            </w:r>
          </w:p>
        </w:tc>
        <w:tc>
          <w:tcPr>
            <w:tcW w:w="113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64" w:type="dxa"/>
            <w:tcBorders/>
            <w:shd w:fill="auto" w:val="clear"/>
            <w:vAlign w:val="bottom"/>
          </w:tcPr>
          <w:p>
            <w:pPr>
              <w:pStyle w:val="TableContents"/>
              <w:spacing w:before="0" w:after="0"/>
              <w:ind w:left="0" w:right="0" w:hanging="0"/>
              <w:jc w:val="center"/>
              <w:rPr/>
            </w:pPr>
            <w:r>
              <w:rPr/>
              <w:t> </w:t>
            </w:r>
          </w:p>
        </w:tc>
        <w:tc>
          <w:tcPr>
            <w:tcW w:w="1006" w:type="dxa"/>
            <w:gridSpan w:val="2"/>
            <w:tcBorders/>
            <w:shd w:fill="auto" w:val="clear"/>
            <w:vAlign w:val="bottom"/>
          </w:tcPr>
          <w:p>
            <w:pPr>
              <w:pStyle w:val="TableContents"/>
              <w:spacing w:before="0" w:after="0"/>
              <w:ind w:left="0" w:right="0" w:hanging="0"/>
              <w:jc w:val="center"/>
              <w:rPr/>
            </w:pPr>
            <w:r>
              <w:rPr/>
              <w:t> </w:t>
            </w:r>
          </w:p>
        </w:tc>
        <w:tc>
          <w:tcPr>
            <w:tcW w:w="114" w:type="dxa"/>
            <w:gridSpan w:val="2"/>
            <w:tcBorders/>
            <w:shd w:fill="auto" w:val="clear"/>
            <w:vAlign w:val="bottom"/>
          </w:tcPr>
          <w:p>
            <w:pPr>
              <w:pStyle w:val="TableContents"/>
              <w:spacing w:before="0" w:after="0"/>
              <w:ind w:left="0" w:right="0" w:hanging="0"/>
              <w:jc w:val="center"/>
              <w:rPr/>
            </w:pPr>
            <w:r>
              <w:rPr/>
              <w:t> </w:t>
            </w:r>
          </w:p>
        </w:tc>
      </w:tr>
      <w:tr>
        <w:trPr/>
        <w:tc>
          <w:tcPr>
            <w:tcW w:w="214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47"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Relationships </w:t>
            </w:r>
            <w:r>
              <w:rPr>
                <w:b/>
                <w:sz w:val="8"/>
              </w:rPr>
              <w:t>(1)</w:t>
            </w:r>
          </w:p>
        </w:tc>
        <w:tc>
          <w:tcPr>
            <w:tcW w:w="199" w:type="dxa"/>
            <w:tcBorders/>
            <w:shd w:fill="auto" w:val="clear"/>
            <w:vAlign w:val="bottom"/>
          </w:tcPr>
          <w:p>
            <w:pPr>
              <w:pStyle w:val="TableContents"/>
              <w:spacing w:before="0" w:after="0"/>
              <w:ind w:left="0" w:right="0" w:hanging="0"/>
              <w:jc w:val="center"/>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(3)</w:t>
            </w:r>
          </w:p>
        </w:tc>
        <w:tc>
          <w:tcPr>
            <w:tcW w:w="186" w:type="dxa"/>
            <w:tcBorders/>
            <w:shd w:fill="auto" w:val="clear"/>
            <w:vAlign w:val="bottom"/>
          </w:tcPr>
          <w:p>
            <w:pPr>
              <w:pStyle w:val="TableContents"/>
              <w:spacing w:before="0" w:after="0"/>
              <w:ind w:left="0" w:right="0" w:hanging="0"/>
              <w:jc w:val="center"/>
              <w:rPr/>
            </w:pPr>
            <w:r>
              <w:rPr/>
              <w:t> </w:t>
            </w:r>
          </w:p>
        </w:tc>
        <w:tc>
          <w:tcPr>
            <w:tcW w:w="9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4" w:type="dxa"/>
            <w:tcBorders/>
            <w:shd w:fill="auto" w:val="clear"/>
          </w:tcPr>
          <w:p>
            <w:pPr>
              <w:pStyle w:val="TableContents"/>
              <w:spacing w:before="0" w:after="0"/>
              <w:ind w:left="0" w:right="0" w:hanging="0"/>
              <w:jc w:val="center"/>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Relationships </w:t>
            </w:r>
            <w:r>
              <w:rPr>
                <w:b/>
                <w:sz w:val="8"/>
              </w:rPr>
              <w:t>(1)(2)</w:t>
            </w:r>
          </w:p>
        </w:tc>
        <w:tc>
          <w:tcPr>
            <w:tcW w:w="164" w:type="dxa"/>
            <w:tcBorders/>
            <w:shd w:fill="auto" w:val="clear"/>
            <w:vAlign w:val="bottom"/>
          </w:tcPr>
          <w:p>
            <w:pPr>
              <w:pStyle w:val="TableContents"/>
              <w:spacing w:before="0" w:after="0"/>
              <w:ind w:left="0" w:right="0" w:hanging="0"/>
              <w:jc w:val="center"/>
              <w:rPr/>
            </w:pPr>
            <w:r>
              <w:rPr/>
              <w:t> </w:t>
            </w:r>
          </w:p>
        </w:tc>
        <w:tc>
          <w:tcPr>
            <w:tcW w:w="11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(3)</w:t>
            </w:r>
          </w:p>
        </w:tc>
        <w:tc>
          <w:tcPr>
            <w:tcW w:w="164" w:type="dxa"/>
            <w:tcBorders/>
            <w:shd w:fill="auto" w:val="clear"/>
            <w:vAlign w:val="bottom"/>
          </w:tcPr>
          <w:p>
            <w:pPr>
              <w:pStyle w:val="TableContents"/>
              <w:spacing w:before="0" w:after="0"/>
              <w:ind w:left="0" w:right="0" w:hanging="0"/>
              <w:jc w:val="center"/>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4" w:type="dxa"/>
            <w:gridSpan w:val="2"/>
            <w:tcBorders/>
            <w:shd w:fill="auto" w:val="clear"/>
            <w:vAlign w:val="bottom"/>
          </w:tcPr>
          <w:p>
            <w:pPr>
              <w:pStyle w:val="TableContents"/>
              <w:spacing w:before="0" w:after="0"/>
              <w:ind w:left="0" w:right="0" w:hanging="0"/>
              <w:jc w:val="center"/>
              <w:rPr/>
            </w:pPr>
            <w:r>
              <w:rPr/>
              <w:t> </w:t>
            </w:r>
          </w:p>
        </w:tc>
      </w:tr>
      <w:tr>
        <w:trPr/>
        <w:tc>
          <w:tcPr>
            <w:tcW w:w="214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7" w:type="dxa"/>
            <w:tcBorders/>
            <w:shd w:fill="CCEEFF" w:val="clear"/>
            <w:vAlign w:val="bottom"/>
          </w:tcPr>
          <w:p>
            <w:pPr>
              <w:pStyle w:val="TableContents"/>
              <w:spacing w:before="0" w:after="0"/>
              <w:ind w:left="0" w:right="0" w:hanging="0"/>
              <w:rPr/>
            </w:pPr>
            <w:r>
              <w:rPr/>
              <w:t> </w:t>
            </w:r>
          </w:p>
        </w:tc>
        <w:tc>
          <w:tcPr>
            <w:tcW w:w="3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9" w:type="dxa"/>
            <w:tcBorders/>
            <w:shd w:fill="CCEEFF" w:val="clear"/>
            <w:vAlign w:val="bottom"/>
          </w:tcPr>
          <w:p>
            <w:pPr>
              <w:pStyle w:val="TableContents"/>
              <w:spacing w:before="0" w:after="0"/>
              <w:ind w:left="0" w:right="0" w:hanging="0"/>
              <w:rPr/>
            </w:pPr>
            <w:r>
              <w:rPr/>
              <w:t> </w:t>
            </w:r>
          </w:p>
        </w:tc>
        <w:tc>
          <w:tcPr>
            <w:tcW w:w="3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64" w:type="dxa"/>
            <w:tcBorders/>
            <w:shd w:fill="CCEEFF" w:val="clear"/>
            <w:vAlign w:val="bottom"/>
          </w:tcPr>
          <w:p>
            <w:pPr>
              <w:pStyle w:val="TableContents"/>
              <w:spacing w:before="0" w:after="0"/>
              <w:ind w:left="0" w:right="0" w:hanging="0"/>
              <w:rPr/>
            </w:pPr>
            <w:r>
              <w:rPr/>
              <w:t> </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Exchange Derivatives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9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4"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gridSpan w:val="2"/>
            <w:tcBorders/>
            <w:shd w:fill="CCEEFF" w:val="clear"/>
            <w:vAlign w:val="bottom"/>
          </w:tcPr>
          <w:p>
            <w:pPr>
              <w:pStyle w:val="TableContents"/>
              <w:spacing w:before="0" w:after="0"/>
              <w:ind w:left="0" w:right="0" w:hanging="0"/>
              <w:rPr/>
            </w:pPr>
            <w:r>
              <w:rPr/>
              <w:t> </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47"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c>
          <w:tcPr>
            <w:tcW w:w="11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4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931" w:type="dxa"/>
            <w:gridSpan w:val="2"/>
            <w:tcBorders/>
            <w:shd w:fill="auto" w:val="clear"/>
            <w:vAlign w:val="bottom"/>
          </w:tcPr>
          <w:p>
            <w:pPr>
              <w:pStyle w:val="TableContents"/>
              <w:spacing w:before="0" w:after="0"/>
              <w:ind w:left="0" w:right="0" w:hanging="0"/>
              <w:jc w:val="right"/>
              <w:rPr/>
            </w:pPr>
            <w:r>
              <w:rPr/>
              <w:t> </w:t>
            </w:r>
          </w:p>
        </w:tc>
        <w:tc>
          <w:tcPr>
            <w:tcW w:w="164"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133"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14" w:type="dxa"/>
            <w:gridSpan w:val="2"/>
            <w:tcBorders/>
            <w:shd w:fill="auto" w:val="clear"/>
            <w:vAlign w:val="bottom"/>
          </w:tcPr>
          <w:p>
            <w:pPr>
              <w:pStyle w:val="TableContents"/>
              <w:spacing w:before="0" w:after="0"/>
              <w:ind w:left="0" w:right="0" w:hanging="0"/>
              <w:rPr/>
            </w:pPr>
            <w:r>
              <w:rPr/>
              <w:t> </w:t>
            </w:r>
          </w:p>
        </w:tc>
      </w:tr>
      <w:tr>
        <w:trPr/>
        <w:tc>
          <w:tcPr>
            <w:tcW w:w="2146" w:type="dxa"/>
            <w:tcBorders/>
            <w:shd w:fill="CCEEFF" w:val="clear"/>
          </w:tcPr>
          <w:p>
            <w:pPr>
              <w:pStyle w:val="TableContents"/>
              <w:spacing w:before="0" w:after="0"/>
              <w:ind w:left="0" w:right="0" w:hanging="0"/>
              <w:rPr/>
            </w:pPr>
            <w:r>
              <w:rPr>
                <w:rFonts w:ascii="Times New Roman" w:hAnsi="Times New Roman"/>
                <w:b/>
                <w:sz w:val="17"/>
              </w:rPr>
              <w:t>Total Gain/(Loss) on</w:t>
            </w:r>
            <w:r>
              <w:rPr/>
              <w:t xml:space="preserve"> </w:t>
            </w:r>
            <w:r>
              <w:rPr>
                <w:b/>
                <w:sz w:val="17"/>
              </w:rPr>
              <w:t>Derivatives Recognized</w:t>
            </w:r>
            <w:r>
              <w:rPr>
                <w:sz w:val="17"/>
              </w:rPr>
              <w:t xml:space="preserve"> </w:t>
            </w:r>
            <w:r>
              <w:rPr>
                <w:b/>
                <w:sz w:val="17"/>
              </w:rPr>
              <w:t>in Income</w:t>
            </w:r>
          </w:p>
        </w:tc>
        <w:tc>
          <w:tcPr>
            <w:tcW w:w="147" w:type="dxa"/>
            <w:tcBorders/>
            <w:shd w:fill="CCEEFF" w:val="clear"/>
            <w:vAlign w:val="bottom"/>
          </w:tcPr>
          <w:p>
            <w:pPr>
              <w:pStyle w:val="TableContents"/>
              <w:spacing w:before="0" w:after="0"/>
              <w:ind w:left="0" w:right="0" w:hanging="0"/>
              <w:rPr/>
            </w:pPr>
            <w:r>
              <w:rPr/>
              <w:t> </w:t>
            </w:r>
          </w:p>
        </w:tc>
        <w:tc>
          <w:tcPr>
            <w:tcW w:w="3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w:t>
            </w:r>
          </w:p>
        </w:tc>
        <w:tc>
          <w:tcPr>
            <w:tcW w:w="199" w:type="dxa"/>
            <w:tcBorders/>
            <w:shd w:fill="CCEEFF" w:val="clear"/>
            <w:vAlign w:val="bottom"/>
          </w:tcPr>
          <w:p>
            <w:pPr>
              <w:pStyle w:val="TableContents"/>
              <w:spacing w:before="0" w:after="0"/>
              <w:ind w:left="0" w:right="0" w:hanging="0"/>
              <w:rPr/>
            </w:pPr>
            <w:r>
              <w:rPr/>
              <w:t> </w:t>
            </w:r>
          </w:p>
        </w:tc>
        <w:tc>
          <w:tcPr>
            <w:tcW w:w="38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(26</w:t>
            </w:r>
          </w:p>
        </w:tc>
        <w:tc>
          <w:tcPr>
            <w:tcW w:w="1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16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47"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3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(97</w:t>
            </w:r>
          </w:p>
        </w:tc>
        <w:tc>
          <w:tcPr>
            <w:tcW w:w="1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3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w:t>
            </w:r>
          </w:p>
        </w:tc>
        <w:tc>
          <w:tcPr>
            <w:tcW w:w="164" w:type="dxa"/>
            <w:tcBorders/>
            <w:shd w:fill="CCEEFF" w:val="clear"/>
            <w:vAlign w:val="bottom"/>
          </w:tcPr>
          <w:p>
            <w:pPr>
              <w:pStyle w:val="TableContents"/>
              <w:spacing w:before="0" w:after="0"/>
              <w:ind w:left="0" w:right="0" w:hanging="0"/>
              <w:rPr/>
            </w:pPr>
            <w:r>
              <w:rPr/>
              <w:t> </w:t>
            </w:r>
          </w:p>
        </w:tc>
        <w:tc>
          <w:tcPr>
            <w:tcW w:w="2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(76</w:t>
            </w:r>
          </w:p>
        </w:tc>
        <w:tc>
          <w:tcPr>
            <w:tcW w:w="114" w:type="dxa"/>
            <w:gridSpan w:val="2"/>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r>
      <w:tr>
        <w:trPr/>
        <w:tc>
          <w:tcPr>
            <w:tcW w:w="2146" w:type="dxa"/>
            <w:tcBorders/>
            <w:shd w:fill="auto" w:val="clear"/>
          </w:tcPr>
          <w:p>
            <w:pPr>
              <w:pStyle w:val="TableContents"/>
              <w:spacing w:lineRule="atLeast" w:line="141" w:before="0" w:after="0"/>
              <w:ind w:left="0" w:right="0" w:hanging="0"/>
              <w:rPr/>
            </w:pPr>
            <w:r>
              <w:rPr/>
              <w:t> </w:t>
            </w:r>
          </w:p>
        </w:tc>
        <w:tc>
          <w:tcPr>
            <w:tcW w:w="147" w:type="dxa"/>
            <w:tcBorders/>
            <w:shd w:fill="auto" w:val="clear"/>
            <w:vAlign w:val="bottom"/>
          </w:tcPr>
          <w:p>
            <w:pPr>
              <w:pStyle w:val="TableContents"/>
              <w:spacing w:lineRule="atLeast" w:line="141" w:before="0" w:after="0"/>
              <w:ind w:left="0" w:right="0" w:hanging="0"/>
              <w:rPr/>
            </w:pPr>
            <w:r>
              <w:rPr/>
              <w:t> </w:t>
            </w:r>
          </w:p>
        </w:tc>
        <w:tc>
          <w:tcPr>
            <w:tcW w:w="306" w:type="dxa"/>
            <w:tcBorders/>
            <w:shd w:fill="auto" w:val="clear"/>
            <w:vAlign w:val="bottom"/>
          </w:tcPr>
          <w:p>
            <w:pPr>
              <w:pStyle w:val="TableContents"/>
              <w:spacing w:lineRule="atLeast" w:line="141" w:before="0" w:after="0"/>
              <w:ind w:left="0" w:right="0" w:hanging="0"/>
              <w:rPr/>
            </w:pPr>
            <w:r>
              <w:rPr/>
              <w:t> </w:t>
            </w:r>
          </w:p>
        </w:tc>
        <w:tc>
          <w:tcPr>
            <w:tcW w:w="952" w:type="dxa"/>
            <w:tcBorders/>
            <w:shd w:fill="auto" w:val="clear"/>
            <w:vAlign w:val="bottom"/>
          </w:tcPr>
          <w:p>
            <w:pPr>
              <w:pStyle w:val="TableContents"/>
              <w:spacing w:lineRule="atLeast" w:line="141" w:before="0" w:after="0"/>
              <w:ind w:left="0" w:right="0" w:hanging="0"/>
              <w:jc w:val="right"/>
              <w:rPr/>
            </w:pPr>
            <w:r>
              <w:rPr/>
              <w:t> </w:t>
            </w:r>
          </w:p>
        </w:tc>
        <w:tc>
          <w:tcPr>
            <w:tcW w:w="199" w:type="dxa"/>
            <w:tcBorders/>
            <w:shd w:fill="auto" w:val="clear"/>
            <w:vAlign w:val="bottom"/>
          </w:tcPr>
          <w:p>
            <w:pPr>
              <w:pStyle w:val="TableContents"/>
              <w:spacing w:lineRule="atLeast" w:line="141" w:before="0" w:after="0"/>
              <w:ind w:left="0" w:right="0" w:hanging="0"/>
              <w:rPr/>
            </w:pPr>
            <w:r>
              <w:rPr/>
              <w:t> </w:t>
            </w:r>
          </w:p>
        </w:tc>
        <w:tc>
          <w:tcPr>
            <w:tcW w:w="383" w:type="dxa"/>
            <w:tcBorders/>
            <w:shd w:fill="auto" w:val="clear"/>
            <w:vAlign w:val="bottom"/>
          </w:tcPr>
          <w:p>
            <w:pPr>
              <w:pStyle w:val="TableContents"/>
              <w:spacing w:lineRule="atLeast" w:line="141" w:before="0" w:after="0"/>
              <w:ind w:left="0" w:right="0" w:hanging="0"/>
              <w:rPr/>
            </w:pPr>
            <w:r>
              <w:rPr/>
              <w:t> </w:t>
            </w:r>
          </w:p>
        </w:tc>
        <w:tc>
          <w:tcPr>
            <w:tcW w:w="806" w:type="dxa"/>
            <w:tcBorders/>
            <w:shd w:fill="auto" w:val="clear"/>
            <w:vAlign w:val="bottom"/>
          </w:tcPr>
          <w:p>
            <w:pPr>
              <w:pStyle w:val="TableContents"/>
              <w:spacing w:lineRule="atLeast" w:line="141" w:before="0" w:after="0"/>
              <w:ind w:left="0" w:right="0" w:hanging="0"/>
              <w:jc w:val="right"/>
              <w:rPr/>
            </w:pPr>
            <w:r>
              <w:rPr/>
              <w:t> </w:t>
            </w:r>
          </w:p>
        </w:tc>
        <w:tc>
          <w:tcPr>
            <w:tcW w:w="186" w:type="dxa"/>
            <w:tcBorders/>
            <w:shd w:fill="auto" w:val="clear"/>
            <w:vAlign w:val="bottom"/>
          </w:tcPr>
          <w:p>
            <w:pPr>
              <w:pStyle w:val="TableContents"/>
              <w:spacing w:lineRule="atLeast" w:line="141" w:before="0" w:after="0"/>
              <w:ind w:left="0" w:right="0" w:hanging="0"/>
              <w:rPr/>
            </w:pPr>
            <w:r>
              <w:rPr/>
              <w:t> </w:t>
            </w:r>
          </w:p>
        </w:tc>
        <w:tc>
          <w:tcPr>
            <w:tcW w:w="335" w:type="dxa"/>
            <w:tcBorders/>
            <w:shd w:fill="auto" w:val="clear"/>
            <w:vAlign w:val="bottom"/>
          </w:tcPr>
          <w:p>
            <w:pPr>
              <w:pStyle w:val="TableContents"/>
              <w:spacing w:lineRule="atLeast" w:line="141" w:before="0" w:after="0"/>
              <w:ind w:left="0" w:right="0" w:hanging="0"/>
              <w:rPr/>
            </w:pPr>
            <w:r>
              <w:rPr/>
              <w:t> </w:t>
            </w:r>
          </w:p>
        </w:tc>
        <w:tc>
          <w:tcPr>
            <w:tcW w:w="596" w:type="dxa"/>
            <w:tcBorders/>
            <w:shd w:fill="auto" w:val="clear"/>
            <w:vAlign w:val="bottom"/>
          </w:tcPr>
          <w:p>
            <w:pPr>
              <w:pStyle w:val="TableContents"/>
              <w:spacing w:lineRule="atLeast" w:line="141" w:before="0" w:after="0"/>
              <w:ind w:left="0" w:right="0" w:hanging="0"/>
              <w:jc w:val="right"/>
              <w:rPr/>
            </w:pPr>
            <w:r>
              <w:rPr/>
              <w:t> </w:t>
            </w:r>
          </w:p>
        </w:tc>
        <w:tc>
          <w:tcPr>
            <w:tcW w:w="164" w:type="dxa"/>
            <w:tcBorders/>
            <w:shd w:fill="auto" w:val="clear"/>
            <w:vAlign w:val="bottom"/>
          </w:tcPr>
          <w:p>
            <w:pPr>
              <w:pStyle w:val="TableContents"/>
              <w:spacing w:lineRule="atLeast" w:line="141" w:before="0" w:after="0"/>
              <w:ind w:left="0" w:right="0" w:hanging="0"/>
              <w:rPr/>
            </w:pPr>
            <w:r>
              <w:rPr/>
              <w:t> </w:t>
            </w:r>
          </w:p>
        </w:tc>
        <w:tc>
          <w:tcPr>
            <w:tcW w:w="147" w:type="dxa"/>
            <w:tcBorders/>
            <w:shd w:fill="auto" w:val="clear"/>
            <w:vAlign w:val="bottom"/>
          </w:tcPr>
          <w:p>
            <w:pPr>
              <w:pStyle w:val="TableContents"/>
              <w:spacing w:lineRule="atLeast" w:line="141" w:before="0" w:after="0"/>
              <w:ind w:left="0" w:right="0" w:hanging="0"/>
              <w:rPr/>
            </w:pPr>
            <w:r>
              <w:rPr/>
              <w:t> </w:t>
            </w:r>
          </w:p>
        </w:tc>
        <w:tc>
          <w:tcPr>
            <w:tcW w:w="221" w:type="dxa"/>
            <w:tcBorders/>
            <w:shd w:fill="auto" w:val="clear"/>
            <w:vAlign w:val="bottom"/>
          </w:tcPr>
          <w:p>
            <w:pPr>
              <w:pStyle w:val="TableContents"/>
              <w:spacing w:lineRule="atLeast" w:line="141" w:before="0" w:after="0"/>
              <w:ind w:left="0" w:right="0" w:hanging="0"/>
              <w:rPr/>
            </w:pPr>
            <w:r>
              <w:rPr/>
              <w:t> </w:t>
            </w:r>
          </w:p>
        </w:tc>
        <w:tc>
          <w:tcPr>
            <w:tcW w:w="1036" w:type="dxa"/>
            <w:tcBorders/>
            <w:shd w:fill="auto" w:val="clear"/>
            <w:vAlign w:val="bottom"/>
          </w:tcPr>
          <w:p>
            <w:pPr>
              <w:pStyle w:val="TableContents"/>
              <w:spacing w:lineRule="atLeast" w:line="141" w:before="0" w:after="0"/>
              <w:ind w:left="0" w:right="0" w:hanging="0"/>
              <w:jc w:val="right"/>
              <w:rPr/>
            </w:pPr>
            <w:r>
              <w:rPr/>
              <w:t> </w:t>
            </w:r>
          </w:p>
        </w:tc>
        <w:tc>
          <w:tcPr>
            <w:tcW w:w="164" w:type="dxa"/>
            <w:tcBorders/>
            <w:shd w:fill="auto" w:val="clear"/>
            <w:vAlign w:val="bottom"/>
          </w:tcPr>
          <w:p>
            <w:pPr>
              <w:pStyle w:val="TableContents"/>
              <w:spacing w:lineRule="atLeast" w:line="141" w:before="0" w:after="0"/>
              <w:ind w:left="0" w:right="0" w:hanging="0"/>
              <w:rPr/>
            </w:pPr>
            <w:r>
              <w:rPr/>
              <w:t> </w:t>
            </w:r>
          </w:p>
        </w:tc>
        <w:tc>
          <w:tcPr>
            <w:tcW w:w="311" w:type="dxa"/>
            <w:tcBorders/>
            <w:shd w:fill="auto" w:val="clear"/>
            <w:vAlign w:val="bottom"/>
          </w:tcPr>
          <w:p>
            <w:pPr>
              <w:pStyle w:val="TableContents"/>
              <w:spacing w:lineRule="atLeast" w:line="141" w:before="0" w:after="0"/>
              <w:ind w:left="0" w:right="0" w:hanging="0"/>
              <w:rPr/>
            </w:pPr>
            <w:r>
              <w:rPr/>
              <w:t> </w:t>
            </w:r>
          </w:p>
        </w:tc>
        <w:tc>
          <w:tcPr>
            <w:tcW w:w="822" w:type="dxa"/>
            <w:tcBorders/>
            <w:shd w:fill="auto" w:val="clear"/>
            <w:vAlign w:val="bottom"/>
          </w:tcPr>
          <w:p>
            <w:pPr>
              <w:pStyle w:val="TableContents"/>
              <w:spacing w:lineRule="atLeast" w:line="141" w:before="0" w:after="0"/>
              <w:ind w:left="0" w:right="0" w:hanging="0"/>
              <w:jc w:val="right"/>
              <w:rPr/>
            </w:pPr>
            <w:r>
              <w:rPr/>
              <w:t> </w:t>
            </w:r>
          </w:p>
        </w:tc>
        <w:tc>
          <w:tcPr>
            <w:tcW w:w="164" w:type="dxa"/>
            <w:tcBorders/>
            <w:shd w:fill="auto" w:val="clear"/>
            <w:vAlign w:val="bottom"/>
          </w:tcPr>
          <w:p>
            <w:pPr>
              <w:pStyle w:val="TableContents"/>
              <w:spacing w:lineRule="atLeast" w:line="141" w:before="0" w:after="0"/>
              <w:ind w:left="0" w:right="0" w:hanging="0"/>
              <w:rPr/>
            </w:pPr>
            <w:r>
              <w:rPr/>
              <w:t> </w:t>
            </w:r>
          </w:p>
        </w:tc>
        <w:tc>
          <w:tcPr>
            <w:tcW w:w="255" w:type="dxa"/>
            <w:tcBorders/>
            <w:shd w:fill="auto" w:val="clear"/>
            <w:vAlign w:val="bottom"/>
          </w:tcPr>
          <w:p>
            <w:pPr>
              <w:pStyle w:val="TableContents"/>
              <w:spacing w:lineRule="atLeast" w:line="141" w:before="0" w:after="0"/>
              <w:ind w:left="0" w:right="0" w:hanging="0"/>
              <w:rPr/>
            </w:pPr>
            <w:r>
              <w:rPr/>
              <w:t> </w:t>
            </w:r>
          </w:p>
        </w:tc>
        <w:tc>
          <w:tcPr>
            <w:tcW w:w="751" w:type="dxa"/>
            <w:tcBorders/>
            <w:shd w:fill="auto" w:val="clear"/>
            <w:vAlign w:val="bottom"/>
          </w:tcPr>
          <w:p>
            <w:pPr>
              <w:pStyle w:val="TableContents"/>
              <w:spacing w:lineRule="atLeast" w:line="141" w:before="0" w:after="0"/>
              <w:ind w:left="0" w:right="0" w:hanging="0"/>
              <w:jc w:val="right"/>
              <w:rPr/>
            </w:pPr>
            <w:r>
              <w:rPr/>
              <w:t> </w:t>
            </w:r>
          </w:p>
        </w:tc>
        <w:tc>
          <w:tcPr>
            <w:tcW w:w="114" w:type="dxa"/>
            <w:gridSpan w:val="2"/>
            <w:tcBorders/>
            <w:shd w:fill="auto" w:val="clear"/>
            <w:vAlign w:val="bottom"/>
          </w:tcPr>
          <w:p>
            <w:pPr>
              <w:pStyle w:val="TableContents"/>
              <w:spacing w:lineRule="atLeast" w:line="141" w:before="0" w:after="0"/>
              <w:ind w:left="0" w:right="0" w:hanging="0"/>
              <w:rPr/>
            </w:pPr>
            <w:r>
              <w:rPr/>
              <w:t> </w:t>
            </w:r>
          </w:p>
        </w:tc>
      </w:tr>
      <w:tr>
        <w:trPr/>
        <w:tc>
          <w:tcPr>
            <w:tcW w:w="21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8" w:name="PB_19_154350_7056"/>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Nine months ended September 30, 2010 and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197"/>
        <w:gridCol w:w="99"/>
        <w:gridCol w:w="256"/>
        <w:gridCol w:w="1004"/>
        <w:gridCol w:w="246"/>
        <w:gridCol w:w="477"/>
        <w:gridCol w:w="751"/>
        <w:gridCol w:w="246"/>
        <w:gridCol w:w="351"/>
        <w:gridCol w:w="407"/>
        <w:gridCol w:w="167"/>
        <w:gridCol w:w="99"/>
        <w:gridCol w:w="256"/>
        <w:gridCol w:w="1004"/>
        <w:gridCol w:w="215"/>
        <w:gridCol w:w="260"/>
        <w:gridCol w:w="968"/>
        <w:gridCol w:w="163"/>
        <w:gridCol w:w="309"/>
        <w:gridCol w:w="612"/>
        <w:gridCol w:w="46"/>
        <w:gridCol w:w="72"/>
      </w:tblGrid>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373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2010</w:t>
            </w:r>
          </w:p>
        </w:tc>
        <w:tc>
          <w:tcPr>
            <w:tcW w:w="167" w:type="dxa"/>
            <w:tcBorders/>
            <w:shd w:fill="auto" w:val="clear"/>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383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2009</w:t>
            </w:r>
          </w:p>
        </w:tc>
        <w:tc>
          <w:tcPr>
            <w:tcW w:w="72" w:type="dxa"/>
            <w:tcBorders/>
            <w:shd w:fill="auto"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br/>
              <w:t>Cash Flow</w:t>
            </w:r>
          </w:p>
        </w:tc>
        <w:tc>
          <w:tcPr>
            <w:tcW w:w="24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24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7" w:type="dxa"/>
            <w:tcBorders/>
            <w:shd w:fill="auto" w:val="clear"/>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w:t>
              <w:br/>
              <w:t>Cash Flow</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1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46" w:type="dxa"/>
            <w:tcBorders/>
            <w:shd w:fill="auto" w:val="clear"/>
            <w:vAlign w:val="bottom"/>
          </w:tcPr>
          <w:p>
            <w:pPr>
              <w:pStyle w:val="TableContents"/>
              <w:spacing w:before="0" w:after="0"/>
              <w:ind w:left="0" w:right="0" w:hanging="0"/>
              <w:jc w:val="center"/>
              <w:rPr/>
            </w:pPr>
            <w:r>
              <w:rPr/>
              <w:t> </w:t>
            </w:r>
          </w:p>
        </w:tc>
        <w:tc>
          <w:tcPr>
            <w:tcW w:w="12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46" w:type="dxa"/>
            <w:tcBorders/>
            <w:shd w:fill="auto" w:val="clear"/>
            <w:vAlign w:val="bottom"/>
          </w:tcPr>
          <w:p>
            <w:pPr>
              <w:pStyle w:val="TableContents"/>
              <w:spacing w:before="0" w:after="0"/>
              <w:ind w:left="0" w:right="0" w:hanging="0"/>
              <w:jc w:val="center"/>
              <w:rPr/>
            </w:pPr>
            <w:r>
              <w:rPr/>
              <w:t> </w:t>
            </w:r>
          </w:p>
        </w:tc>
        <w:tc>
          <w:tcPr>
            <w:tcW w:w="758" w:type="dxa"/>
            <w:gridSpan w:val="2"/>
            <w:tcBorders/>
            <w:shd w:fill="auto" w:val="clear"/>
            <w:vAlign w:val="bottom"/>
          </w:tcPr>
          <w:p>
            <w:pPr>
              <w:pStyle w:val="TableContents"/>
              <w:spacing w:before="0" w:after="0"/>
              <w:ind w:left="0" w:right="0" w:hanging="0"/>
              <w:jc w:val="center"/>
              <w:rPr/>
            </w:pPr>
            <w:r>
              <w:rPr/>
              <w:t> </w:t>
            </w:r>
          </w:p>
        </w:tc>
        <w:tc>
          <w:tcPr>
            <w:tcW w:w="167" w:type="dxa"/>
            <w:tcBorders/>
            <w:shd w:fill="auto" w:val="clear"/>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w:t>
            </w:r>
          </w:p>
        </w:tc>
        <w:tc>
          <w:tcPr>
            <w:tcW w:w="215" w:type="dxa"/>
            <w:tcBorders/>
            <w:shd w:fill="auto" w:val="clear"/>
            <w:vAlign w:val="bottom"/>
          </w:tcPr>
          <w:p>
            <w:pPr>
              <w:pStyle w:val="TableContents"/>
              <w:spacing w:before="0" w:after="0"/>
              <w:ind w:left="0" w:right="0" w:hanging="0"/>
              <w:jc w:val="center"/>
              <w:rPr/>
            </w:pPr>
            <w:r>
              <w:rPr/>
              <w:t> </w:t>
            </w:r>
          </w:p>
        </w:tc>
        <w:tc>
          <w:tcPr>
            <w:tcW w:w="12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163" w:type="dxa"/>
            <w:tcBorders/>
            <w:shd w:fill="auto" w:val="clear"/>
            <w:vAlign w:val="bottom"/>
          </w:tcPr>
          <w:p>
            <w:pPr>
              <w:pStyle w:val="TableContents"/>
              <w:spacing w:before="0" w:after="0"/>
              <w:ind w:left="0" w:right="0" w:hanging="0"/>
              <w:jc w:val="center"/>
              <w:rPr/>
            </w:pPr>
            <w:r>
              <w:rPr/>
              <w:t> </w:t>
            </w:r>
          </w:p>
        </w:tc>
        <w:tc>
          <w:tcPr>
            <w:tcW w:w="921" w:type="dxa"/>
            <w:gridSpan w:val="2"/>
            <w:tcBorders/>
            <w:shd w:fill="auto" w:val="clear"/>
            <w:vAlign w:val="bottom"/>
          </w:tcPr>
          <w:p>
            <w:pPr>
              <w:pStyle w:val="TableContents"/>
              <w:spacing w:before="0" w:after="0"/>
              <w:ind w:left="0" w:right="0" w:hanging="0"/>
              <w:jc w:val="center"/>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Relationships </w:t>
            </w:r>
            <w:r>
              <w:rPr>
                <w:b/>
                <w:sz w:val="8"/>
              </w:rPr>
              <w:t>(1)</w:t>
            </w:r>
          </w:p>
        </w:tc>
        <w:tc>
          <w:tcPr>
            <w:tcW w:w="246"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(3)</w:t>
            </w:r>
          </w:p>
        </w:tc>
        <w:tc>
          <w:tcPr>
            <w:tcW w:w="246" w:type="dxa"/>
            <w:tcBorders/>
            <w:shd w:fill="auto" w:val="clear"/>
            <w:vAlign w:val="bottom"/>
          </w:tcPr>
          <w:p>
            <w:pPr>
              <w:pStyle w:val="TableContents"/>
              <w:spacing w:before="0" w:after="0"/>
              <w:ind w:left="0" w:right="0" w:hanging="0"/>
              <w:jc w:val="center"/>
              <w:rPr/>
            </w:pPr>
            <w:r>
              <w:rPr/>
              <w:t> </w:t>
            </w:r>
          </w:p>
        </w:tc>
        <w:tc>
          <w:tcPr>
            <w:tcW w:w="7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67" w:type="dxa"/>
            <w:tcBorders/>
            <w:shd w:fill="auto" w:val="clear"/>
          </w:tcPr>
          <w:p>
            <w:pPr>
              <w:pStyle w:val="TableContents"/>
              <w:spacing w:before="0" w:after="0"/>
              <w:ind w:left="0" w:right="0" w:hanging="0"/>
              <w:jc w:val="center"/>
              <w:rPr/>
            </w:pPr>
            <w:r>
              <w:rPr/>
              <w:t> </w:t>
            </w:r>
          </w:p>
        </w:tc>
        <w:tc>
          <w:tcPr>
            <w:tcW w:w="99" w:type="dxa"/>
            <w:tcBorders/>
            <w:shd w:fill="auto" w:val="clear"/>
            <w:vAlign w:val="bottom"/>
          </w:tcPr>
          <w:p>
            <w:pPr>
              <w:pStyle w:val="TableContents"/>
              <w:spacing w:before="0" w:after="0"/>
              <w:ind w:left="0" w:right="0" w:hanging="0"/>
              <w:jc w:val="center"/>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Relationships </w:t>
            </w:r>
            <w:r>
              <w:rPr>
                <w:b/>
                <w:sz w:val="8"/>
              </w:rPr>
              <w:t>(1)(2)</w:t>
            </w:r>
          </w:p>
        </w:tc>
        <w:tc>
          <w:tcPr>
            <w:tcW w:w="215"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a Hedge </w:t>
            </w:r>
            <w:r>
              <w:rPr>
                <w:b/>
                <w:sz w:val="8"/>
              </w:rPr>
              <w:t>(3)</w:t>
            </w:r>
          </w:p>
        </w:tc>
        <w:tc>
          <w:tcPr>
            <w:tcW w:w="163" w:type="dxa"/>
            <w:tcBorders/>
            <w:shd w:fill="auto" w:val="clear"/>
            <w:vAlign w:val="bottom"/>
          </w:tcPr>
          <w:p>
            <w:pPr>
              <w:pStyle w:val="TableContents"/>
              <w:spacing w:before="0" w:after="0"/>
              <w:ind w:left="0" w:right="0" w:hanging="0"/>
              <w:jc w:val="center"/>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99" w:type="dxa"/>
            <w:tcBorders/>
            <w:shd w:fill="CCEEFF" w:val="clear"/>
            <w:vAlign w:val="bottom"/>
          </w:tcPr>
          <w:p>
            <w:pPr>
              <w:pStyle w:val="TableContents"/>
              <w:spacing w:before="0" w:after="0"/>
              <w:ind w:left="0" w:right="0" w:hanging="0"/>
              <w:rPr/>
            </w:pPr>
            <w:r>
              <w:rPr/>
              <w:t> </w:t>
            </w:r>
          </w:p>
        </w:tc>
        <w:tc>
          <w:tcPr>
            <w:tcW w:w="2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46" w:type="dxa"/>
            <w:tcBorders/>
            <w:shd w:fill="CCEEFF" w:val="clear"/>
            <w:vAlign w:val="bottom"/>
          </w:tcPr>
          <w:p>
            <w:pPr>
              <w:pStyle w:val="TableContents"/>
              <w:spacing w:before="0" w:after="0"/>
              <w:ind w:left="0" w:right="0" w:hanging="0"/>
              <w:rPr/>
            </w:pPr>
            <w:r>
              <w:rPr/>
              <w:t> </w:t>
            </w:r>
          </w:p>
        </w:tc>
        <w:tc>
          <w:tcPr>
            <w:tcW w:w="3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2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63"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Exchange Derivatives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63"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46" w:type="dxa"/>
            <w:tcBorders/>
            <w:shd w:fill="CCEEFF" w:val="clear"/>
            <w:vAlign w:val="bottom"/>
          </w:tcPr>
          <w:p>
            <w:pPr>
              <w:pStyle w:val="TableContents"/>
              <w:spacing w:before="0" w:after="0"/>
              <w:ind w:left="0" w:right="0" w:hanging="0"/>
              <w:rPr/>
            </w:pPr>
            <w:r>
              <w:rPr/>
              <w:t> </w:t>
            </w:r>
          </w:p>
        </w:tc>
        <w:tc>
          <w:tcPr>
            <w:tcW w:w="7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6"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 w:type="dxa"/>
            <w:tcBorders/>
            <w:shd w:fill="CCEEFF" w:val="clear"/>
            <w:vAlign w:val="bottom"/>
          </w:tcPr>
          <w:p>
            <w:pPr>
              <w:pStyle w:val="TableContents"/>
              <w:spacing w:before="0" w:after="0"/>
              <w:ind w:left="0" w:right="0" w:hanging="0"/>
              <w:rPr/>
            </w:pPr>
            <w:r>
              <w:rPr/>
              <w:t> </w:t>
            </w:r>
          </w:p>
        </w:tc>
        <w:tc>
          <w:tcPr>
            <w:tcW w:w="12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246" w:type="dxa"/>
            <w:tcBorders/>
            <w:shd w:fill="auto" w:val="clear"/>
            <w:vAlign w:val="bottom"/>
          </w:tcPr>
          <w:p>
            <w:pPr>
              <w:pStyle w:val="TableContents"/>
              <w:spacing w:before="0" w:after="0"/>
              <w:ind w:left="0" w:right="0" w:hanging="0"/>
              <w:rPr/>
            </w:pPr>
            <w:r>
              <w:rPr/>
              <w:t> </w:t>
            </w:r>
          </w:p>
        </w:tc>
        <w:tc>
          <w:tcPr>
            <w:tcW w:w="758" w:type="dxa"/>
            <w:gridSpan w:val="2"/>
            <w:tcBorders/>
            <w:shd w:fill="auto" w:val="clear"/>
            <w:vAlign w:val="bottom"/>
          </w:tcPr>
          <w:p>
            <w:pPr>
              <w:pStyle w:val="TableContents"/>
              <w:spacing w:before="0" w:after="0"/>
              <w:ind w:left="0" w:right="0" w:hanging="0"/>
              <w:jc w:val="right"/>
              <w:rPr/>
            </w:pPr>
            <w:r>
              <w:rPr/>
              <w:t> </w:t>
            </w:r>
          </w:p>
        </w:tc>
        <w:tc>
          <w:tcPr>
            <w:tcW w:w="167"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9" w:type="dxa"/>
            <w:tcBorders/>
            <w:shd w:fill="auto" w:val="clear"/>
            <w:vAlign w:val="bottom"/>
          </w:tcPr>
          <w:p>
            <w:pPr>
              <w:pStyle w:val="TableContents"/>
              <w:spacing w:before="0" w:after="0"/>
              <w:ind w:left="0" w:right="0" w:hanging="0"/>
              <w:rPr/>
            </w:pPr>
            <w:r>
              <w:rPr/>
              <w:t> </w:t>
            </w:r>
          </w:p>
        </w:tc>
        <w:tc>
          <w:tcPr>
            <w:tcW w:w="1260"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18" w:type="dxa"/>
            <w:gridSpan w:val="2"/>
            <w:tcBorders/>
            <w:shd w:fill="auto" w:val="clear"/>
            <w:vAlign w:val="bottom"/>
          </w:tcPr>
          <w:p>
            <w:pPr>
              <w:pStyle w:val="TableContents"/>
              <w:spacing w:before="0" w:after="0"/>
              <w:ind w:left="0" w:right="0" w:hanging="0"/>
              <w:rPr/>
            </w:pPr>
            <w:r>
              <w:rPr/>
              <w:t> </w:t>
            </w:r>
          </w:p>
        </w:tc>
      </w:tr>
      <w:tr>
        <w:trPr/>
        <w:tc>
          <w:tcPr>
            <w:tcW w:w="2197" w:type="dxa"/>
            <w:tcBorders/>
            <w:shd w:fill="CCEEFF" w:val="clear"/>
          </w:tcPr>
          <w:p>
            <w:pPr>
              <w:pStyle w:val="TableContents"/>
              <w:spacing w:before="0" w:after="0"/>
              <w:ind w:left="0" w:right="0" w:hanging="0"/>
              <w:rPr/>
            </w:pPr>
            <w:r>
              <w:rPr>
                <w:rFonts w:ascii="Times New Roman" w:hAnsi="Times New Roman"/>
                <w:b/>
                <w:sz w:val="17"/>
              </w:rPr>
              <w:t>Total Gain/(Loss) on</w:t>
            </w:r>
            <w:r>
              <w:rPr/>
              <w:t xml:space="preserve"> </w:t>
            </w:r>
            <w:r>
              <w:rPr>
                <w:b/>
                <w:sz w:val="17"/>
              </w:rPr>
              <w:t>Derivatives Recognized</w:t>
            </w:r>
            <w:r>
              <w:rPr>
                <w:sz w:val="17"/>
              </w:rPr>
              <w:t xml:space="preserve"> </w:t>
            </w:r>
            <w:r>
              <w:rPr>
                <w:b/>
                <w:sz w:val="17"/>
              </w:rPr>
              <w:t>in Income</w:t>
            </w:r>
          </w:p>
        </w:tc>
        <w:tc>
          <w:tcPr>
            <w:tcW w:w="99"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w:t>
            </w:r>
          </w:p>
        </w:tc>
        <w:tc>
          <w:tcPr>
            <w:tcW w:w="24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7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w:t>
            </w:r>
          </w:p>
        </w:tc>
        <w:tc>
          <w:tcPr>
            <w:tcW w:w="246" w:type="dxa"/>
            <w:tcBorders/>
            <w:shd w:fill="CCEEFF" w:val="clear"/>
            <w:vAlign w:val="bottom"/>
          </w:tcPr>
          <w:p>
            <w:pPr>
              <w:pStyle w:val="TableContents"/>
              <w:spacing w:before="0" w:after="0"/>
              <w:ind w:left="0" w:right="0" w:hanging="0"/>
              <w:rPr/>
            </w:pPr>
            <w:r>
              <w:rPr/>
              <w:t> </w:t>
            </w:r>
          </w:p>
        </w:tc>
        <w:tc>
          <w:tcPr>
            <w:tcW w:w="3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4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w:t>
            </w:r>
          </w:p>
        </w:tc>
        <w:tc>
          <w:tcPr>
            <w:tcW w:w="167"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9"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w:t>
            </w:r>
          </w:p>
        </w:tc>
        <w:tc>
          <w:tcPr>
            <w:tcW w:w="215" w:type="dxa"/>
            <w:tcBorders/>
            <w:shd w:fill="CCEEFF" w:val="clear"/>
            <w:vAlign w:val="bottom"/>
          </w:tcPr>
          <w:p>
            <w:pPr>
              <w:pStyle w:val="TableContents"/>
              <w:spacing w:before="0" w:after="0"/>
              <w:ind w:left="0" w:right="0" w:hanging="0"/>
              <w:rPr/>
            </w:pPr>
            <w:r>
              <w:rPr/>
              <w:t> </w:t>
            </w:r>
          </w:p>
        </w:tc>
        <w:tc>
          <w:tcPr>
            <w:tcW w:w="2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141</w:t>
            </w:r>
          </w:p>
        </w:tc>
        <w:tc>
          <w:tcPr>
            <w:tcW w:w="163" w:type="dxa"/>
            <w:tcBorders/>
            <w:shd w:fill="CCEEFF" w:val="clear"/>
            <w:vAlign w:val="bottom"/>
          </w:tcPr>
          <w:p>
            <w:pPr>
              <w:pStyle w:val="TableContents"/>
              <w:spacing w:before="0" w:after="0"/>
              <w:ind w:left="0" w:right="0" w:hanging="0"/>
              <w:rPr/>
            </w:pPr>
            <w:r>
              <w:rPr/>
              <w:t> </w:t>
            </w:r>
          </w:p>
        </w:tc>
        <w:tc>
          <w:tcPr>
            <w:tcW w:w="3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154</w:t>
            </w:r>
          </w:p>
        </w:tc>
        <w:tc>
          <w:tcPr>
            <w:tcW w:w="118" w:type="dxa"/>
            <w:gridSpan w:val="2"/>
            <w:tcBorders/>
            <w:shd w:fill="CCEEFF" w:val="clear"/>
            <w:vAlign w:val="bottom"/>
          </w:tcPr>
          <w:p>
            <w:pPr>
              <w:pStyle w:val="TableContents"/>
              <w:spacing w:before="0" w:after="0"/>
              <w:ind w:left="0" w:right="0" w:hanging="0"/>
              <w:rPr/>
            </w:pPr>
            <w:r>
              <w:rPr/>
              <w:t> </w:t>
            </w:r>
          </w:p>
        </w:tc>
      </w:tr>
      <w:tr>
        <w:trPr/>
        <w:tc>
          <w:tcPr>
            <w:tcW w:w="219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Amounts represent derivative gains and losses that were reclassified from AOCI to earnings during the period to coincide with the earnings impact of the respective hedged transaction.</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Amounts include gains of approximately $2 million and losses of approximately $6 million for the three and nine months ended September 30, 2009, respectively, that represent the ineffective portion of the fair value of our unrealized cash flow hedges.  These amounts relate to commodity derivatives and are recognized in Supply and Logistics segment revenues during such periods.</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Includes realized and unrealized gains or losses for derivatives not designated for hedge accounting during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39" w:name="PB_20_154351_5335"/>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on a gross basis as of September 30, 2010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47"/>
        <w:gridCol w:w="189"/>
        <w:gridCol w:w="2118"/>
        <w:gridCol w:w="189"/>
        <w:gridCol w:w="180"/>
        <w:gridCol w:w="816"/>
        <w:gridCol w:w="189"/>
        <w:gridCol w:w="189"/>
        <w:gridCol w:w="2118"/>
        <w:gridCol w:w="189"/>
        <w:gridCol w:w="166"/>
        <w:gridCol w:w="828"/>
        <w:gridCol w:w="287"/>
      </w:tblGrid>
      <w:tr>
        <w:trPr/>
        <w:tc>
          <w:tcPr>
            <w:tcW w:w="274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3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89" w:type="dxa"/>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30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287" w:type="dxa"/>
            <w:tcBorders/>
            <w:shd w:fill="auto" w:val="clear"/>
            <w:vAlign w:val="bottom"/>
          </w:tcPr>
          <w:p>
            <w:pPr>
              <w:pStyle w:val="TableContents"/>
              <w:spacing w:before="0" w:after="0"/>
              <w:ind w:left="0" w:right="0" w:hanging="0"/>
              <w:jc w:val="center"/>
              <w:rPr/>
            </w:pPr>
            <w:r>
              <w:rPr/>
              <w:t> </w:t>
            </w:r>
          </w:p>
        </w:tc>
      </w:tr>
      <w:tr>
        <w:trPr/>
        <w:tc>
          <w:tcPr>
            <w:tcW w:w="274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11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11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shd w:fill="auto" w:val="clear"/>
            <w:vAlign w:val="bottom"/>
          </w:tcPr>
          <w:p>
            <w:pPr>
              <w:pStyle w:val="TableContents"/>
              <w:spacing w:before="0" w:after="0"/>
              <w:ind w:left="0" w:right="0" w:hanging="0"/>
              <w:jc w:val="center"/>
              <w:rPr/>
            </w:pPr>
            <w:r>
              <w:rPr/>
              <w:t> </w:t>
            </w:r>
          </w:p>
        </w:tc>
        <w:tc>
          <w:tcPr>
            <w:tcW w:w="994" w:type="dxa"/>
            <w:gridSpan w:val="2"/>
            <w:tcBorders/>
            <w:shd w:fill="auto" w:val="clear"/>
            <w:vAlign w:val="bottom"/>
          </w:tcPr>
          <w:p>
            <w:pPr>
              <w:pStyle w:val="TableContents"/>
              <w:spacing w:before="0" w:after="0"/>
              <w:ind w:left="0" w:right="0" w:hanging="0"/>
              <w:jc w:val="center"/>
              <w:rPr/>
            </w:pPr>
            <w:r>
              <w:rPr/>
              <w:t> </w:t>
            </w:r>
          </w:p>
        </w:tc>
        <w:tc>
          <w:tcPr>
            <w:tcW w:w="287" w:type="dxa"/>
            <w:tcBorders/>
            <w:shd w:fill="auto" w:val="clear"/>
            <w:vAlign w:val="bottom"/>
          </w:tcPr>
          <w:p>
            <w:pPr>
              <w:pStyle w:val="TableContents"/>
              <w:spacing w:before="0" w:after="0"/>
              <w:ind w:left="0" w:right="0" w:hanging="0"/>
              <w:jc w:val="center"/>
              <w:rPr/>
            </w:pPr>
            <w:r>
              <w:rPr/>
              <w:t> </w:t>
            </w:r>
          </w:p>
        </w:tc>
      </w:tr>
      <w:tr>
        <w:trPr/>
        <w:tc>
          <w:tcPr>
            <w:tcW w:w="274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1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89" w:type="dxa"/>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1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87" w:type="dxa"/>
            <w:tcBorders/>
            <w:shd w:fill="auto" w:val="clear"/>
            <w:vAlign w:val="bottom"/>
          </w:tcPr>
          <w:p>
            <w:pPr>
              <w:pStyle w:val="TableContents"/>
              <w:spacing w:before="0" w:after="0"/>
              <w:ind w:left="0" w:right="0" w:hanging="0"/>
              <w:jc w:val="center"/>
              <w:rPr/>
            </w:pPr>
            <w:r>
              <w:rPr/>
              <w:t> </w:t>
            </w:r>
          </w:p>
        </w:tc>
      </w:tr>
      <w:tr>
        <w:trPr/>
        <w:tc>
          <w:tcPr>
            <w:tcW w:w="274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r>
      <w:tr>
        <w:trPr/>
        <w:tc>
          <w:tcPr>
            <w:tcW w:w="27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r>
      <w:tr>
        <w:trPr/>
        <w:tc>
          <w:tcPr>
            <w:tcW w:w="27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r>
      <w:tr>
        <w:trPr/>
        <w:tc>
          <w:tcPr>
            <w:tcW w:w="2747"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87" w:type="dxa"/>
            <w:tcBorders/>
            <w:shd w:fill="auto" w:val="clear"/>
            <w:vAlign w:val="bottom"/>
          </w:tcPr>
          <w:p>
            <w:pPr>
              <w:pStyle w:val="TableContents"/>
              <w:spacing w:before="0" w:after="0"/>
              <w:ind w:left="0" w:right="0" w:hanging="0"/>
              <w:rPr/>
            </w:pPr>
            <w:r>
              <w:rPr/>
              <w:t> </w:t>
            </w:r>
          </w:p>
        </w:tc>
      </w:tr>
      <w:tr>
        <w:trPr/>
        <w:tc>
          <w:tcPr>
            <w:tcW w:w="27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4" w:type="dxa"/>
            <w:gridSpan w:val="2"/>
            <w:tcBorders/>
            <w:shd w:fill="auto" w:val="clear"/>
            <w:vAlign w:val="bottom"/>
          </w:tcPr>
          <w:p>
            <w:pPr>
              <w:pStyle w:val="TableContents"/>
              <w:spacing w:before="0" w:after="0"/>
              <w:ind w:left="0" w:right="0" w:hanging="0"/>
              <w:jc w:val="right"/>
              <w:rPr/>
            </w:pPr>
            <w:r>
              <w:rPr/>
              <w:t> </w:t>
            </w:r>
          </w:p>
        </w:tc>
        <w:tc>
          <w:tcPr>
            <w:tcW w:w="287" w:type="dxa"/>
            <w:tcBorders/>
            <w:shd w:fill="auto" w:val="clear"/>
            <w:vAlign w:val="bottom"/>
          </w:tcPr>
          <w:p>
            <w:pPr>
              <w:pStyle w:val="TableContents"/>
              <w:spacing w:before="0" w:after="0"/>
              <w:ind w:left="0" w:right="0" w:hanging="0"/>
              <w:rPr/>
            </w:pPr>
            <w:r>
              <w:rPr/>
              <w:t> </w:t>
            </w:r>
          </w:p>
        </w:tc>
      </w:tr>
      <w:tr>
        <w:trPr/>
        <w:tc>
          <w:tcPr>
            <w:tcW w:w="2747"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r>
      <w:tr>
        <w:trPr/>
        <w:tc>
          <w:tcPr>
            <w:tcW w:w="27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87"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47"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89"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118"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4" w:type="dxa"/>
            <w:gridSpan w:val="2"/>
            <w:tcBorders/>
            <w:shd w:fill="CCEEFF" w:val="clear"/>
            <w:vAlign w:val="bottom"/>
          </w:tcPr>
          <w:p>
            <w:pPr>
              <w:pStyle w:val="TableContents"/>
              <w:spacing w:before="0" w:after="0"/>
              <w:ind w:left="0" w:right="0" w:hanging="0"/>
              <w:jc w:val="right"/>
              <w:rPr/>
            </w:pPr>
            <w:r>
              <w:rPr/>
              <w:t> </w:t>
            </w:r>
          </w:p>
        </w:tc>
        <w:tc>
          <w:tcPr>
            <w:tcW w:w="287" w:type="dxa"/>
            <w:tcBorders/>
            <w:shd w:fill="CCEEFF" w:val="clear"/>
            <w:vAlign w:val="bottom"/>
          </w:tcPr>
          <w:p>
            <w:pPr>
              <w:pStyle w:val="TableContents"/>
              <w:spacing w:before="0" w:after="0"/>
              <w:ind w:left="0" w:right="0" w:hanging="0"/>
              <w:rPr/>
            </w:pPr>
            <w:r>
              <w:rPr/>
              <w:t> </w:t>
            </w:r>
          </w:p>
        </w:tc>
      </w:tr>
      <w:tr>
        <w:trPr/>
        <w:tc>
          <w:tcPr>
            <w:tcW w:w="27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89"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118"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following table summarizes the derivative assets and liabilities on our consolidated balance sheet on a gross basis as of December 31, 2009 (in millions):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94"/>
        <w:gridCol w:w="205"/>
        <w:gridCol w:w="2191"/>
        <w:gridCol w:w="205"/>
        <w:gridCol w:w="110"/>
        <w:gridCol w:w="731"/>
        <w:gridCol w:w="205"/>
        <w:gridCol w:w="205"/>
        <w:gridCol w:w="2191"/>
        <w:gridCol w:w="205"/>
        <w:gridCol w:w="110"/>
        <w:gridCol w:w="737"/>
        <w:gridCol w:w="116"/>
      </w:tblGrid>
      <w:tr>
        <w:trPr/>
        <w:tc>
          <w:tcPr>
            <w:tcW w:w="299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323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0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324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16" w:type="dxa"/>
            <w:tcBorders/>
            <w:shd w:fill="auto" w:val="clear"/>
            <w:vAlign w:val="bottom"/>
          </w:tcPr>
          <w:p>
            <w:pPr>
              <w:pStyle w:val="TableContents"/>
              <w:spacing w:before="0" w:after="0"/>
              <w:ind w:left="0" w:right="0" w:hanging="0"/>
              <w:jc w:val="center"/>
              <w:rPr/>
            </w:pPr>
            <w:r>
              <w:rPr/>
              <w:t> </w:t>
            </w:r>
          </w:p>
        </w:tc>
      </w:tr>
      <w:tr>
        <w:trPr/>
        <w:tc>
          <w:tcPr>
            <w:tcW w:w="299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19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05" w:type="dxa"/>
            <w:tcBorders/>
            <w:shd w:fill="auto" w:val="clear"/>
            <w:vAlign w:val="bottom"/>
          </w:tcPr>
          <w:p>
            <w:pPr>
              <w:pStyle w:val="TableContents"/>
              <w:spacing w:before="0" w:after="0"/>
              <w:ind w:left="0" w:right="0" w:hanging="0"/>
              <w:jc w:val="center"/>
              <w:rPr/>
            </w:pPr>
            <w:r>
              <w:rPr/>
              <w:t> </w:t>
            </w:r>
          </w:p>
        </w:tc>
        <w:tc>
          <w:tcPr>
            <w:tcW w:w="841"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19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05" w:type="dxa"/>
            <w:tcBorders/>
            <w:shd w:fill="auto" w:val="clear"/>
            <w:vAlign w:val="bottom"/>
          </w:tcPr>
          <w:p>
            <w:pPr>
              <w:pStyle w:val="TableContents"/>
              <w:spacing w:before="0" w:after="0"/>
              <w:ind w:left="0" w:right="0" w:hanging="0"/>
              <w:jc w:val="center"/>
              <w:rPr/>
            </w:pPr>
            <w:r>
              <w:rPr/>
              <w:t> </w:t>
            </w:r>
          </w:p>
        </w:tc>
        <w:tc>
          <w:tcPr>
            <w:tcW w:w="847" w:type="dxa"/>
            <w:gridSpan w:val="2"/>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jc w:val="center"/>
              <w:rPr/>
            </w:pPr>
            <w:r>
              <w:rPr/>
              <w:t> </w:t>
            </w:r>
          </w:p>
        </w:tc>
      </w:tr>
      <w:tr>
        <w:trPr/>
        <w:tc>
          <w:tcPr>
            <w:tcW w:w="299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05" w:type="dxa"/>
            <w:tcBorders/>
            <w:shd w:fill="auto" w:val="clear"/>
            <w:vAlign w:val="bottom"/>
          </w:tcPr>
          <w:p>
            <w:pPr>
              <w:pStyle w:val="TableContents"/>
              <w:spacing w:before="0" w:after="0"/>
              <w:ind w:left="0" w:right="0" w:hanging="0"/>
              <w:jc w:val="center"/>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0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19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05" w:type="dxa"/>
            <w:tcBorders/>
            <w:shd w:fill="auto" w:val="clear"/>
            <w:vAlign w:val="bottom"/>
          </w:tcPr>
          <w:p>
            <w:pPr>
              <w:pStyle w:val="TableContents"/>
              <w:spacing w:before="0" w:after="0"/>
              <w:ind w:left="0" w:right="0" w:hanging="0"/>
              <w:jc w:val="center"/>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6" w:type="dxa"/>
            <w:tcBorders/>
            <w:shd w:fill="auto" w:val="clear"/>
            <w:vAlign w:val="bottom"/>
          </w:tcPr>
          <w:p>
            <w:pPr>
              <w:pStyle w:val="TableContents"/>
              <w:spacing w:before="0" w:after="0"/>
              <w:ind w:left="0" w:right="0" w:hanging="0"/>
              <w:jc w:val="center"/>
              <w:rPr/>
            </w:pPr>
            <w:r>
              <w:rPr/>
              <w:t> </w:t>
            </w:r>
          </w:p>
        </w:tc>
      </w:tr>
      <w:tr>
        <w:trPr/>
        <w:tc>
          <w:tcPr>
            <w:tcW w:w="299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9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5"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5"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5"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5" w:type="dxa"/>
            <w:tcBorders/>
            <w:shd w:fill="auto"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6" w:type="dxa"/>
            <w:tcBorders/>
            <w:shd w:fill="auto" w:val="clear"/>
            <w:vAlign w:val="bottom"/>
          </w:tcPr>
          <w:p>
            <w:pPr>
              <w:pStyle w:val="TableContents"/>
              <w:spacing w:before="0" w:after="0"/>
              <w:ind w:left="0" w:right="0" w:hanging="0"/>
              <w:rPr/>
            </w:pPr>
            <w:r>
              <w:rPr/>
              <w:t> </w:t>
            </w:r>
          </w:p>
        </w:tc>
      </w:tr>
      <w:tr>
        <w:trPr/>
        <w:tc>
          <w:tcPr>
            <w:tcW w:w="29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299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29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5"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5"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5"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5"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6" w:type="dxa"/>
            <w:tcBorders/>
            <w:shd w:fill="auto" w:val="clear"/>
            <w:vAlign w:val="bottom"/>
          </w:tcPr>
          <w:p>
            <w:pPr>
              <w:pStyle w:val="TableContents"/>
              <w:spacing w:before="0" w:after="0"/>
              <w:ind w:left="0" w:right="0" w:hanging="0"/>
              <w:rPr/>
            </w:pPr>
            <w:r>
              <w:rPr/>
              <w:t> </w:t>
            </w:r>
          </w:p>
        </w:tc>
      </w:tr>
      <w:tr>
        <w:trPr/>
        <w:tc>
          <w:tcPr>
            <w:tcW w:w="2994"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05"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05" w:type="dxa"/>
            <w:tcBorders/>
            <w:shd w:fill="CCEEFF" w:val="clear"/>
            <w:vAlign w:val="bottom"/>
          </w:tcPr>
          <w:p>
            <w:pPr>
              <w:pStyle w:val="TableContents"/>
              <w:spacing w:before="0" w:after="0"/>
              <w:ind w:left="0" w:right="0" w:hanging="0"/>
              <w:rPr/>
            </w:pPr>
            <w:r>
              <w:rPr/>
              <w:t> </w:t>
            </w:r>
          </w:p>
        </w:tc>
        <w:tc>
          <w:tcPr>
            <w:tcW w:w="8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6" w:type="dxa"/>
            <w:tcBorders/>
            <w:shd w:fill="CCEEFF" w:val="clear"/>
            <w:vAlign w:val="bottom"/>
          </w:tcPr>
          <w:p>
            <w:pPr>
              <w:pStyle w:val="TableContents"/>
              <w:spacing w:before="0" w:after="0"/>
              <w:ind w:left="0" w:right="0" w:hanging="0"/>
              <w:rPr/>
            </w:pPr>
            <w:r>
              <w:rPr/>
              <w:t> </w:t>
            </w:r>
          </w:p>
        </w:tc>
      </w:tr>
      <w:tr>
        <w:trPr/>
        <w:tc>
          <w:tcPr>
            <w:tcW w:w="299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5"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5" w:type="dxa"/>
            <w:tcBorders/>
            <w:shd w:fill="auto" w:val="clear"/>
            <w:vAlign w:val="bottom"/>
          </w:tcPr>
          <w:p>
            <w:pPr>
              <w:pStyle w:val="TableContents"/>
              <w:spacing w:before="0" w:after="0"/>
              <w:ind w:left="0" w:right="0" w:hanging="0"/>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41" w:type="dxa"/>
            <w:gridSpan w:val="2"/>
            <w:tcBorders/>
            <w:shd w:fill="auto" w:val="clear"/>
            <w:vAlign w:val="bottom"/>
          </w:tcPr>
          <w:p>
            <w:pPr>
              <w:pStyle w:val="TableContents"/>
              <w:spacing w:before="0" w:after="0"/>
              <w:ind w:left="0" w:right="0" w:hanging="0"/>
              <w:jc w:val="right"/>
              <w:rPr/>
            </w:pPr>
            <w:r>
              <w:rPr/>
              <w:t> </w:t>
            </w:r>
          </w:p>
        </w:tc>
        <w:tc>
          <w:tcPr>
            <w:tcW w:w="20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2191" w:type="dxa"/>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47"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299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0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2191"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As of September 30, 2010, there was a net gain of $23 million deferred in AOCI. The total amount of deferred net gain recorded in AOCI is expected to be reclassified to future earnings contemporaneously with (i) the earnings recognition of the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0" w:name="PB_21_154351_5796"/>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underlying hedged commodity transaction, (ii) interest expense accruals associated with underlying debt instruments or (iii) the recognition of a foreign currency gain or loss upon the remeasurement of certain CAD-denominated intercompany balances. Of the total net gain deferred in AOCI at September 30, 2010, we expect to reclassify a net gain of approximately $2 million to earnings in the next twelve months. Of the remaining deferred gain in AOCI, approximately 98% is expected to be reclassified to earnings prior to 2013 with the remaining deferred gain being reclassified to earnings through 2019. These amounts are predominately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2009, we discontinued a cash flow hedge as a result of the hedged transaction becoming no longer probable of occurring and reclassified a deferred gain of approximately $6 million from AOCI to other income. During the three months ended September 30, 2010 and 2009 and the nine months ended September 30, 2010, all of our hedged transactions were probable of occurring.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deferred gain/(loss) recognized in AOCI for derivatives during the three and nine months ended September 30, 2010 and September 30, 2009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19"/>
        <w:gridCol w:w="154"/>
        <w:gridCol w:w="384"/>
        <w:gridCol w:w="1496"/>
        <w:gridCol w:w="172"/>
        <w:gridCol w:w="492"/>
        <w:gridCol w:w="1388"/>
        <w:gridCol w:w="172"/>
        <w:gridCol w:w="465"/>
        <w:gridCol w:w="1348"/>
        <w:gridCol w:w="172"/>
        <w:gridCol w:w="364"/>
        <w:gridCol w:w="1447"/>
        <w:gridCol w:w="132"/>
      </w:tblGrid>
      <w:tr>
        <w:trPr/>
        <w:tc>
          <w:tcPr>
            <w:tcW w:w="2019"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jc w:val="center"/>
              <w:rPr/>
            </w:pPr>
            <w:r>
              <w:rPr/>
              <w:t> </w:t>
            </w:r>
          </w:p>
        </w:tc>
        <w:tc>
          <w:tcPr>
            <w:tcW w:w="1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September 30, 2010</w:t>
            </w:r>
          </w:p>
        </w:tc>
        <w:tc>
          <w:tcPr>
            <w:tcW w:w="172" w:type="dxa"/>
            <w:tcBorders/>
            <w:shd w:fill="auto" w:val="clear"/>
            <w:vAlign w:val="bottom"/>
          </w:tcPr>
          <w:p>
            <w:pPr>
              <w:pStyle w:val="TableContents"/>
              <w:spacing w:before="0" w:after="0"/>
              <w:ind w:left="0" w:right="0" w:hanging="0"/>
              <w:jc w:val="center"/>
              <w:rPr/>
            </w:pPr>
            <w:r>
              <w:rPr/>
              <w:t> </w:t>
            </w:r>
          </w:p>
        </w:tc>
        <w:tc>
          <w:tcPr>
            <w:tcW w:w="18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September 30, 2009</w:t>
            </w:r>
          </w:p>
        </w:tc>
        <w:tc>
          <w:tcPr>
            <w:tcW w:w="172" w:type="dxa"/>
            <w:tcBorders/>
            <w:shd w:fill="auto" w:val="clear"/>
            <w:vAlign w:val="bottom"/>
          </w:tcPr>
          <w:p>
            <w:pPr>
              <w:pStyle w:val="TableContents"/>
              <w:spacing w:before="0" w:after="0"/>
              <w:ind w:left="0" w:right="0" w:hanging="0"/>
              <w:jc w:val="center"/>
              <w:rPr/>
            </w:pPr>
            <w:r>
              <w:rPr/>
              <w:t> </w:t>
            </w:r>
          </w:p>
        </w:tc>
        <w:tc>
          <w:tcPr>
            <w:tcW w:w="18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Nine Months Ended</w:t>
            </w:r>
            <w:r>
              <w:rPr>
                <w:b/>
                <w:sz w:val="13"/>
              </w:rPr>
              <w:br/>
              <w:t>September 30, 2010</w:t>
            </w:r>
          </w:p>
        </w:tc>
        <w:tc>
          <w:tcPr>
            <w:tcW w:w="172" w:type="dxa"/>
            <w:tcBorders/>
            <w:shd w:fill="auto" w:val="clear"/>
            <w:vAlign w:val="bottom"/>
          </w:tcPr>
          <w:p>
            <w:pPr>
              <w:pStyle w:val="TableContents"/>
              <w:spacing w:before="0" w:after="0"/>
              <w:ind w:left="0" w:right="0" w:hanging="0"/>
              <w:jc w:val="center"/>
              <w:rPr/>
            </w:pPr>
            <w:r>
              <w:rPr/>
              <w:t> </w:t>
            </w:r>
          </w:p>
        </w:tc>
        <w:tc>
          <w:tcPr>
            <w:tcW w:w="18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Nine Months Ended</w:t>
            </w:r>
            <w:r>
              <w:rPr>
                <w:b/>
                <w:sz w:val="13"/>
              </w:rPr>
              <w:br/>
              <w:t>September 30, 2009</w:t>
            </w:r>
          </w:p>
        </w:tc>
        <w:tc>
          <w:tcPr>
            <w:tcW w:w="132" w:type="dxa"/>
            <w:tcBorders/>
            <w:shd w:fill="auto" w:val="clear"/>
            <w:vAlign w:val="bottom"/>
          </w:tcPr>
          <w:p>
            <w:pPr>
              <w:pStyle w:val="TableContents"/>
              <w:spacing w:before="0" w:after="0"/>
              <w:ind w:left="0" w:right="0" w:hanging="0"/>
              <w:jc w:val="center"/>
              <w:rPr/>
            </w:pPr>
            <w:r>
              <w:rPr/>
              <w:t> </w:t>
            </w:r>
          </w:p>
        </w:tc>
      </w:tr>
      <w:tr>
        <w:trPr/>
        <w:tc>
          <w:tcPr>
            <w:tcW w:w="20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54" w:type="dxa"/>
            <w:tcBorders/>
            <w:shd w:fill="CCEEFF" w:val="clear"/>
            <w:vAlign w:val="bottom"/>
          </w:tcPr>
          <w:p>
            <w:pPr>
              <w:pStyle w:val="TableContents"/>
              <w:spacing w:before="0" w:after="0"/>
              <w:ind w:left="0" w:right="0" w:hanging="0"/>
              <w:rPr/>
            </w:pPr>
            <w:r>
              <w:rPr/>
              <w:t> </w:t>
            </w:r>
          </w:p>
        </w:tc>
        <w:tc>
          <w:tcPr>
            <w:tcW w:w="3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2" w:type="dxa"/>
            <w:tcBorders/>
            <w:shd w:fill="CCEEFF" w:val="clear"/>
            <w:vAlign w:val="bottom"/>
          </w:tcPr>
          <w:p>
            <w:pPr>
              <w:pStyle w:val="TableContents"/>
              <w:spacing w:before="0" w:after="0"/>
              <w:ind w:left="0" w:right="0" w:hanging="0"/>
              <w:rPr/>
            </w:pPr>
            <w:r>
              <w:rPr/>
              <w:t> </w:t>
            </w:r>
          </w:p>
        </w:tc>
        <w:tc>
          <w:tcPr>
            <w:tcW w:w="4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exchange derivatives</w:t>
            </w:r>
          </w:p>
        </w:tc>
        <w:tc>
          <w:tcPr>
            <w:tcW w:w="154" w:type="dxa"/>
            <w:tcBorders/>
            <w:shd w:fill="auto" w:val="clear"/>
            <w:vAlign w:val="bottom"/>
          </w:tcPr>
          <w:p>
            <w:pPr>
              <w:pStyle w:val="TableContents"/>
              <w:spacing w:before="0" w:after="0"/>
              <w:ind w:left="0" w:right="0" w:hanging="0"/>
              <w:rPr/>
            </w:pPr>
            <w:r>
              <w:rPr/>
              <w:t> </w:t>
            </w:r>
          </w:p>
        </w:tc>
        <w:tc>
          <w:tcPr>
            <w:tcW w:w="18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1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54" w:type="dxa"/>
            <w:tcBorders/>
            <w:shd w:fill="CCEEFF" w:val="clear"/>
            <w:vAlign w:val="bottom"/>
          </w:tcPr>
          <w:p>
            <w:pPr>
              <w:pStyle w:val="TableContents"/>
              <w:spacing w:before="0" w:after="0"/>
              <w:ind w:left="0" w:right="0" w:hanging="0"/>
              <w:rPr/>
            </w:pPr>
            <w:r>
              <w:rPr/>
              <w:t> </w:t>
            </w:r>
          </w:p>
        </w:tc>
        <w:tc>
          <w:tcPr>
            <w:tcW w:w="1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1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2" w:type="dxa"/>
            <w:tcBorders/>
            <w:shd w:fill="CCEEFF" w:val="clear"/>
            <w:vAlign w:val="bottom"/>
          </w:tcPr>
          <w:p>
            <w:pPr>
              <w:pStyle w:val="TableContents"/>
              <w:spacing w:before="0" w:after="0"/>
              <w:ind w:left="0" w:right="0" w:hanging="0"/>
              <w:rPr/>
            </w:pPr>
            <w:r>
              <w:rPr/>
              <w:t> </w:t>
            </w:r>
          </w:p>
        </w:tc>
        <w:tc>
          <w:tcPr>
            <w:tcW w:w="18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54" w:type="dxa"/>
            <w:tcBorders/>
            <w:shd w:fill="auto" w:val="clear"/>
            <w:vAlign w:val="bottom"/>
          </w:tcPr>
          <w:p>
            <w:pPr>
              <w:pStyle w:val="TableContents"/>
              <w:spacing w:before="0" w:after="0"/>
              <w:ind w:left="0" w:right="0" w:hanging="0"/>
              <w:rPr/>
            </w:pPr>
            <w:r>
              <w:rPr/>
              <w:t> </w:t>
            </w:r>
          </w:p>
        </w:tc>
        <w:tc>
          <w:tcPr>
            <w:tcW w:w="3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agreement exists. Accordingly, we also offset derivative assets and liabilities with amounts associated with cash margin. Our exchange-traded derivatives are transacted through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2010, we had a net broker receivable of approximately $49 million (consisting of initial margin of $69 million reduced by $20 million of variation margin that had been returned to us). As of December 31, 2009, we had a net broker receivable of approximately $53 million (consisting of initial margin of $71 million reduced by $18 million of variation margin that had been returned to us).  At September 30, 2010 and December 31, 2009,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September 30, 2010. Financial assets and liabilities are classified in their entirety based on the lowest level of input that is significant to the fair value measurement. Our assessment of the significance of a particular input to the fair value measurement requires judgment, which does affect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23"/>
        <w:gridCol w:w="167"/>
        <w:gridCol w:w="182"/>
        <w:gridCol w:w="501"/>
        <w:gridCol w:w="202"/>
        <w:gridCol w:w="188"/>
        <w:gridCol w:w="495"/>
        <w:gridCol w:w="183"/>
        <w:gridCol w:w="167"/>
        <w:gridCol w:w="564"/>
        <w:gridCol w:w="202"/>
        <w:gridCol w:w="167"/>
        <w:gridCol w:w="567"/>
        <w:gridCol w:w="115"/>
        <w:gridCol w:w="103"/>
        <w:gridCol w:w="171"/>
        <w:gridCol w:w="514"/>
        <w:gridCol w:w="185"/>
        <w:gridCol w:w="189"/>
        <w:gridCol w:w="495"/>
        <w:gridCol w:w="185"/>
        <w:gridCol w:w="171"/>
        <w:gridCol w:w="573"/>
        <w:gridCol w:w="205"/>
        <w:gridCol w:w="171"/>
        <w:gridCol w:w="488"/>
        <w:gridCol w:w="132"/>
      </w:tblGrid>
      <w:tr>
        <w:trPr/>
        <w:tc>
          <w:tcPr>
            <w:tcW w:w="2923"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341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September 30, 2010</w:t>
            </w:r>
            <w:r>
              <w:rPr>
                <w:b/>
                <w:sz w:val="13"/>
              </w:rPr>
              <w:br/>
              <w:t>(in millions)</w:t>
            </w:r>
          </w:p>
        </w:tc>
        <w:tc>
          <w:tcPr>
            <w:tcW w:w="115" w:type="dxa"/>
            <w:tcBorders>
              <w:right w:val="double" w:sz="4" w:space="0" w:color="000000"/>
            </w:tcBorders>
            <w:shd w:fill="auto" w:val="clear"/>
            <w:tcMar>
              <w:right w:w="28" w:type="dxa"/>
            </w:tcM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3347"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December 31, 2009</w:t>
            </w:r>
            <w:r>
              <w:rPr>
                <w:b/>
                <w:sz w:val="13"/>
              </w:rPr>
              <w:br/>
              <w:t>(in millions)</w:t>
            </w:r>
          </w:p>
        </w:tc>
        <w:tc>
          <w:tcPr>
            <w:tcW w:w="132" w:type="dxa"/>
            <w:tcBorders/>
            <w:shd w:fill="auto" w:val="clear"/>
            <w:vAlign w:val="bottom"/>
          </w:tcPr>
          <w:p>
            <w:pPr>
              <w:pStyle w:val="TableContents"/>
              <w:spacing w:before="0" w:after="0"/>
              <w:ind w:left="0" w:right="0" w:hanging="0"/>
              <w:jc w:val="center"/>
              <w:rPr/>
            </w:pPr>
            <w:r>
              <w:rPr/>
              <w:t> </w:t>
            </w:r>
          </w:p>
        </w:tc>
      </w:tr>
      <w:tr>
        <w:trPr/>
        <w:tc>
          <w:tcPr>
            <w:tcW w:w="2923"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w:t>
            </w:r>
            <w:r>
              <w:rPr>
                <w:b/>
                <w:sz w:val="8"/>
              </w:rPr>
              <w:t>(1)</w:t>
            </w:r>
          </w:p>
        </w:tc>
        <w:tc>
          <w:tcPr>
            <w:tcW w:w="167" w:type="dxa"/>
            <w:tcBorders/>
            <w:shd w:fill="auto" w:val="clear"/>
            <w:vAlign w:val="bottom"/>
          </w:tcPr>
          <w:p>
            <w:pPr>
              <w:pStyle w:val="TableContents"/>
              <w:spacing w:before="0" w:after="0"/>
              <w:ind w:left="0" w:right="0" w:hanging="0"/>
              <w:jc w:val="center"/>
              <w:rPr/>
            </w:pPr>
            <w:r>
              <w:rPr/>
              <w:t> </w:t>
            </w:r>
          </w:p>
        </w:tc>
        <w:tc>
          <w:tcPr>
            <w:tcW w:w="6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202" w:type="dxa"/>
            <w:tcBorders/>
            <w:shd w:fill="auto" w:val="clear"/>
            <w:vAlign w:val="bottom"/>
          </w:tcPr>
          <w:p>
            <w:pPr>
              <w:pStyle w:val="TableContents"/>
              <w:spacing w:before="0" w:after="0"/>
              <w:ind w:left="0" w:right="0" w:hanging="0"/>
              <w:jc w:val="center"/>
              <w:rPr/>
            </w:pPr>
            <w:r>
              <w:rPr/>
              <w:t> </w:t>
            </w:r>
          </w:p>
        </w:tc>
        <w:tc>
          <w:tcPr>
            <w:tcW w:w="6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3" w:type="dxa"/>
            <w:tcBorders/>
            <w:shd w:fill="auto" w:val="clear"/>
            <w:vAlign w:val="bottom"/>
          </w:tcPr>
          <w:p>
            <w:pPr>
              <w:pStyle w:val="TableContents"/>
              <w:spacing w:before="0" w:after="0"/>
              <w:ind w:left="0" w:right="0" w:hanging="0"/>
              <w:jc w:val="center"/>
              <w:rPr/>
            </w:pPr>
            <w:r>
              <w:rPr/>
              <w:t> </w:t>
            </w:r>
          </w:p>
        </w:tc>
        <w:tc>
          <w:tcPr>
            <w:tcW w:w="7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202" w:type="dxa"/>
            <w:tcBorders/>
            <w:shd w:fill="auto" w:val="clear"/>
            <w:vAlign w:val="bottom"/>
          </w:tcPr>
          <w:p>
            <w:pPr>
              <w:pStyle w:val="TableContents"/>
              <w:spacing w:before="0" w:after="0"/>
              <w:ind w:left="0" w:right="0" w:hanging="0"/>
              <w:jc w:val="center"/>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5" w:type="dxa"/>
            <w:tcBorders>
              <w:right w:val="double" w:sz="4" w:space="0" w:color="000000"/>
            </w:tcBorders>
            <w:shd w:fill="auto" w:val="clear"/>
            <w:tcMar>
              <w:right w:w="28" w:type="dxa"/>
            </w:tcM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6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2" w:type="dxa"/>
            <w:tcBorders/>
            <w:shd w:fill="auto" w:val="clear"/>
            <w:vAlign w:val="bottom"/>
          </w:tcPr>
          <w:p>
            <w:pPr>
              <w:pStyle w:val="TableContents"/>
              <w:spacing w:before="0" w:after="0"/>
              <w:ind w:left="0" w:right="0" w:hanging="0"/>
              <w:jc w:val="center"/>
              <w:rPr/>
            </w:pPr>
            <w:r>
              <w:rPr/>
              <w:t> </w:t>
            </w:r>
          </w:p>
        </w:tc>
      </w:tr>
      <w:tr>
        <w:trPr/>
        <w:tc>
          <w:tcPr>
            <w:tcW w:w="2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67"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5" w:type="dxa"/>
            <w:tcBorders>
              <w:right w:val="double" w:sz="4"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67" w:type="dxa"/>
            <w:tcBorders/>
            <w:shd w:fill="auto" w:val="clear"/>
            <w:vAlign w:val="bottom"/>
          </w:tcPr>
          <w:p>
            <w:pPr>
              <w:pStyle w:val="TableContents"/>
              <w:spacing w:before="0" w:after="0"/>
              <w:ind w:left="0" w:right="0" w:hanging="0"/>
              <w:rPr/>
            </w:pPr>
            <w:r>
              <w:rPr/>
              <w:t> </w:t>
            </w:r>
          </w:p>
        </w:tc>
        <w:tc>
          <w:tcPr>
            <w:tcW w:w="6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auto" w:val="clear"/>
            <w:vAlign w:val="bottom"/>
          </w:tcPr>
          <w:p>
            <w:pPr>
              <w:pStyle w:val="TableContents"/>
              <w:spacing w:before="0" w:after="0"/>
              <w:ind w:left="0" w:right="0" w:hanging="0"/>
              <w:rPr/>
            </w:pPr>
            <w:r>
              <w:rPr/>
              <w:t> </w:t>
            </w:r>
          </w:p>
        </w:tc>
        <w:tc>
          <w:tcPr>
            <w:tcW w:w="6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7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2"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5"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6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6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2" w:type="dxa"/>
            <w:tcBorders/>
            <w:shd w:fill="auto" w:val="clear"/>
            <w:vAlign w:val="bottom"/>
          </w:tcPr>
          <w:p>
            <w:pPr>
              <w:pStyle w:val="TableContents"/>
              <w:spacing w:before="0" w:after="0"/>
              <w:ind w:left="0" w:right="0" w:hanging="0"/>
              <w:rPr/>
            </w:pPr>
            <w:r>
              <w:rPr/>
              <w:t> </w:t>
            </w:r>
          </w:p>
        </w:tc>
      </w:tr>
      <w:tr>
        <w:trPr/>
        <w:tc>
          <w:tcPr>
            <w:tcW w:w="29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67" w:type="dxa"/>
            <w:tcBorders/>
            <w:shd w:fill="CCEEFF" w:val="clear"/>
            <w:vAlign w:val="bottom"/>
          </w:tcPr>
          <w:p>
            <w:pPr>
              <w:pStyle w:val="TableContents"/>
              <w:spacing w:before="0" w:after="0"/>
              <w:ind w:left="0" w:right="0" w:hanging="0"/>
              <w:rPr/>
            </w:pPr>
            <w:r>
              <w:rPr/>
              <w:t> </w:t>
            </w:r>
          </w:p>
        </w:tc>
        <w:tc>
          <w:tcPr>
            <w:tcW w:w="6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2" w:type="dxa"/>
            <w:tcBorders/>
            <w:shd w:fill="CCEEFF" w:val="clear"/>
            <w:vAlign w:val="bottom"/>
          </w:tcPr>
          <w:p>
            <w:pPr>
              <w:pStyle w:val="TableContents"/>
              <w:spacing w:before="0" w:after="0"/>
              <w:ind w:left="0" w:right="0" w:hanging="0"/>
              <w:rPr/>
            </w:pPr>
            <w:r>
              <w:rPr/>
              <w:t> </w:t>
            </w:r>
          </w:p>
        </w:tc>
        <w:tc>
          <w:tcPr>
            <w:tcW w:w="6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7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2"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103" w:type="dxa"/>
            <w:tcBorders/>
            <w:shd w:fill="CCEEFF" w:val="clear"/>
            <w:vAlign w:val="bottom"/>
          </w:tcPr>
          <w:p>
            <w:pPr>
              <w:pStyle w:val="TableContents"/>
              <w:spacing w:before="0" w:after="0"/>
              <w:ind w:left="0" w:right="0" w:hanging="0"/>
              <w:rPr/>
            </w:pPr>
            <w:r>
              <w:rPr/>
              <w:t> </w:t>
            </w:r>
          </w:p>
        </w:tc>
        <w:tc>
          <w:tcPr>
            <w:tcW w:w="6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CCEEFF" w:val="clear"/>
            <w:vAlign w:val="bottom"/>
          </w:tcPr>
          <w:p>
            <w:pPr>
              <w:pStyle w:val="TableContents"/>
              <w:spacing w:before="0" w:after="0"/>
              <w:ind w:left="0" w:right="0" w:hanging="0"/>
              <w:rPr/>
            </w:pPr>
            <w:r>
              <w:rPr/>
              <w:t> </w:t>
            </w:r>
          </w:p>
        </w:tc>
        <w:tc>
          <w:tcPr>
            <w:tcW w:w="6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pPr>
            <w:r>
              <w:rPr/>
              <w:t> </w:t>
            </w:r>
          </w:p>
        </w:tc>
        <w:tc>
          <w:tcPr>
            <w:tcW w:w="6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CCEEFF" w:val="clear"/>
            <w:vAlign w:val="bottom"/>
          </w:tcPr>
          <w:p>
            <w:pPr>
              <w:pStyle w:val="TableContents"/>
              <w:spacing w:before="0" w:after="0"/>
              <w:ind w:left="0" w:right="0" w:hanging="0"/>
              <w:rPr/>
            </w:pPr>
            <w:r>
              <w:rPr/>
              <w:t> </w:t>
            </w:r>
          </w:p>
        </w:tc>
      </w:tr>
      <w:tr>
        <w:trPr/>
        <w:tc>
          <w:tcPr>
            <w:tcW w:w="29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67"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5" w:type="dxa"/>
            <w:tcBorders>
              <w:right w:val="double" w:sz="4"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5"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collateral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determination of the fair values above includes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market-observed credit default swap spreads as of the measurement date. The probability of default is applied to the net credit exposure of each of our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1" w:name="PB_22_154351_2897"/>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counterparties and includes a recovery rate adjustment. The recovery rate is an estimate of what would ultimately be recovered through a bankruptcy proceeding in the event of default.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was no activity during the quarter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3 of the fair value hierarchy are the following derivatives: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Commodity Derivatives: Level 3 commodity derivatives include over-the-counter commodity derivatives such as forwards, swaps and options and certain physical commodity contracts. The fair value of our level 3 commodity derivatives is based on either an indicative broker or dealer price quotation or a valuation model. Our valuation models utilize inputs such as price, volatility and correlation but do not involve significant management judgments.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 curves and forward treasury yields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level 3 derivatives are classified as such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95"/>
        <w:gridCol w:w="207"/>
        <w:gridCol w:w="167"/>
        <w:gridCol w:w="1086"/>
        <w:gridCol w:w="236"/>
        <w:gridCol w:w="167"/>
        <w:gridCol w:w="1087"/>
        <w:gridCol w:w="217"/>
        <w:gridCol w:w="162"/>
        <w:gridCol w:w="1075"/>
        <w:gridCol w:w="233"/>
        <w:gridCol w:w="162"/>
        <w:gridCol w:w="1076"/>
        <w:gridCol w:w="135"/>
      </w:tblGrid>
      <w:tr>
        <w:trPr/>
        <w:tc>
          <w:tcPr>
            <w:tcW w:w="419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7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Three Months Ended</w:t>
            </w:r>
            <w:r>
              <w:rPr>
                <w:b/>
                <w:sz w:val="13"/>
              </w:rPr>
              <w:br/>
              <w:t>September 30,</w:t>
            </w:r>
          </w:p>
        </w:tc>
        <w:tc>
          <w:tcPr>
            <w:tcW w:w="217" w:type="dxa"/>
            <w:tcBorders/>
            <w:shd w:fill="auto" w:val="clear"/>
            <w:vAlign w:val="bottom"/>
          </w:tcPr>
          <w:p>
            <w:pPr>
              <w:pStyle w:val="TableContents"/>
              <w:spacing w:before="0" w:after="0"/>
              <w:ind w:left="0" w:right="0" w:hanging="0"/>
              <w:jc w:val="center"/>
              <w:rPr/>
            </w:pPr>
            <w:r>
              <w:rPr/>
              <w:t> </w:t>
            </w:r>
          </w:p>
        </w:tc>
        <w:tc>
          <w:tcPr>
            <w:tcW w:w="27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Nine Months Ended</w:t>
            </w:r>
            <w:r>
              <w:rPr>
                <w:b/>
                <w:sz w:val="13"/>
              </w:rPr>
              <w:br/>
              <w:t>September 30,</w:t>
            </w:r>
          </w:p>
        </w:tc>
        <w:tc>
          <w:tcPr>
            <w:tcW w:w="135" w:type="dxa"/>
            <w:tcBorders/>
            <w:shd w:fill="auto" w:val="clear"/>
            <w:vAlign w:val="bottom"/>
          </w:tcPr>
          <w:p>
            <w:pPr>
              <w:pStyle w:val="TableContents"/>
              <w:spacing w:before="0" w:after="0"/>
              <w:ind w:left="0" w:right="0" w:hanging="0"/>
              <w:jc w:val="center"/>
              <w:rPr/>
            </w:pPr>
            <w:r>
              <w:rPr/>
              <w:t> </w:t>
            </w:r>
          </w:p>
        </w:tc>
      </w:tr>
      <w:tr>
        <w:trPr/>
        <w:tc>
          <w:tcPr>
            <w:tcW w:w="419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6" w:type="dxa"/>
            <w:tcBorders/>
            <w:shd w:fill="auto" w:val="clear"/>
            <w:vAlign w:val="bottom"/>
          </w:tcPr>
          <w:p>
            <w:pPr>
              <w:pStyle w:val="TableContents"/>
              <w:spacing w:before="0" w:after="0"/>
              <w:ind w:left="0" w:right="0" w:hanging="0"/>
              <w:jc w:val="center"/>
              <w:rPr/>
            </w:pPr>
            <w:r>
              <w:rPr/>
              <w:t> </w:t>
            </w:r>
          </w:p>
        </w:tc>
        <w:tc>
          <w:tcPr>
            <w:tcW w:w="12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7"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5" w:type="dxa"/>
            <w:tcBorders/>
            <w:shd w:fill="auto" w:val="clear"/>
            <w:vAlign w:val="bottom"/>
          </w:tcPr>
          <w:p>
            <w:pPr>
              <w:pStyle w:val="TableContents"/>
              <w:spacing w:before="0" w:after="0"/>
              <w:ind w:left="0" w:right="0" w:hanging="0"/>
              <w:jc w:val="center"/>
              <w:rPr/>
            </w:pPr>
            <w:r>
              <w:rPr/>
              <w:t> </w:t>
            </w:r>
          </w:p>
        </w:tc>
      </w:tr>
      <w:tr>
        <w:trPr/>
        <w:tc>
          <w:tcPr>
            <w:tcW w:w="4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7"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6"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35" w:type="dxa"/>
            <w:tcBorders/>
            <w:shd w:fill="CCEEFF" w:val="clear"/>
            <w:vAlign w:val="bottom"/>
          </w:tcPr>
          <w:p>
            <w:pPr>
              <w:pStyle w:val="TableContents"/>
              <w:spacing w:before="0" w:after="0"/>
              <w:ind w:left="0" w:right="0" w:hanging="0"/>
              <w:rPr/>
            </w:pPr>
            <w:r>
              <w:rPr/>
              <w:t> </w:t>
            </w:r>
          </w:p>
        </w:tc>
      </w:tr>
      <w:tr>
        <w:trPr/>
        <w:tc>
          <w:tcPr>
            <w:tcW w:w="4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07" w:type="dxa"/>
            <w:tcBorders/>
            <w:shd w:fill="auto" w:val="clear"/>
            <w:vAlign w:val="bottom"/>
          </w:tcPr>
          <w:p>
            <w:pPr>
              <w:pStyle w:val="TableContents"/>
              <w:spacing w:before="0" w:after="0"/>
              <w:ind w:left="0" w:right="0" w:hanging="0"/>
              <w:rPr/>
            </w:pPr>
            <w:r>
              <w:rPr/>
              <w:t> </w:t>
            </w:r>
          </w:p>
        </w:tc>
        <w:tc>
          <w:tcPr>
            <w:tcW w:w="1253"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35" w:type="dxa"/>
            <w:tcBorders/>
            <w:shd w:fill="auto" w:val="clear"/>
            <w:vAlign w:val="bottom"/>
          </w:tcPr>
          <w:p>
            <w:pPr>
              <w:pStyle w:val="TableContents"/>
              <w:spacing w:before="0" w:after="0"/>
              <w:ind w:left="0" w:right="0" w:hanging="0"/>
              <w:rPr/>
            </w:pPr>
            <w:r>
              <w:rPr/>
              <w:t> </w:t>
            </w:r>
          </w:p>
        </w:tc>
      </w:tr>
      <w:tr>
        <w:trPr/>
        <w:tc>
          <w:tcPr>
            <w:tcW w:w="4195" w:type="dxa"/>
            <w:tcBorders/>
            <w:shd w:fill="CCEEFF" w:val="clear"/>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35" w:type="dxa"/>
            <w:tcBorders/>
            <w:shd w:fill="CCEEFF" w:val="clear"/>
            <w:vAlign w:val="bottom"/>
          </w:tcPr>
          <w:p>
            <w:pPr>
              <w:pStyle w:val="TableContents"/>
              <w:spacing w:before="0" w:after="0"/>
              <w:ind w:left="0" w:right="0" w:hanging="0"/>
              <w:rPr/>
            </w:pPr>
            <w:r>
              <w:rPr/>
              <w:t> </w:t>
            </w:r>
          </w:p>
        </w:tc>
      </w:tr>
      <w:tr>
        <w:trPr/>
        <w:tc>
          <w:tcPr>
            <w:tcW w:w="4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7" w:type="dxa"/>
            <w:tcBorders/>
            <w:shd w:fill="auto" w:val="clear"/>
            <w:vAlign w:val="bottom"/>
          </w:tcPr>
          <w:p>
            <w:pPr>
              <w:pStyle w:val="TableContents"/>
              <w:spacing w:before="0" w:after="0"/>
              <w:ind w:left="0" w:right="0" w:hanging="0"/>
              <w:rPr/>
            </w:pPr>
            <w:r>
              <w:rPr/>
              <w:t> </w:t>
            </w:r>
          </w:p>
        </w:tc>
        <w:tc>
          <w:tcPr>
            <w:tcW w:w="12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6" w:type="dxa"/>
            <w:tcBorders/>
            <w:shd w:fill="auto" w:val="clear"/>
            <w:vAlign w:val="bottom"/>
          </w:tcPr>
          <w:p>
            <w:pPr>
              <w:pStyle w:val="TableContents"/>
              <w:spacing w:before="0" w:after="0"/>
              <w:ind w:left="0" w:right="0" w:hanging="0"/>
              <w:rPr/>
            </w:pPr>
            <w:r>
              <w:rPr/>
              <w:t> </w:t>
            </w:r>
          </w:p>
        </w:tc>
        <w:tc>
          <w:tcPr>
            <w:tcW w:w="12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9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Settlements and derivatives entered into during the period</w:t>
            </w:r>
          </w:p>
        </w:tc>
        <w:tc>
          <w:tcPr>
            <w:tcW w:w="207" w:type="dxa"/>
            <w:tcBorders/>
            <w:shd w:fill="CCEEFF" w:val="clear"/>
            <w:vAlign w:val="bottom"/>
          </w:tcPr>
          <w:p>
            <w:pPr>
              <w:pStyle w:val="TableContents"/>
              <w:spacing w:before="0" w:after="0"/>
              <w:ind w:left="0" w:right="0" w:hanging="0"/>
              <w:rPr/>
            </w:pPr>
            <w:r>
              <w:rPr/>
              <w:t> </w:t>
            </w:r>
          </w:p>
        </w:tc>
        <w:tc>
          <w:tcPr>
            <w:tcW w:w="12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3" w:type="dxa"/>
            <w:tcBorders/>
            <w:shd w:fill="CCEEFF"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7"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95"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253"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54"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3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35" w:type="dxa"/>
            <w:tcBorders/>
            <w:shd w:fill="CCEEFF" w:val="clear"/>
            <w:vAlign w:val="bottom"/>
          </w:tcPr>
          <w:p>
            <w:pPr>
              <w:pStyle w:val="TableContents"/>
              <w:spacing w:before="0" w:after="0"/>
              <w:ind w:left="0" w:right="0" w:hanging="0"/>
              <w:rPr/>
            </w:pPr>
            <w:r>
              <w:rPr/>
              <w:t> </w:t>
            </w:r>
          </w:p>
        </w:tc>
      </w:tr>
      <w:tr>
        <w:trPr/>
        <w:tc>
          <w:tcPr>
            <w:tcW w:w="4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7"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We reported unrealized gains and losses associated with level 3 commodity derivatives in our consolidated statements of operations as Supply and Logistics segment revenues. Gains and losses associated with interest rate derivatives are reported in our consolidated statements of operations as Interest expense. Gains and losses associated with foreign currency derivatives are reported in our consolidated statements of operations as either Supply and Logistics segment revenues, Purchases and related costs, or Other income, net.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2" w:name="PB_23_154351_3020"/>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10Commitments and Contingencies</w:t>
      </w:r>
      <w:bookmarkStart w:id="43" w:name="Note10commitmentsAndContingencies_131815"/>
      <w:bookmarkEnd w:id="43"/>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United States Environmental Protection Agency v. Plains All American Pipeline, L.P. </w:t>
      </w:r>
      <w:r>
        <w:rPr>
          <w:rFonts w:ascii="Times New Roman" w:hAnsi="Times New Roman"/>
        </w:rPr>
        <w:t> </w:t>
      </w:r>
      <w:r>
        <w:rPr>
          <w:rFonts w:ascii="Times New Roman" w:hAnsi="Times New Roman"/>
          <w:sz w:val="17"/>
        </w:rPr>
        <w:t>In September, the United States District Court for the Southern District of Texas entered an order approving a Consent Decree that represented our settlement agreement with the U.S. Environmental Protection Agency and the U.S. Department of Justice regarding a 2004 crude oil release that reached the Pecos River and a 2005 crude oil release that reached the Sabine River, as well as eight smaller releases. Pursuant to the Consent Decree, we paid $3.25 million in civil penalties, which we had fully reserved in our contingency accrual.  Over the last several years PAA has proactively developed and implemented risk assessment, pipeline integrity and leak detection procedures that are incremental to those mandated by regulation. As a result of this effort and the ongoing process with EPA and DOJ, many of the operational requirements contained in the Consent Decree have already been incorporated into PAAs operating practices, and the anticipated costs of compliance have been incorporated into our planning.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SemCrude L.P., et al  Debtors/Samson Resources Company (U.S. Bankruptcy Court  Delaware).</w:t>
      </w:r>
      <w:r>
        <w:rPr>
          <w:rFonts w:ascii="Times New Roman" w:hAnsi="Times New Roman"/>
        </w:rPr>
        <w:t xml:space="preserve"> </w:t>
      </w:r>
      <w:r>
        <w:rPr>
          <w:rFonts w:ascii="Times New Roman" w:hAnsi="Times New Roman"/>
          <w:sz w:val="17"/>
        </w:rPr>
        <w:t>We will from time to time have claims relating to insolvent suppliers, customers or counterparties, such as the bankruptcy proceedings of SemCrude, which commenced in July 2008. Statutory protections and our contractual rights of setoff covered substantially all of our pre-petition claims against SemCrude and such claims have now been resolved. In separate actions certain creditors of SemCrude, led by Samson Resources Company, have also filed state court actions alleging a producers lien on crude oil sold to SemCrude and its affiliates, and the continuation of such lien when SemCrude and its affiliates subsequently sold the oil to purchasers such as us. On May 29, 2009, we filed a complaint for declaratory relief to resolve these claims. Fourteen state court actions have been consolidated in Bankruptcy Court. One action is in Federal Court in New Mexico. The aggregate amount subject to challenge is approximately $23 million. We intend to vigorously defend our contractual and statutory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15, 2006, we completed the Pacific merger. The following is a summary of the more significant matters that relate to Pacific, its assets or operations.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4" w:name="PB_24_154351_7748"/>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ExxonMobil Corp. v. GATX Corp. (Superior Court of New Jersey  Gloucester County).</w:t>
      </w:r>
      <w:r>
        <w:rPr>
          <w:rFonts w:ascii="Times New Roman" w:hAnsi="Times New Roman"/>
        </w:rPr>
        <w:t xml:space="preserve"> </w:t>
      </w:r>
      <w:r>
        <w:rPr>
          <w:rFonts w:ascii="Times New Roman" w:hAnsi="Times New Roman"/>
          <w:sz w:val="17"/>
        </w:rPr>
        <w:t>This Pacific legacy matter was filed by ExxonMobil in April 2003 and involves the allocation of responsibility for remediation of MTBE and other petroleum product contamination at the PAT facility at Paulsboro, New Jersey. We estimate that the maximum potential cost to effectively remediate ranges from $3.5 million to up to $10 million. Both ExxonMobil and GATX were prior owners of the terminal. We contend that ExxonMobil and/or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PAT is directly or indirectly liable for damages or costs associated with the MTBE contamination.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NJDEP v. ExxonMobil Corp. et al. </w:t>
      </w:r>
      <w:r>
        <w:rPr>
          <w:rFonts w:ascii="Times New Roman" w:hAnsi="Times New Roman"/>
          <w:sz w:val="17"/>
        </w:rPr>
        <w:t>In a matter related to ExxonMobil v. GATX, in June 2007, the NJDEP brought suit against GATX, Exxon and PAT to recover natural resources damages associated with, and to require remediation of, the contamination. ExxonMobil and GATX have filed third-party demands against PAT, seeking indemnity and contribution. The natural resources damages have been settled and set at $1.1 million payable to the State of New Jersey; however, PATs allocated share of this liability is being disputed by PAT with GATX.  Court approval of the settlement is pending.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EPA v. RMPS.</w:t>
      </w:r>
      <w:r>
        <w:rPr>
          <w:rFonts w:ascii="Times New Roman" w:hAnsi="Times New Roman"/>
        </w:rPr>
        <w:t xml:space="preserve"> </w:t>
      </w:r>
      <w:r>
        <w:rPr>
          <w:rFonts w:ascii="Times New Roman" w:hAnsi="Times New Roman"/>
          <w:sz w:val="17"/>
        </w:rPr>
        <w:t>In February 2009, we received a request for information from EPA regarding aspects of the fuel handling activities of RMPS, a subsidiary acquired in the Pacific merger, at two truck terminals in Colorado. These activities, performed at the request of customers, included the mixture of certain blendstocks with gasoline. We provided the information requested, and cooperated in EPAs investigation of such activities. In January 2010, we received a notice of violations from EPA, alleging failure of RMPS to comply with provisions of the CAA related to registration, sampling, recording and reporting in connection with such activities. EPA further alleges that the violations occurred on an ongoing basis from October 2006 through February 2009. EPA has referred the matter to DOJ. We continue to engage in discussion with EPA, and to emphasize those factors that should mitigate the severity of any penalties imposed. In December 2009, RMPS self-reported late filing of certain reports required under Clean Air Act Diesel Fuel Regulations. All reports have now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Pacific-Legacy Matters.</w:t>
      </w:r>
      <w:r>
        <w:rPr>
          <w:rFonts w:ascii="Times New Roman" w:hAnsi="Times New Roman"/>
        </w:rPr>
        <w:t xml:space="preserve"> </w:t>
      </w:r>
      <w:r>
        <w:rPr>
          <w:rFonts w:ascii="Times New Roman" w:hAnsi="Times New Roman"/>
          <w:sz w:val="17"/>
        </w:rPr>
        <w:t>Although we believe that our operations are presently in material compliance with applicable requirements, it is possible that EPA or other governmental entities may seek to impose fines, penalties or performance obligations on us, or on a portion of our operations, as a result of any past noncompliance that may have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For example, when the area around Lubbock, Texas received an unusually heavy rainfall in early July 2010, a branch of the Brazos River became swollen beyond flood stage. The unusually erosive power of the water undercut existing river banks and caused them to collapse. This phenomenon occurred at a river crossing for one of our 4-inch gathering lines. The combined force of the shifting mass of earth and rushing water severed the pipe, apparently allowing the release of crude oil into the river. We estimate that a maximum of 165 barrels may have been released. We also may discover environmental impacts from past releases that were previously unidentified.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we expand our pipeline assets through acquisitions, we typically improve on (reduce) the releases from such assets (in terms of frequency or volume) as we implement our procedures, remove selected assets from service and spend capital to upgrade the assets. However, the inclusion of additional miles of pipe in our operations may result in an increase in the absolute number of releases company-wide compared to prior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5" w:name="PB_25_154351_141"/>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2010, our reserve for environmental liabilities totaled approximately $66 million, of which approximately $11 million is classified as short-term and $55 million is classified as long-term. At September 30, 2010, we have recorded receivables totaling approximately $4 million for amounts that are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As a result, we may elect to self-insure or utilize higher deductibles in certain insurance programs.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11Operating Segments</w:t>
      </w:r>
      <w:bookmarkStart w:id="46" w:name="Note11operatingSegments_131929"/>
      <w:bookmarkEnd w:id="4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&amp; Logistics. The following table reflects certain financial data for each segment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51"/>
        <w:gridCol w:w="189"/>
        <w:gridCol w:w="263"/>
        <w:gridCol w:w="1232"/>
        <w:gridCol w:w="189"/>
        <w:gridCol w:w="188"/>
        <w:gridCol w:w="1033"/>
        <w:gridCol w:w="189"/>
        <w:gridCol w:w="246"/>
        <w:gridCol w:w="1619"/>
        <w:gridCol w:w="189"/>
        <w:gridCol w:w="153"/>
        <w:gridCol w:w="1039"/>
        <w:gridCol w:w="125"/>
      </w:tblGrid>
      <w:tr>
        <w:trPr/>
        <w:tc>
          <w:tcPr>
            <w:tcW w:w="355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9"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9" w:type="dxa"/>
            <w:tcBorders/>
            <w:shd w:fill="auto" w:val="clear"/>
            <w:vAlign w:val="bottom"/>
          </w:tcPr>
          <w:p>
            <w:pPr>
              <w:pStyle w:val="TableContents"/>
              <w:spacing w:before="0" w:after="0"/>
              <w:ind w:left="0" w:right="0" w:hanging="0"/>
              <w:jc w:val="center"/>
              <w:rPr/>
            </w:pPr>
            <w:r>
              <w:rPr/>
              <w:t> </w:t>
            </w:r>
          </w:p>
        </w:tc>
        <w:tc>
          <w:tcPr>
            <w:tcW w:w="1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89" w:type="dxa"/>
            <w:tcBorders/>
            <w:shd w:fill="auto" w:val="clear"/>
            <w:vAlign w:val="bottom"/>
          </w:tcPr>
          <w:p>
            <w:pPr>
              <w:pStyle w:val="TableContents"/>
              <w:spacing w:before="0" w:after="0"/>
              <w:ind w:left="0" w:right="0" w:hanging="0"/>
              <w:jc w:val="center"/>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355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2010</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6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86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9"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89"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89" w:type="dxa"/>
            <w:tcBorders/>
            <w:shd w:fill="CCEEFF" w:val="clear"/>
            <w:vAlign w:val="bottom"/>
          </w:tcPr>
          <w:p>
            <w:pPr>
              <w:pStyle w:val="TableContents"/>
              <w:spacing w:before="0" w:after="0"/>
              <w:ind w:left="0" w:right="0" w:hanging="0"/>
              <w:rPr/>
            </w:pPr>
            <w:r>
              <w:rPr/>
              <w:t> </w:t>
            </w:r>
          </w:p>
        </w:tc>
        <w:tc>
          <w:tcPr>
            <w:tcW w:w="2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89"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6,414</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9" w:type="dxa"/>
            <w:tcBorders/>
            <w:shd w:fill="auto" w:val="clear"/>
            <w:vAlign w:val="bottom"/>
          </w:tcPr>
          <w:p>
            <w:pPr>
              <w:pStyle w:val="TableContents"/>
              <w:spacing w:before="0" w:after="0"/>
              <w:ind w:left="0" w:right="0" w:hanging="0"/>
              <w:rPr/>
            </w:pPr>
            <w:r>
              <w:rPr/>
              <w:t> </w:t>
            </w:r>
          </w:p>
        </w:tc>
        <w:tc>
          <w:tcPr>
            <w:tcW w:w="1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6,571</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6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2009</w:t>
            </w:r>
          </w:p>
        </w:tc>
        <w:tc>
          <w:tcPr>
            <w:tcW w:w="189" w:type="dxa"/>
            <w:tcBorders/>
            <w:shd w:fill="auto" w:val="clear"/>
            <w:vAlign w:val="bottom"/>
          </w:tcPr>
          <w:p>
            <w:pPr>
              <w:pStyle w:val="TableContents"/>
              <w:spacing w:before="0" w:after="0"/>
              <w:ind w:left="0" w:right="0" w:hanging="0"/>
              <w:rPr/>
            </w:pPr>
            <w:r>
              <w:rPr/>
              <w:t> </w:t>
            </w:r>
          </w:p>
        </w:tc>
        <w:tc>
          <w:tcPr>
            <w:tcW w:w="149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865"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65"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9"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89"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89"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4,645</w:t>
            </w:r>
          </w:p>
        </w:tc>
        <w:tc>
          <w:tcPr>
            <w:tcW w:w="189"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4,857</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9" w:type="dxa"/>
            <w:tcBorders/>
            <w:shd w:fill="CCEEFF" w:val="clear"/>
            <w:vAlign w:val="bottom"/>
          </w:tcPr>
          <w:p>
            <w:pPr>
              <w:pStyle w:val="TableContents"/>
              <w:spacing w:before="0" w:after="0"/>
              <w:ind w:left="0" w:right="0" w:hanging="0"/>
              <w:rPr/>
            </w:pPr>
            <w:r>
              <w:rPr/>
              <w:t> </w:t>
            </w:r>
          </w:p>
        </w:tc>
        <w:tc>
          <w:tcPr>
            <w:tcW w:w="14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89" w:type="dxa"/>
            <w:tcBorders/>
            <w:shd w:fill="CCEEFF"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9" w:type="dxa"/>
            <w:tcBorders/>
            <w:shd w:fill="CCEEFF" w:val="clear"/>
            <w:vAlign w:val="bottom"/>
          </w:tcPr>
          <w:p>
            <w:pPr>
              <w:pStyle w:val="TableContents"/>
              <w:spacing w:before="0" w:after="0"/>
              <w:ind w:left="0" w:right="0" w:hanging="0"/>
              <w:rPr/>
            </w:pPr>
            <w:r>
              <w:rPr/>
              <w:t> </w:t>
            </w:r>
          </w:p>
        </w:tc>
        <w:tc>
          <w:tcPr>
            <w:tcW w:w="1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4,645</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4,992</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5" w:type="dxa"/>
            <w:tcBorders/>
            <w:shd w:fill="CCEEFF" w:val="clear"/>
            <w:vAlign w:val="bottom"/>
          </w:tcPr>
          <w:p>
            <w:pPr>
              <w:pStyle w:val="TableContents"/>
              <w:spacing w:before="0" w:after="0"/>
              <w:ind w:left="0" w:right="0" w:hanging="0"/>
              <w:rPr/>
            </w:pPr>
            <w:r>
              <w:rPr/>
              <w:t> </w:t>
            </w:r>
          </w:p>
        </w:tc>
      </w:tr>
      <w:tr>
        <w:trPr/>
        <w:tc>
          <w:tcPr>
            <w:tcW w:w="3551"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9"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89"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9"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9"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25" w:type="dxa"/>
            <w:tcBorders/>
            <w:shd w:fill="auto" w:val="clear"/>
            <w:vAlign w:val="bottom"/>
          </w:tcPr>
          <w:p>
            <w:pPr>
              <w:pStyle w:val="TableContents"/>
              <w:spacing w:before="0" w:after="0"/>
              <w:ind w:left="0" w:right="0" w:hanging="0"/>
              <w:rPr/>
            </w:pPr>
            <w:r>
              <w:rPr/>
              <w:t> </w:t>
            </w:r>
          </w:p>
        </w:tc>
      </w:tr>
      <w:tr>
        <w:trPr/>
        <w:tc>
          <w:tcPr>
            <w:tcW w:w="355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9"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9"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7" w:name="PB_26_154351_7608"/>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517"/>
        <w:gridCol w:w="187"/>
        <w:gridCol w:w="264"/>
        <w:gridCol w:w="1226"/>
        <w:gridCol w:w="187"/>
        <w:gridCol w:w="188"/>
        <w:gridCol w:w="1025"/>
        <w:gridCol w:w="187"/>
        <w:gridCol w:w="222"/>
        <w:gridCol w:w="1639"/>
        <w:gridCol w:w="187"/>
        <w:gridCol w:w="152"/>
        <w:gridCol w:w="1098"/>
        <w:gridCol w:w="126"/>
      </w:tblGrid>
      <w:tr>
        <w:trPr/>
        <w:tc>
          <w:tcPr>
            <w:tcW w:w="3517"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7" w:type="dxa"/>
            <w:tcBorders/>
            <w:shd w:fill="auto" w:val="clear"/>
            <w:vAlign w:val="bottom"/>
          </w:tcPr>
          <w:p>
            <w:pPr>
              <w:pStyle w:val="TableContents"/>
              <w:spacing w:before="0" w:after="0"/>
              <w:ind w:left="0" w:right="0" w:hanging="0"/>
              <w:jc w:val="center"/>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7" w:type="dxa"/>
            <w:tcBorders/>
            <w:shd w:fill="auto" w:val="clear"/>
            <w:vAlign w:val="bottom"/>
          </w:tcPr>
          <w:p>
            <w:pPr>
              <w:pStyle w:val="TableContents"/>
              <w:spacing w:before="0" w:after="0"/>
              <w:ind w:left="0" w:right="0" w:hanging="0"/>
              <w:jc w:val="center"/>
              <w:rPr/>
            </w:pPr>
            <w:r>
              <w:rPr/>
              <w:t> </w:t>
            </w:r>
          </w:p>
        </w:tc>
        <w:tc>
          <w:tcPr>
            <w:tcW w:w="1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87" w:type="dxa"/>
            <w:tcBorders/>
            <w:shd w:fill="auto" w:val="clear"/>
            <w:vAlign w:val="bottom"/>
          </w:tcPr>
          <w:p>
            <w:pPr>
              <w:pStyle w:val="TableContents"/>
              <w:spacing w:before="0" w:after="0"/>
              <w:ind w:left="0" w:right="0" w:hanging="0"/>
              <w:jc w:val="center"/>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3517"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2010</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86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86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7" w:type="dxa"/>
            <w:tcBorders/>
            <w:shd w:fill="CCEEFF" w:val="clear"/>
            <w:vAlign w:val="bottom"/>
          </w:tcPr>
          <w:p>
            <w:pPr>
              <w:pStyle w:val="TableContents"/>
              <w:spacing w:before="0" w:after="0"/>
              <w:ind w:left="0" w:right="0" w:hanging="0"/>
              <w:rPr/>
            </w:pPr>
            <w:r>
              <w:rPr/>
              <w:t> </w:t>
            </w:r>
          </w:p>
        </w:tc>
        <w:tc>
          <w:tcPr>
            <w:tcW w:w="2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187"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7" w:type="dxa"/>
            <w:tcBorders/>
            <w:shd w:fill="CCEEFF" w:val="clear"/>
            <w:vAlign w:val="bottom"/>
          </w:tcPr>
          <w:p>
            <w:pPr>
              <w:pStyle w:val="TableContents"/>
              <w:spacing w:before="0" w:after="0"/>
              <w:ind w:left="0" w:right="0" w:hanging="0"/>
              <w:rPr/>
            </w:pPr>
            <w:r>
              <w:rPr/>
              <w:t> </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17,992</w:t>
            </w:r>
          </w:p>
        </w:tc>
        <w:tc>
          <w:tcPr>
            <w:tcW w:w="187"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87" w:type="dxa"/>
            <w:tcBorders/>
            <w:shd w:fill="auto" w:val="clear"/>
            <w:vAlign w:val="bottom"/>
          </w:tcPr>
          <w:p>
            <w:pPr>
              <w:pStyle w:val="TableContents"/>
              <w:spacing w:before="0" w:after="0"/>
              <w:ind w:left="0" w:right="0" w:hanging="0"/>
              <w:rPr/>
            </w:pPr>
            <w:r>
              <w:rPr/>
              <w:t> </w:t>
            </w:r>
          </w:p>
        </w:tc>
        <w:tc>
          <w:tcPr>
            <w:tcW w:w="1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19,129</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86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2009</w:t>
            </w:r>
          </w:p>
        </w:tc>
        <w:tc>
          <w:tcPr>
            <w:tcW w:w="187" w:type="dxa"/>
            <w:tcBorders/>
            <w:shd w:fill="auto" w:val="clear"/>
            <w:vAlign w:val="bottom"/>
          </w:tcPr>
          <w:p>
            <w:pPr>
              <w:pStyle w:val="TableContents"/>
              <w:spacing w:before="0" w:after="0"/>
              <w:ind w:left="0" w:right="0" w:hanging="0"/>
              <w:rPr/>
            </w:pPr>
            <w:r>
              <w:rPr/>
              <w:t> </w:t>
            </w:r>
          </w:p>
        </w:tc>
        <w:tc>
          <w:tcPr>
            <w:tcW w:w="1490"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86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86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87" w:type="dxa"/>
            <w:tcBorders/>
            <w:shd w:fill="auto" w:val="clear"/>
            <w:vAlign w:val="bottom"/>
          </w:tcPr>
          <w:p>
            <w:pPr>
              <w:pStyle w:val="TableContents"/>
              <w:spacing w:before="0" w:after="0"/>
              <w:ind w:left="0" w:right="0" w:hanging="0"/>
              <w:rPr/>
            </w:pPr>
            <w:r>
              <w:rPr/>
              <w:t> </w:t>
            </w:r>
          </w:p>
        </w:tc>
        <w:tc>
          <w:tcPr>
            <w:tcW w:w="2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187"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7" w:type="dxa"/>
            <w:tcBorders/>
            <w:shd w:fill="auto" w:val="clear"/>
            <w:vAlign w:val="bottom"/>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11,876</w:t>
            </w:r>
          </w:p>
        </w:tc>
        <w:tc>
          <w:tcPr>
            <w:tcW w:w="187"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12,442</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87" w:type="dxa"/>
            <w:tcBorders/>
            <w:shd w:fill="CCEEFF" w:val="clear"/>
            <w:vAlign w:val="bottom"/>
          </w:tcPr>
          <w:p>
            <w:pPr>
              <w:pStyle w:val="TableContents"/>
              <w:spacing w:before="0" w:after="0"/>
              <w:ind w:left="0" w:right="0" w:hanging="0"/>
              <w:rPr/>
            </w:pPr>
            <w:r>
              <w:rPr/>
              <w:t> </w:t>
            </w:r>
          </w:p>
        </w:tc>
        <w:tc>
          <w:tcPr>
            <w:tcW w:w="14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87"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87" w:type="dxa"/>
            <w:tcBorders/>
            <w:shd w:fill="CCEEFF" w:val="clear"/>
            <w:vAlign w:val="bottom"/>
          </w:tcPr>
          <w:p>
            <w:pPr>
              <w:pStyle w:val="TableContents"/>
              <w:spacing w:before="0" w:after="0"/>
              <w:ind w:left="0" w:right="0" w:hanging="0"/>
              <w:rPr/>
            </w:pPr>
            <w:r>
              <w:rPr/>
              <w:t> </w:t>
            </w:r>
          </w:p>
        </w:tc>
        <w:tc>
          <w:tcPr>
            <w:tcW w:w="1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12,850</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6" w:type="dxa"/>
            <w:tcBorders/>
            <w:shd w:fill="CCEEFF" w:val="clear"/>
            <w:vAlign w:val="bottom"/>
          </w:tcPr>
          <w:p>
            <w:pPr>
              <w:pStyle w:val="TableContents"/>
              <w:spacing w:before="0" w:after="0"/>
              <w:ind w:left="0" w:right="0" w:hanging="0"/>
              <w:rPr/>
            </w:pPr>
            <w:r>
              <w:rPr/>
              <w:t> </w:t>
            </w:r>
          </w:p>
        </w:tc>
      </w:tr>
      <w:tr>
        <w:trPr/>
        <w:tc>
          <w:tcPr>
            <w:tcW w:w="3517"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87" w:type="dxa"/>
            <w:tcBorders/>
            <w:shd w:fill="auto" w:val="clear"/>
            <w:vAlign w:val="bottom"/>
          </w:tcPr>
          <w:p>
            <w:pPr>
              <w:pStyle w:val="TableContents"/>
              <w:spacing w:before="0" w:after="0"/>
              <w:ind w:left="0" w:right="0" w:hanging="0"/>
              <w:rPr/>
            </w:pPr>
            <w:r>
              <w:rPr/>
              <w:t> </w:t>
            </w:r>
          </w:p>
        </w:tc>
        <w:tc>
          <w:tcPr>
            <w:tcW w:w="2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87" w:type="dxa"/>
            <w:tcBorders/>
            <w:shd w:fill="auto" w:val="clear"/>
            <w:vAlign w:val="bottom"/>
          </w:tcPr>
          <w:p>
            <w:pPr>
              <w:pStyle w:val="TableContents"/>
              <w:spacing w:before="0" w:after="0"/>
              <w:ind w:left="0" w:right="0" w:hanging="0"/>
              <w:rPr/>
            </w:pPr>
            <w:r>
              <w:rPr/>
              <w:t> </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7" w:type="dxa"/>
            <w:tcBorders/>
            <w:shd w:fill="auto" w:val="clear"/>
            <w:vAlign w:val="bottom"/>
          </w:tcPr>
          <w:p>
            <w:pPr>
              <w:pStyle w:val="TableContents"/>
              <w:spacing w:before="0" w:after="0"/>
              <w:ind w:left="0" w:right="0" w:hanging="0"/>
              <w:rPr/>
            </w:pPr>
            <w:r>
              <w:rPr/>
              <w:t> </w:t>
            </w:r>
          </w:p>
        </w:tc>
        <w:tc>
          <w:tcPr>
            <w:tcW w:w="2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87"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126" w:type="dxa"/>
            <w:tcBorders/>
            <w:shd w:fill="auto" w:val="clear"/>
            <w:vAlign w:val="bottom"/>
          </w:tcPr>
          <w:p>
            <w:pPr>
              <w:pStyle w:val="TableContents"/>
              <w:spacing w:before="0" w:after="0"/>
              <w:ind w:left="0" w:right="0" w:hanging="0"/>
              <w:rPr/>
            </w:pPr>
            <w:r>
              <w:rPr/>
              <w:t> </w:t>
            </w:r>
          </w:p>
        </w:tc>
      </w:tr>
      <w:tr>
        <w:trPr/>
        <w:tc>
          <w:tcPr>
            <w:tcW w:w="35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7" w:type="dxa"/>
            <w:tcBorders/>
            <w:shd w:fill="CCEEFF" w:val="clear"/>
            <w:vAlign w:val="bottom"/>
          </w:tcPr>
          <w:p>
            <w:pPr>
              <w:pStyle w:val="TableContents"/>
              <w:spacing w:before="0" w:after="0"/>
              <w:ind w:left="0" w:right="0" w:hanging="0"/>
              <w:rPr/>
            </w:pPr>
            <w:r>
              <w:rPr/>
              <w:t> </w:t>
            </w:r>
          </w:p>
        </w:tc>
        <w:tc>
          <w:tcPr>
            <w:tcW w:w="2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7" w:type="dxa"/>
            <w:tcBorders/>
            <w:shd w:fill="CCEEFF" w:val="clear"/>
            <w:vAlign w:val="bottom"/>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7" w:type="dxa"/>
            <w:tcBorders/>
            <w:shd w:fill="CCEEFF" w:val="clear"/>
            <w:vAlign w:val="bottom"/>
          </w:tcPr>
          <w:p>
            <w:pPr>
              <w:pStyle w:val="TableContents"/>
              <w:spacing w:before="0" w:after="0"/>
              <w:ind w:left="0" w:right="0" w:hanging="0"/>
              <w:rPr/>
            </w:pPr>
            <w:r>
              <w:rPr/>
              <w:t> </w:t>
            </w:r>
          </w:p>
        </w:tc>
        <w:tc>
          <w:tcPr>
            <w:tcW w:w="2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rates. For further discussion, see Analysis of Operating Segments under Item 7 of our 2009 Annual Report on Form 10-K.</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&amp; logistics segment profit includes interest expense on contango inventory purchases of $5 million and $4 million for the three months ended September 30, 2010 and 2009, respectively, and $13 million and $8 million for the nine months ended September 30, 2010 and 2009, respectively.</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05"/>
        <w:gridCol w:w="207"/>
        <w:gridCol w:w="162"/>
        <w:gridCol w:w="915"/>
        <w:gridCol w:w="233"/>
        <w:gridCol w:w="162"/>
        <w:gridCol w:w="917"/>
        <w:gridCol w:w="216"/>
        <w:gridCol w:w="158"/>
        <w:gridCol w:w="904"/>
        <w:gridCol w:w="230"/>
        <w:gridCol w:w="158"/>
        <w:gridCol w:w="905"/>
        <w:gridCol w:w="133"/>
      </w:tblGrid>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w:t>
            </w:r>
          </w:p>
        </w:tc>
        <w:tc>
          <w:tcPr>
            <w:tcW w:w="216"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w:t>
            </w:r>
          </w:p>
        </w:tc>
        <w:tc>
          <w:tcPr>
            <w:tcW w:w="133" w:type="dxa"/>
            <w:tcBorders/>
            <w:shd w:fill="auto" w:val="clear"/>
            <w:vAlign w:val="bottom"/>
          </w:tcPr>
          <w:p>
            <w:pPr>
              <w:pStyle w:val="TableContents"/>
              <w:spacing w:before="0" w:after="0"/>
              <w:ind w:left="0" w:right="0" w:hanging="0"/>
              <w:jc w:val="center"/>
              <w:rPr/>
            </w:pPr>
            <w:r>
              <w:rPr/>
              <w:t> </w:t>
            </w:r>
          </w:p>
        </w:tc>
      </w:tr>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6" w:type="dxa"/>
            <w:tcBorders/>
            <w:shd w:fill="auto" w:val="clear"/>
            <w:vAlign w:val="bottom"/>
          </w:tcPr>
          <w:p>
            <w:pPr>
              <w:pStyle w:val="TableContents"/>
              <w:spacing w:before="0" w:after="0"/>
              <w:ind w:left="0" w:right="0" w:hanging="0"/>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4905"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3" w:type="dxa"/>
            <w:tcBorders/>
            <w:shd w:fill="auto" w:val="clear"/>
            <w:vAlign w:val="bottom"/>
          </w:tcPr>
          <w:p>
            <w:pPr>
              <w:pStyle w:val="TableContents"/>
              <w:spacing w:before="0" w:after="0"/>
              <w:ind w:left="0" w:right="0" w:hanging="0"/>
              <w:jc w:val="center"/>
              <w:rPr/>
            </w:pPr>
            <w:r>
              <w:rPr/>
              <w:t> </w:t>
            </w:r>
          </w:p>
        </w:tc>
        <w:tc>
          <w:tcPr>
            <w:tcW w:w="10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30" w:type="dxa"/>
            <w:tcBorders/>
            <w:shd w:fill="auto" w:val="clear"/>
            <w:vAlign w:val="bottom"/>
          </w:tcPr>
          <w:p>
            <w:pPr>
              <w:pStyle w:val="TableContents"/>
              <w:spacing w:before="0" w:after="0"/>
              <w:ind w:left="0" w:right="0" w:hanging="0"/>
              <w:jc w:val="center"/>
              <w:rPr/>
            </w:pPr>
            <w:r>
              <w:rPr/>
              <w:t> </w:t>
            </w:r>
          </w:p>
        </w:tc>
        <w:tc>
          <w:tcPr>
            <w:tcW w:w="10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33" w:type="dxa"/>
            <w:tcBorders/>
            <w:shd w:fill="auto" w:val="clear"/>
            <w:vAlign w:val="bottom"/>
          </w:tcPr>
          <w:p>
            <w:pPr>
              <w:pStyle w:val="TableContents"/>
              <w:spacing w:before="0" w:after="0"/>
              <w:ind w:left="0" w:right="0" w:hanging="0"/>
              <w:jc w:val="center"/>
              <w:rPr/>
            </w:pPr>
            <w:r>
              <w:rPr/>
              <w:t> </w:t>
            </w:r>
          </w:p>
        </w:tc>
      </w:tr>
      <w:tr>
        <w:trPr/>
        <w:tc>
          <w:tcPr>
            <w:tcW w:w="49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7"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33"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16"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30"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133" w:type="dxa"/>
            <w:tcBorders/>
            <w:shd w:fill="CCEEFF" w:val="clear"/>
            <w:vAlign w:val="bottom"/>
          </w:tcPr>
          <w:p>
            <w:pPr>
              <w:pStyle w:val="TableContents"/>
              <w:spacing w:before="0" w:after="0"/>
              <w:ind w:left="0" w:right="0" w:hanging="0"/>
              <w:rPr/>
            </w:pPr>
            <w:r>
              <w:rPr/>
              <w:t> </w:t>
            </w:r>
          </w:p>
        </w:tc>
      </w:tr>
      <w:tr>
        <w:trPr/>
        <w:tc>
          <w:tcPr>
            <w:tcW w:w="49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0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CCEEFF" w:val="clear"/>
            <w:vAlign w:val="bottom"/>
          </w:tcPr>
          <w:p>
            <w:pPr>
              <w:pStyle w:val="TableContents"/>
              <w:spacing w:before="0" w:after="0"/>
              <w:ind w:left="0" w:right="0" w:hanging="0"/>
              <w:rPr/>
            </w:pPr>
            <w:r>
              <w:rPr/>
              <w:t> </w:t>
            </w:r>
          </w:p>
        </w:tc>
        <w:tc>
          <w:tcPr>
            <w:tcW w:w="10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3" w:type="dxa"/>
            <w:tcBorders/>
            <w:shd w:fill="auto" w:val="clear"/>
            <w:vAlign w:val="bottom"/>
          </w:tcPr>
          <w:p>
            <w:pPr>
              <w:pStyle w:val="TableContents"/>
              <w:spacing w:before="0" w:after="0"/>
              <w:ind w:left="0" w:right="0" w:hanging="0"/>
              <w:rPr/>
            </w:pPr>
            <w:r>
              <w:rPr/>
              <w:t> </w:t>
            </w:r>
          </w:p>
        </w:tc>
      </w:tr>
      <w:tr>
        <w:trPr/>
        <w:tc>
          <w:tcPr>
            <w:tcW w:w="49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207" w:type="dxa"/>
            <w:tcBorders/>
            <w:shd w:fill="CCEEFF"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3" w:type="dxa"/>
            <w:tcBorders/>
            <w:shd w:fill="CCEEFF" w:val="clear"/>
            <w:vAlign w:val="bottom"/>
          </w:tcPr>
          <w:p>
            <w:pPr>
              <w:pStyle w:val="TableContents"/>
              <w:spacing w:before="0" w:after="0"/>
              <w:ind w:left="0" w:right="0" w:hanging="0"/>
              <w:rPr/>
            </w:pPr>
            <w:r>
              <w:rPr/>
              <w:t> </w:t>
            </w:r>
          </w:p>
        </w:tc>
        <w:tc>
          <w:tcPr>
            <w:tcW w:w="10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0"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7" w:type="dxa"/>
            <w:tcBorders/>
            <w:shd w:fill="auto" w:val="clear"/>
            <w:vAlign w:val="bottom"/>
          </w:tcPr>
          <w:p>
            <w:pPr>
              <w:pStyle w:val="TableContents"/>
              <w:spacing w:before="0" w:after="0"/>
              <w:ind w:left="0" w:right="0" w:hanging="0"/>
              <w:rPr/>
            </w:pPr>
            <w:r>
              <w:rPr/>
              <w:t> </w:t>
            </w:r>
          </w:p>
        </w:tc>
        <w:tc>
          <w:tcPr>
            <w:tcW w:w="10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33" w:type="dxa"/>
            <w:tcBorders/>
            <w:shd w:fill="auto" w:val="clear"/>
            <w:vAlign w:val="bottom"/>
          </w:tcPr>
          <w:p>
            <w:pPr>
              <w:pStyle w:val="TableContents"/>
              <w:spacing w:before="0" w:after="0"/>
              <w:ind w:left="0" w:right="0" w:hanging="0"/>
              <w:rPr/>
            </w:pPr>
            <w:r>
              <w:rPr/>
              <w:t> </w:t>
            </w:r>
          </w:p>
        </w:tc>
        <w:tc>
          <w:tcPr>
            <w:tcW w:w="10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6"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3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3" w:type="dxa"/>
            <w:tcBorders/>
            <w:shd w:fill="auto" w:val="clear"/>
            <w:vAlign w:val="bottom"/>
          </w:tcPr>
          <w:p>
            <w:pPr>
              <w:pStyle w:val="TableContents"/>
              <w:spacing w:before="0" w:after="0"/>
              <w:ind w:left="0" w:right="0" w:hanging="0"/>
              <w:rPr/>
            </w:pPr>
            <w:r>
              <w:rPr/>
              <w:t> </w:t>
            </w:r>
          </w:p>
        </w:tc>
      </w:tr>
      <w:tr>
        <w:trPr/>
        <w:tc>
          <w:tcPr>
            <w:tcW w:w="49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CCEEFF" w:val="clear"/>
            <w:vAlign w:val="bottom"/>
          </w:tcPr>
          <w:p>
            <w:pPr>
              <w:pStyle w:val="TableContents"/>
              <w:spacing w:before="0" w:after="0"/>
              <w:ind w:left="0" w:right="0" w:hanging="0"/>
              <w:rPr/>
            </w:pPr>
            <w:r>
              <w:rPr/>
              <w:t> </w:t>
            </w:r>
          </w:p>
        </w:tc>
        <w:tc>
          <w:tcPr>
            <w:tcW w:w="10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7"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33"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6"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230"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48" w:name="PB_27_154351_8146"/>
      <w:bookmarkEnd w:id="4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12Supplemental Condensed Consolidating Financial Information </w:t>
      </w:r>
      <w:bookmarkStart w:id="49" w:name="Note12supplementalCondensedConsol_133424"/>
      <w:bookmarkEnd w:id="4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Note 12, Plains is referred to as Parent. See Note 13 to our Consolidated Financial Statements included in Part IV of our 2009 Annual Report on Form 10-K for further detail regarding subsidiaries classified as Guarantor Subsidiaries and subsidiaries classified as Non-Guarantor Subsidiaries. There have been no material changes in the entities that constitute our guarantor and non-guarantor subsidiaries since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Balance Sheet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96"/>
        <w:gridCol w:w="187"/>
        <w:gridCol w:w="143"/>
        <w:gridCol w:w="863"/>
        <w:gridCol w:w="187"/>
        <w:gridCol w:w="158"/>
        <w:gridCol w:w="993"/>
        <w:gridCol w:w="187"/>
        <w:gridCol w:w="195"/>
        <w:gridCol w:w="1143"/>
        <w:gridCol w:w="186"/>
        <w:gridCol w:w="154"/>
        <w:gridCol w:w="1016"/>
        <w:gridCol w:w="199"/>
        <w:gridCol w:w="163"/>
        <w:gridCol w:w="1016"/>
        <w:gridCol w:w="119"/>
      </w:tblGrid>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603"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September 30, 2010</w:t>
            </w:r>
          </w:p>
        </w:tc>
        <w:tc>
          <w:tcPr>
            <w:tcW w:w="119" w:type="dxa"/>
            <w:tcBorders/>
            <w:shd w:fill="auto" w:val="clear"/>
            <w:vAlign w:val="bottom"/>
          </w:tcPr>
          <w:p>
            <w:pPr>
              <w:pStyle w:val="TableContents"/>
              <w:spacing w:before="0" w:after="0"/>
              <w:ind w:left="0" w:right="0" w:hanging="0"/>
              <w:jc w:val="center"/>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7" w:type="dxa"/>
            <w:tcBorders/>
            <w:shd w:fill="auto" w:val="clear"/>
            <w:vAlign w:val="bottom"/>
          </w:tcPr>
          <w:p>
            <w:pPr>
              <w:pStyle w:val="TableContents"/>
              <w:spacing w:before="0" w:after="0"/>
              <w:ind w:left="0" w:right="0" w:hanging="0"/>
              <w:jc w:val="center"/>
              <w:rPr/>
            </w:pPr>
            <w:r>
              <w:rPr/>
              <w:t> </w:t>
            </w:r>
          </w:p>
        </w:tc>
        <w:tc>
          <w:tcPr>
            <w:tcW w:w="13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6"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7" w:type="dxa"/>
            <w:tcBorders/>
            <w:shd w:fill="auto" w:val="clear"/>
            <w:vAlign w:val="bottom"/>
          </w:tcPr>
          <w:p>
            <w:pPr>
              <w:pStyle w:val="TableContents"/>
              <w:spacing w:before="0" w:after="0"/>
              <w:ind w:left="0" w:right="0" w:hanging="0"/>
              <w:jc w:val="center"/>
              <w:rPr/>
            </w:pPr>
            <w:r>
              <w:rPr/>
              <w:t> </w:t>
            </w:r>
          </w:p>
        </w:tc>
        <w:tc>
          <w:tcPr>
            <w:tcW w:w="13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6"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7" w:type="dxa"/>
            <w:tcBorders/>
            <w:shd w:fill="auto" w:val="clear"/>
            <w:vAlign w:val="bottom"/>
          </w:tcPr>
          <w:p>
            <w:pPr>
              <w:pStyle w:val="TableContents"/>
              <w:spacing w:before="0" w:after="0"/>
              <w:ind w:left="0" w:right="0" w:hanging="0"/>
              <w:jc w:val="center"/>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6"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19" w:type="dxa"/>
            <w:tcBorders/>
            <w:shd w:fill="auto" w:val="clear"/>
            <w:vAlign w:val="bottom"/>
          </w:tcPr>
          <w:p>
            <w:pPr>
              <w:pStyle w:val="TableContents"/>
              <w:spacing w:before="0" w:after="0"/>
              <w:ind w:left="0" w:right="0" w:hanging="0"/>
              <w:jc w:val="center"/>
              <w:rPr/>
            </w:pPr>
            <w:r>
              <w:rPr/>
              <w:t> </w:t>
            </w:r>
          </w:p>
        </w:tc>
      </w:tr>
      <w:tr>
        <w:trPr/>
        <w:tc>
          <w:tcPr>
            <w:tcW w:w="329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2,847</w:t>
            </w:r>
          </w:p>
        </w:tc>
        <w:tc>
          <w:tcPr>
            <w:tcW w:w="18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3,966</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86"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(3,314</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3,771</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4,760</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1,771</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6,532</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assets, net</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6,188</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3,933</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(8,055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2,434</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9,036</w:t>
            </w:r>
          </w:p>
        </w:tc>
        <w:tc>
          <w:tcPr>
            <w:tcW w:w="187"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12,659</w:t>
            </w:r>
          </w:p>
        </w:tc>
        <w:tc>
          <w:tcPr>
            <w:tcW w:w="18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2,411</w:t>
            </w:r>
          </w:p>
        </w:tc>
        <w:tc>
          <w:tcPr>
            <w:tcW w:w="186"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(11,369</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8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6,267</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86"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(3,314</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3,567</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4,367</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4,693</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6,503</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(3,319</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8,394</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4,111</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6,094</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1,894</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(7,988</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4,111</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6,156</w:t>
            </w:r>
          </w:p>
        </w:tc>
        <w:tc>
          <w:tcPr>
            <w:tcW w:w="187" w:type="dxa"/>
            <w:tcBorders/>
            <w:shd w:fill="CCEEFF" w:val="clear"/>
            <w:vAlign w:val="bottom"/>
          </w:tcPr>
          <w:p>
            <w:pPr>
              <w:pStyle w:val="TableContents"/>
              <w:spacing w:before="0" w:after="0"/>
              <w:ind w:left="0" w:right="0" w:hanging="0"/>
              <w:rPr/>
            </w:pPr>
            <w:r>
              <w:rPr/>
              <w:t> </w:t>
            </w:r>
          </w:p>
        </w:tc>
        <w:tc>
          <w:tcPr>
            <w:tcW w:w="13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1,894</w:t>
            </w:r>
          </w:p>
        </w:tc>
        <w:tc>
          <w:tcPr>
            <w:tcW w:w="186"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(8,050</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4,343</w:t>
            </w:r>
          </w:p>
        </w:tc>
        <w:tc>
          <w:tcPr>
            <w:tcW w:w="119" w:type="dxa"/>
            <w:tcBorders/>
            <w:shd w:fill="CCEEFF" w:val="clear"/>
            <w:vAlign w:val="bottom"/>
          </w:tcPr>
          <w:p>
            <w:pPr>
              <w:pStyle w:val="TableContents"/>
              <w:spacing w:before="0" w:after="0"/>
              <w:ind w:left="0" w:right="0" w:hanging="0"/>
              <w:rPr/>
            </w:pPr>
            <w:r>
              <w:rPr/>
              <w:t> </w:t>
            </w:r>
          </w:p>
        </w:tc>
      </w:tr>
      <w:tr>
        <w:trPr/>
        <w:tc>
          <w:tcPr>
            <w:tcW w:w="3296"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33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29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8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9,036</w:t>
            </w:r>
          </w:p>
        </w:tc>
        <w:tc>
          <w:tcPr>
            <w:tcW w:w="187"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12,659</w:t>
            </w:r>
          </w:p>
        </w:tc>
        <w:tc>
          <w:tcPr>
            <w:tcW w:w="18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2,411</w:t>
            </w:r>
          </w:p>
        </w:tc>
        <w:tc>
          <w:tcPr>
            <w:tcW w:w="186"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(11,369</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12,737</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0" w:name="PB_28_154737_5335"/>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71"/>
        <w:gridCol w:w="187"/>
        <w:gridCol w:w="143"/>
        <w:gridCol w:w="713"/>
        <w:gridCol w:w="187"/>
        <w:gridCol w:w="158"/>
        <w:gridCol w:w="993"/>
        <w:gridCol w:w="187"/>
        <w:gridCol w:w="195"/>
        <w:gridCol w:w="1217"/>
        <w:gridCol w:w="187"/>
        <w:gridCol w:w="154"/>
        <w:gridCol w:w="1016"/>
        <w:gridCol w:w="199"/>
        <w:gridCol w:w="163"/>
        <w:gridCol w:w="1016"/>
        <w:gridCol w:w="119"/>
      </w:tblGrid>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528"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December 31, 2009</w:t>
            </w:r>
          </w:p>
        </w:tc>
        <w:tc>
          <w:tcPr>
            <w:tcW w:w="119"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85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7" w:type="dxa"/>
            <w:tcBorders/>
            <w:shd w:fill="auto" w:val="clear"/>
            <w:vAlign w:val="bottom"/>
          </w:tcPr>
          <w:p>
            <w:pPr>
              <w:pStyle w:val="TableContents"/>
              <w:spacing w:before="0" w:after="0"/>
              <w:ind w:left="0" w:right="0" w:hanging="0"/>
              <w:jc w:val="center"/>
              <w:rPr/>
            </w:pPr>
            <w:r>
              <w:rPr/>
              <w:t> </w:t>
            </w:r>
          </w:p>
        </w:tc>
        <w:tc>
          <w:tcPr>
            <w:tcW w:w="14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85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7" w:type="dxa"/>
            <w:tcBorders/>
            <w:shd w:fill="auto" w:val="clear"/>
            <w:vAlign w:val="bottom"/>
          </w:tcPr>
          <w:p>
            <w:pPr>
              <w:pStyle w:val="TableContents"/>
              <w:spacing w:before="0" w:after="0"/>
              <w:ind w:left="0" w:right="0" w:hanging="0"/>
              <w:jc w:val="center"/>
              <w:rPr/>
            </w:pPr>
            <w:r>
              <w:rPr/>
              <w:t> </w:t>
            </w:r>
          </w:p>
        </w:tc>
        <w:tc>
          <w:tcPr>
            <w:tcW w:w="14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7"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19"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7" w:type="dxa"/>
            <w:tcBorders/>
            <w:shd w:fill="auto" w:val="clear"/>
            <w:vAlign w:val="bottom"/>
          </w:tcPr>
          <w:p>
            <w:pPr>
              <w:pStyle w:val="TableContents"/>
              <w:spacing w:before="0" w:after="0"/>
              <w:ind w:left="0" w:right="0" w:hanging="0"/>
              <w:jc w:val="center"/>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7"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19" w:type="dxa"/>
            <w:tcBorders/>
            <w:shd w:fill="auto" w:val="clear"/>
            <w:vAlign w:val="bottom"/>
          </w:tcPr>
          <w:p>
            <w:pPr>
              <w:pStyle w:val="TableContents"/>
              <w:spacing w:before="0" w:after="0"/>
              <w:ind w:left="0" w:right="0" w:hanging="0"/>
              <w:jc w:val="center"/>
              <w:rPr/>
            </w:pPr>
            <w:r>
              <w:rPr/>
              <w:t> </w:t>
            </w:r>
          </w:p>
        </w:tc>
      </w:tr>
      <w:tr>
        <w:trPr/>
        <w:tc>
          <w:tcPr>
            <w:tcW w:w="337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3,428</w:t>
            </w:r>
          </w:p>
        </w:tc>
        <w:tc>
          <w:tcPr>
            <w:tcW w:w="18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3,831</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18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4,606</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1,734</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assets, net</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5,324</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3,994</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(7,325</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2,360</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8,752</w:t>
            </w:r>
          </w:p>
        </w:tc>
        <w:tc>
          <w:tcPr>
            <w:tcW w:w="187"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12,431</w:t>
            </w:r>
          </w:p>
        </w:tc>
        <w:tc>
          <w:tcPr>
            <w:tcW w:w="18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2,310</w:t>
            </w:r>
          </w:p>
        </w:tc>
        <w:tc>
          <w:tcPr>
            <w:tcW w:w="187"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87"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6,849</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87"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4,137</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7,135</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(4,270</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5,233</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(6,802</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87" w:type="dxa"/>
            <w:tcBorders/>
            <w:shd w:fill="CCEEFF" w:val="clear"/>
            <w:vAlign w:val="bottom"/>
          </w:tcPr>
          <w:p>
            <w:pPr>
              <w:pStyle w:val="TableContents"/>
              <w:spacing w:before="0" w:after="0"/>
              <w:ind w:left="0" w:right="0" w:hanging="0"/>
              <w:rPr/>
            </w:pPr>
            <w:r>
              <w:rPr/>
              <w:t> </w:t>
            </w:r>
          </w:p>
        </w:tc>
        <w:tc>
          <w:tcPr>
            <w:tcW w:w="8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5,296</w:t>
            </w:r>
          </w:p>
        </w:tc>
        <w:tc>
          <w:tcPr>
            <w:tcW w:w="187" w:type="dxa"/>
            <w:tcBorders/>
            <w:shd w:fill="CCEEFF" w:val="clear"/>
            <w:vAlign w:val="bottom"/>
          </w:tcPr>
          <w:p>
            <w:pPr>
              <w:pStyle w:val="TableContents"/>
              <w:spacing w:before="0" w:after="0"/>
              <w:ind w:left="0" w:right="0" w:hanging="0"/>
              <w:rPr/>
            </w:pPr>
            <w:r>
              <w:rPr/>
              <w:t> </w:t>
            </w:r>
          </w:p>
        </w:tc>
        <w:tc>
          <w:tcPr>
            <w:tcW w:w="14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7"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19"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85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412"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33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8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8,752</w:t>
            </w:r>
          </w:p>
        </w:tc>
        <w:tc>
          <w:tcPr>
            <w:tcW w:w="187"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12,431</w:t>
            </w:r>
          </w:p>
        </w:tc>
        <w:tc>
          <w:tcPr>
            <w:tcW w:w="18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2,310</w:t>
            </w:r>
          </w:p>
        </w:tc>
        <w:tc>
          <w:tcPr>
            <w:tcW w:w="187"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1" w:name="PB_29_154737_5796"/>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Operations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03"/>
        <w:gridCol w:w="176"/>
        <w:gridCol w:w="182"/>
        <w:gridCol w:w="726"/>
        <w:gridCol w:w="199"/>
        <w:gridCol w:w="235"/>
        <w:gridCol w:w="968"/>
        <w:gridCol w:w="199"/>
        <w:gridCol w:w="338"/>
        <w:gridCol w:w="1077"/>
        <w:gridCol w:w="199"/>
        <w:gridCol w:w="219"/>
        <w:gridCol w:w="1008"/>
        <w:gridCol w:w="199"/>
        <w:gridCol w:w="243"/>
        <w:gridCol w:w="997"/>
        <w:gridCol w:w="137"/>
      </w:tblGrid>
      <w:tr>
        <w:trPr/>
        <w:tc>
          <w:tcPr>
            <w:tcW w:w="310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6789"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2010</w:t>
            </w:r>
          </w:p>
        </w:tc>
        <w:tc>
          <w:tcPr>
            <w:tcW w:w="137" w:type="dxa"/>
            <w:tcBorders/>
            <w:shd w:fill="auto" w:val="clear"/>
            <w:vAlign w:val="bottom"/>
          </w:tcPr>
          <w:p>
            <w:pPr>
              <w:pStyle w:val="TableContents"/>
              <w:spacing w:before="0" w:after="0"/>
              <w:ind w:left="0" w:right="0" w:hanging="0"/>
              <w:jc w:val="center"/>
              <w:rPr/>
            </w:pPr>
            <w:r>
              <w:rPr/>
              <w:t> </w:t>
            </w:r>
          </w:p>
        </w:tc>
      </w:tr>
      <w:tr>
        <w:trPr/>
        <w:tc>
          <w:tcPr>
            <w:tcW w:w="310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08"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9" w:type="dxa"/>
            <w:tcBorders/>
            <w:shd w:fill="auto" w:val="clear"/>
            <w:vAlign w:val="bottom"/>
          </w:tcPr>
          <w:p>
            <w:pPr>
              <w:pStyle w:val="TableContents"/>
              <w:spacing w:before="0" w:after="0"/>
              <w:ind w:left="0" w:right="0" w:hanging="0"/>
              <w:jc w:val="center"/>
              <w:rPr/>
            </w:pPr>
            <w:r>
              <w:rPr/>
              <w:t> </w:t>
            </w:r>
          </w:p>
        </w:tc>
        <w:tc>
          <w:tcPr>
            <w:tcW w:w="14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9" w:type="dxa"/>
            <w:tcBorders/>
            <w:shd w:fill="auto" w:val="clear"/>
            <w:vAlign w:val="bottom"/>
          </w:tcPr>
          <w:p>
            <w:pPr>
              <w:pStyle w:val="TableContents"/>
              <w:spacing w:before="0" w:after="0"/>
              <w:ind w:left="0" w:right="0" w:hanging="0"/>
              <w:jc w:val="center"/>
              <w:rPr/>
            </w:pPr>
            <w:r>
              <w:rPr/>
              <w:t> </w:t>
            </w:r>
          </w:p>
        </w:tc>
        <w:tc>
          <w:tcPr>
            <w:tcW w:w="1227"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40"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10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08"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9" w:type="dxa"/>
            <w:tcBorders/>
            <w:shd w:fill="auto" w:val="clear"/>
            <w:vAlign w:val="bottom"/>
          </w:tcPr>
          <w:p>
            <w:pPr>
              <w:pStyle w:val="TableContents"/>
              <w:spacing w:before="0" w:after="0"/>
              <w:ind w:left="0" w:right="0" w:hanging="0"/>
              <w:jc w:val="center"/>
              <w:rPr/>
            </w:pPr>
            <w:r>
              <w:rPr/>
              <w:t> </w:t>
            </w:r>
          </w:p>
        </w:tc>
        <w:tc>
          <w:tcPr>
            <w:tcW w:w="14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9" w:type="dxa"/>
            <w:tcBorders/>
            <w:shd w:fill="auto" w:val="clear"/>
            <w:vAlign w:val="bottom"/>
          </w:tcPr>
          <w:p>
            <w:pPr>
              <w:pStyle w:val="TableContents"/>
              <w:spacing w:before="0" w:after="0"/>
              <w:ind w:left="0" w:right="0" w:hanging="0"/>
              <w:jc w:val="center"/>
              <w:rPr/>
            </w:pPr>
            <w:r>
              <w:rPr/>
              <w:t> </w:t>
            </w:r>
          </w:p>
        </w:tc>
        <w:tc>
          <w:tcPr>
            <w:tcW w:w="1227"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40"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10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9"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9" w:type="dxa"/>
            <w:tcBorders/>
            <w:shd w:fill="auto" w:val="clear"/>
            <w:vAlign w:val="bottom"/>
          </w:tcPr>
          <w:p>
            <w:pPr>
              <w:pStyle w:val="TableContents"/>
              <w:spacing w:before="0" w:after="0"/>
              <w:ind w:left="0" w:right="0" w:hanging="0"/>
              <w:jc w:val="center"/>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9" w:type="dxa"/>
            <w:tcBorders/>
            <w:shd w:fill="auto" w:val="clear"/>
            <w:vAlign w:val="bottom"/>
          </w:tcPr>
          <w:p>
            <w:pPr>
              <w:pStyle w:val="TableContents"/>
              <w:spacing w:before="0" w:after="0"/>
              <w:ind w:left="0" w:right="0" w:hanging="0"/>
              <w:jc w:val="center"/>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9"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7" w:type="dxa"/>
            <w:tcBorders/>
            <w:shd w:fill="auto" w:val="clear"/>
            <w:vAlign w:val="bottom"/>
          </w:tcPr>
          <w:p>
            <w:pPr>
              <w:pStyle w:val="TableContents"/>
              <w:spacing w:before="0" w:after="0"/>
              <w:ind w:left="0" w:right="0" w:hanging="0"/>
              <w:jc w:val="center"/>
              <w:rPr/>
            </w:pPr>
            <w:r>
              <w:rPr/>
              <w:t> </w:t>
            </w:r>
          </w:p>
        </w:tc>
      </w:tr>
      <w:tr>
        <w:trPr/>
        <w:tc>
          <w:tcPr>
            <w:tcW w:w="3103" w:type="dxa"/>
            <w:tcBorders/>
            <w:shd w:fill="CCEEFF" w:val="clear"/>
            <w:vAlign w:val="bottom"/>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76"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2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99" w:type="dxa"/>
            <w:tcBorders/>
            <w:shd w:fill="CCEEFF" w:val="clear"/>
            <w:vAlign w:val="bottom"/>
          </w:tcPr>
          <w:p>
            <w:pPr>
              <w:pStyle w:val="TableContents"/>
              <w:spacing w:before="0" w:after="0"/>
              <w:ind w:left="0" w:right="0" w:hanging="0"/>
              <w:rPr/>
            </w:pPr>
            <w:r>
              <w:rPr/>
              <w:t> </w:t>
            </w:r>
          </w:p>
        </w:tc>
        <w:tc>
          <w:tcPr>
            <w:tcW w:w="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9" w:type="dxa"/>
            <w:tcBorders/>
            <w:shd w:fill="CCEEFF" w:val="clear"/>
            <w:vAlign w:val="bottom"/>
          </w:tcPr>
          <w:p>
            <w:pPr>
              <w:pStyle w:val="TableContents"/>
              <w:spacing w:before="0" w:after="0"/>
              <w:ind w:left="0" w:right="0" w:hanging="0"/>
              <w:rPr/>
            </w:pPr>
            <w:r>
              <w:rPr/>
              <w:t> </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137" w:type="dxa"/>
            <w:tcBorders/>
            <w:shd w:fill="CCEEFF" w:val="clear"/>
            <w:vAlign w:val="bottom"/>
          </w:tcPr>
          <w:p>
            <w:pPr>
              <w:pStyle w:val="TableContents"/>
              <w:spacing w:before="0" w:after="0"/>
              <w:ind w:left="0" w:right="0" w:hanging="0"/>
              <w:rPr/>
            </w:pPr>
            <w:r>
              <w:rPr/>
              <w:t> </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6"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6" w:type="dxa"/>
            <w:tcBorders/>
            <w:shd w:fill="auto"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41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76" w:type="dxa"/>
            <w:tcBorders/>
            <w:shd w:fill="auto"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9" w:type="dxa"/>
            <w:tcBorders/>
            <w:shd w:fill="auto" w:val="clear"/>
            <w:vAlign w:val="bottom"/>
          </w:tcPr>
          <w:p>
            <w:pPr>
              <w:pStyle w:val="TableContents"/>
              <w:spacing w:before="0" w:after="0"/>
              <w:ind w:left="0" w:right="0" w:hanging="0"/>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9" w:type="dxa"/>
            <w:tcBorders/>
            <w:shd w:fill="auto"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7" w:type="dxa"/>
            <w:tcBorders/>
            <w:shd w:fill="auto" w:val="clear"/>
            <w:vAlign w:val="bottom"/>
          </w:tcPr>
          <w:p>
            <w:pPr>
              <w:pStyle w:val="TableContents"/>
              <w:spacing w:before="0" w:after="0"/>
              <w:ind w:left="0" w:right="0" w:hanging="0"/>
              <w:rPr/>
            </w:pPr>
            <w:r>
              <w:rPr/>
              <w:t> </w:t>
            </w:r>
          </w:p>
        </w:tc>
      </w:tr>
      <w:tr>
        <w:trPr/>
        <w:tc>
          <w:tcPr>
            <w:tcW w:w="3103"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415"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6"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9"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9" w:type="dxa"/>
            <w:tcBorders/>
            <w:shd w:fill="auto" w:val="clear"/>
            <w:vAlign w:val="bottom"/>
          </w:tcPr>
          <w:p>
            <w:pPr>
              <w:pStyle w:val="TableContents"/>
              <w:spacing w:before="0" w:after="0"/>
              <w:ind w:left="0" w:right="0" w:hanging="0"/>
              <w:rPr/>
            </w:pPr>
            <w:r>
              <w:rPr/>
              <w:t> </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auto" w:val="clear"/>
            <w:vAlign w:val="bottom"/>
          </w:tcPr>
          <w:p>
            <w:pPr>
              <w:pStyle w:val="TableContents"/>
              <w:spacing w:before="0" w:after="0"/>
              <w:ind w:left="0" w:right="0" w:hanging="0"/>
              <w:rPr/>
            </w:pPr>
            <w:r>
              <w:rPr/>
              <w:t> </w:t>
            </w:r>
          </w:p>
        </w:tc>
      </w:tr>
      <w:tr>
        <w:trPr/>
        <w:tc>
          <w:tcPr>
            <w:tcW w:w="31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income/(expense)</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CCEEFF" w:val="clear"/>
            <w:vAlign w:val="bottom"/>
          </w:tcPr>
          <w:p>
            <w:pPr>
              <w:pStyle w:val="TableContents"/>
              <w:spacing w:before="0" w:after="0"/>
              <w:ind w:left="0" w:right="0" w:hanging="0"/>
              <w:rPr/>
            </w:pPr>
            <w:r>
              <w:rPr/>
              <w:t> </w:t>
            </w:r>
          </w:p>
        </w:tc>
        <w:tc>
          <w:tcPr>
            <w:tcW w:w="14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76"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9" w:type="dxa"/>
            <w:tcBorders/>
            <w:shd w:fill="CCEEFF" w:val="clear"/>
            <w:vAlign w:val="bottom"/>
          </w:tcPr>
          <w:p>
            <w:pPr>
              <w:pStyle w:val="TableContents"/>
              <w:spacing w:before="0" w:after="0"/>
              <w:ind w:left="0" w:right="0" w:hanging="0"/>
              <w:rPr/>
            </w:pPr>
            <w:r>
              <w:rPr/>
              <w:t> </w:t>
            </w:r>
          </w:p>
        </w:tc>
        <w:tc>
          <w:tcPr>
            <w:tcW w:w="14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CCEEFF" w:val="clear"/>
            <w:vAlign w:val="bottom"/>
          </w:tcPr>
          <w:p>
            <w:pPr>
              <w:pStyle w:val="TableContents"/>
              <w:spacing w:before="0" w:after="0"/>
              <w:ind w:left="0" w:right="0" w:hanging="0"/>
              <w:rPr/>
            </w:pPr>
            <w:r>
              <w:rPr/>
              <w:t> </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6"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9"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99" w:type="dxa"/>
            <w:tcBorders/>
            <w:shd w:fill="auto" w:val="clear"/>
            <w:vAlign w:val="bottom"/>
          </w:tcPr>
          <w:p>
            <w:pPr>
              <w:pStyle w:val="TableContents"/>
              <w:spacing w:before="0" w:after="0"/>
              <w:ind w:left="0" w:right="0" w:hanging="0"/>
              <w:rPr/>
            </w:pPr>
            <w:r>
              <w:rPr/>
              <w:t> </w:t>
            </w:r>
          </w:p>
        </w:tc>
        <w:tc>
          <w:tcPr>
            <w:tcW w:w="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9"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37" w:type="dxa"/>
            <w:tcBorders/>
            <w:shd w:fill="auto" w:val="clear"/>
            <w:vAlign w:val="bottom"/>
          </w:tcPr>
          <w:p>
            <w:pPr>
              <w:pStyle w:val="TableContents"/>
              <w:spacing w:before="0" w:after="0"/>
              <w:ind w:left="0" w:right="0" w:hanging="0"/>
              <w:rPr/>
            </w:pPr>
            <w:r>
              <w:rPr/>
              <w:t> </w:t>
            </w:r>
          </w:p>
        </w:tc>
      </w:tr>
      <w:tr>
        <w:trPr/>
        <w:tc>
          <w:tcPr>
            <w:tcW w:w="31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76"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9"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76"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9"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99" w:type="dxa"/>
            <w:tcBorders/>
            <w:shd w:fill="auto" w:val="clear"/>
            <w:vAlign w:val="bottom"/>
          </w:tcPr>
          <w:p>
            <w:pPr>
              <w:pStyle w:val="TableContents"/>
              <w:spacing w:before="0" w:after="0"/>
              <w:ind w:left="0" w:right="0" w:hanging="0"/>
              <w:rPr/>
            </w:pPr>
            <w:r>
              <w:rPr/>
              <w:t> </w:t>
            </w:r>
          </w:p>
        </w:tc>
        <w:tc>
          <w:tcPr>
            <w:tcW w:w="3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9" w:type="dxa"/>
            <w:tcBorders/>
            <w:shd w:fill="auto" w:val="clear"/>
            <w:vAlign w:val="bottom"/>
          </w:tcPr>
          <w:p>
            <w:pPr>
              <w:pStyle w:val="TableContents"/>
              <w:spacing w:before="0" w:after="0"/>
              <w:ind w:left="0" w:right="0" w:hanging="0"/>
              <w:rPr/>
            </w:pPr>
            <w:r>
              <w:rPr/>
              <w:t> </w:t>
            </w:r>
          </w:p>
        </w:tc>
        <w:tc>
          <w:tcPr>
            <w:tcW w:w="2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66"/>
        <w:gridCol w:w="176"/>
        <w:gridCol w:w="158"/>
        <w:gridCol w:w="634"/>
        <w:gridCol w:w="196"/>
        <w:gridCol w:w="234"/>
        <w:gridCol w:w="969"/>
        <w:gridCol w:w="196"/>
        <w:gridCol w:w="338"/>
        <w:gridCol w:w="1140"/>
        <w:gridCol w:w="196"/>
        <w:gridCol w:w="218"/>
        <w:gridCol w:w="1009"/>
        <w:gridCol w:w="196"/>
        <w:gridCol w:w="243"/>
        <w:gridCol w:w="997"/>
        <w:gridCol w:w="139"/>
      </w:tblGrid>
      <w:tr>
        <w:trPr/>
        <w:tc>
          <w:tcPr>
            <w:tcW w:w="3166"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6724"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2009</w:t>
            </w:r>
          </w:p>
        </w:tc>
        <w:tc>
          <w:tcPr>
            <w:tcW w:w="139" w:type="dxa"/>
            <w:tcBorders/>
            <w:shd w:fill="auto" w:val="clear"/>
            <w:vAlign w:val="bottom"/>
          </w:tcPr>
          <w:p>
            <w:pPr>
              <w:pStyle w:val="TableContents"/>
              <w:spacing w:before="0" w:after="0"/>
              <w:ind w:left="0" w:right="0" w:hanging="0"/>
              <w:jc w:val="center"/>
              <w:rPr/>
            </w:pPr>
            <w:r>
              <w:rPr/>
              <w:t> </w:t>
            </w:r>
          </w:p>
        </w:tc>
      </w:tr>
      <w:tr>
        <w:trPr/>
        <w:tc>
          <w:tcPr>
            <w:tcW w:w="3166"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792"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4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227"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40"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166"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792"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6" w:type="dxa"/>
            <w:tcBorders/>
            <w:shd w:fill="auto" w:val="clear"/>
            <w:vAlign w:val="bottom"/>
          </w:tcPr>
          <w:p>
            <w:pPr>
              <w:pStyle w:val="TableContents"/>
              <w:spacing w:before="0" w:after="0"/>
              <w:ind w:left="0" w:right="0" w:hanging="0"/>
              <w:jc w:val="center"/>
              <w:rPr/>
            </w:pPr>
            <w:r>
              <w:rPr/>
              <w:t> </w:t>
            </w:r>
          </w:p>
        </w:tc>
        <w:tc>
          <w:tcPr>
            <w:tcW w:w="147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6" w:type="dxa"/>
            <w:tcBorders/>
            <w:shd w:fill="auto" w:val="clear"/>
            <w:vAlign w:val="bottom"/>
          </w:tcPr>
          <w:p>
            <w:pPr>
              <w:pStyle w:val="TableContents"/>
              <w:spacing w:before="0" w:after="0"/>
              <w:ind w:left="0" w:right="0" w:hanging="0"/>
              <w:jc w:val="center"/>
              <w:rPr/>
            </w:pPr>
            <w:r>
              <w:rPr/>
              <w:t> </w:t>
            </w:r>
          </w:p>
        </w:tc>
        <w:tc>
          <w:tcPr>
            <w:tcW w:w="1227"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40"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166"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7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6"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6"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9" w:type="dxa"/>
            <w:tcBorders/>
            <w:shd w:fill="auto" w:val="clear"/>
            <w:vAlign w:val="bottom"/>
          </w:tcPr>
          <w:p>
            <w:pPr>
              <w:pStyle w:val="TableContents"/>
              <w:spacing w:before="0" w:after="0"/>
              <w:ind w:left="0" w:right="0" w:hanging="0"/>
              <w:jc w:val="center"/>
              <w:rPr/>
            </w:pPr>
            <w:r>
              <w:rPr/>
              <w:t> </w:t>
            </w:r>
          </w:p>
        </w:tc>
      </w:tr>
      <w:tr>
        <w:trPr/>
        <w:tc>
          <w:tcPr>
            <w:tcW w:w="3166" w:type="dxa"/>
            <w:tcBorders/>
            <w:shd w:fill="CCEEFF" w:val="clear"/>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76"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96" w:type="dxa"/>
            <w:tcBorders/>
            <w:shd w:fill="CCEEFF" w:val="clear"/>
            <w:vAlign w:val="bottom"/>
          </w:tcPr>
          <w:p>
            <w:pPr>
              <w:pStyle w:val="TableContents"/>
              <w:spacing w:before="0" w:after="0"/>
              <w:ind w:left="0" w:right="0" w:hanging="0"/>
              <w:rPr/>
            </w:pPr>
            <w:r>
              <w:rPr/>
              <w:t> </w:t>
            </w:r>
          </w:p>
        </w:tc>
        <w:tc>
          <w:tcPr>
            <w:tcW w:w="3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96"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39" w:type="dxa"/>
            <w:tcBorders/>
            <w:shd w:fill="CCEEFF" w:val="clear"/>
            <w:vAlign w:val="bottom"/>
          </w:tcPr>
          <w:p>
            <w:pPr>
              <w:pStyle w:val="TableContents"/>
              <w:spacing w:before="0" w:after="0"/>
              <w:ind w:left="0" w:right="0" w:hanging="0"/>
              <w:rPr/>
            </w:pPr>
            <w:r>
              <w:rPr/>
              <w:t> </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76" w:type="dxa"/>
            <w:tcBorders/>
            <w:shd w:fill="auto" w:val="clear"/>
            <w:vAlign w:val="bottom"/>
          </w:tcPr>
          <w:p>
            <w:pPr>
              <w:pStyle w:val="TableContents"/>
              <w:spacing w:before="0" w:after="0"/>
              <w:ind w:left="0" w:right="0" w:hanging="0"/>
              <w:rPr/>
            </w:pPr>
            <w:r>
              <w:rPr/>
              <w:t> </w:t>
            </w:r>
          </w:p>
        </w:tc>
        <w:tc>
          <w:tcPr>
            <w:tcW w:w="7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76" w:type="dxa"/>
            <w:tcBorders/>
            <w:shd w:fill="CCEEFF" w:val="clear"/>
            <w:vAlign w:val="bottom"/>
          </w:tcPr>
          <w:p>
            <w:pPr>
              <w:pStyle w:val="TableContents"/>
              <w:spacing w:before="0" w:after="0"/>
              <w:ind w:left="0" w:right="0" w:hanging="0"/>
              <w:rPr/>
            </w:pPr>
            <w:r>
              <w:rPr/>
              <w:t> </w:t>
            </w:r>
          </w:p>
        </w:tc>
        <w:tc>
          <w:tcPr>
            <w:tcW w:w="7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6" w:type="dxa"/>
            <w:tcBorders/>
            <w:shd w:fill="auto" w:val="clear"/>
            <w:vAlign w:val="bottom"/>
          </w:tcPr>
          <w:p>
            <w:pPr>
              <w:pStyle w:val="TableContents"/>
              <w:spacing w:before="0" w:after="0"/>
              <w:ind w:left="0" w:right="0" w:hanging="0"/>
              <w:rPr/>
            </w:pPr>
            <w:r>
              <w:rPr/>
              <w:t> </w:t>
            </w:r>
          </w:p>
        </w:tc>
        <w:tc>
          <w:tcPr>
            <w:tcW w:w="7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6"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792"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76" w:type="dxa"/>
            <w:tcBorders/>
            <w:shd w:fill="auto" w:val="clear"/>
            <w:vAlign w:val="bottom"/>
          </w:tcPr>
          <w:p>
            <w:pPr>
              <w:pStyle w:val="TableContents"/>
              <w:spacing w:before="0" w:after="0"/>
              <w:ind w:left="0" w:right="0" w:hanging="0"/>
              <w:rPr/>
            </w:pPr>
            <w:r>
              <w:rPr/>
              <w:t> </w:t>
            </w:r>
          </w:p>
        </w:tc>
        <w:tc>
          <w:tcPr>
            <w:tcW w:w="7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96" w:type="dxa"/>
            <w:tcBorders/>
            <w:shd w:fill="auto" w:val="clear"/>
            <w:vAlign w:val="bottom"/>
          </w:tcPr>
          <w:p>
            <w:pPr>
              <w:pStyle w:val="TableContents"/>
              <w:spacing w:before="0" w:after="0"/>
              <w:ind w:left="0" w:right="0" w:hanging="0"/>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6" w:type="dxa"/>
            <w:tcBorders/>
            <w:shd w:fill="auto"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139" w:type="dxa"/>
            <w:tcBorders/>
            <w:shd w:fill="auto" w:val="clear"/>
            <w:vAlign w:val="bottom"/>
          </w:tcPr>
          <w:p>
            <w:pPr>
              <w:pStyle w:val="TableContents"/>
              <w:spacing w:before="0" w:after="0"/>
              <w:ind w:left="0" w:right="0" w:hanging="0"/>
              <w:rPr/>
            </w:pPr>
            <w:r>
              <w:rPr/>
              <w:t> </w:t>
            </w:r>
          </w:p>
        </w:tc>
      </w:tr>
      <w:tr>
        <w:trPr/>
        <w:tc>
          <w:tcPr>
            <w:tcW w:w="3166"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792"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2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6" w:type="dxa"/>
            <w:tcBorders/>
            <w:shd w:fill="auto" w:val="clear"/>
            <w:vAlign w:val="bottom"/>
          </w:tcPr>
          <w:p>
            <w:pPr>
              <w:pStyle w:val="TableContents"/>
              <w:spacing w:before="0" w:after="0"/>
              <w:ind w:left="0" w:right="0" w:hanging="0"/>
              <w:rPr/>
            </w:pPr>
            <w:r>
              <w:rPr/>
              <w:t> </w:t>
            </w:r>
          </w:p>
        </w:tc>
        <w:tc>
          <w:tcPr>
            <w:tcW w:w="7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6"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9" w:type="dxa"/>
            <w:tcBorders/>
            <w:shd w:fill="auto" w:val="clear"/>
            <w:vAlign w:val="bottom"/>
          </w:tcPr>
          <w:p>
            <w:pPr>
              <w:pStyle w:val="TableContents"/>
              <w:spacing w:before="0" w:after="0"/>
              <w:ind w:left="0" w:right="0" w:hanging="0"/>
              <w:rPr/>
            </w:pPr>
            <w:r>
              <w:rPr/>
              <w:t> </w:t>
            </w:r>
          </w:p>
        </w:tc>
      </w:tr>
      <w:tr>
        <w:trPr/>
        <w:tc>
          <w:tcPr>
            <w:tcW w:w="3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income/(expense)</w:t>
            </w:r>
          </w:p>
        </w:tc>
        <w:tc>
          <w:tcPr>
            <w:tcW w:w="176" w:type="dxa"/>
            <w:tcBorders/>
            <w:shd w:fill="CCEEFF" w:val="clear"/>
            <w:vAlign w:val="bottom"/>
          </w:tcPr>
          <w:p>
            <w:pPr>
              <w:pStyle w:val="TableContents"/>
              <w:spacing w:before="0" w:after="0"/>
              <w:ind w:left="0" w:right="0" w:hanging="0"/>
              <w:rPr/>
            </w:pPr>
            <w:r>
              <w:rPr/>
              <w:t> </w:t>
            </w:r>
          </w:p>
        </w:tc>
        <w:tc>
          <w:tcPr>
            <w:tcW w:w="7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CCEEFF" w:val="clear"/>
            <w:vAlign w:val="bottom"/>
          </w:tcPr>
          <w:p>
            <w:pPr>
              <w:pStyle w:val="TableContents"/>
              <w:spacing w:before="0" w:after="0"/>
              <w:ind w:left="0" w:right="0" w:hanging="0"/>
              <w:rPr/>
            </w:pPr>
            <w:r>
              <w:rPr/>
              <w:t> </w:t>
            </w:r>
          </w:p>
        </w:tc>
        <w:tc>
          <w:tcPr>
            <w:tcW w:w="14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76" w:type="dxa"/>
            <w:tcBorders/>
            <w:shd w:fill="auto" w:val="clear"/>
            <w:vAlign w:val="bottom"/>
          </w:tcPr>
          <w:p>
            <w:pPr>
              <w:pStyle w:val="TableContents"/>
              <w:spacing w:before="0" w:after="0"/>
              <w:ind w:left="0" w:right="0" w:hanging="0"/>
              <w:rPr/>
            </w:pPr>
            <w:r>
              <w:rPr/>
              <w:t> </w:t>
            </w:r>
          </w:p>
        </w:tc>
        <w:tc>
          <w:tcPr>
            <w:tcW w:w="7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6" w:type="dxa"/>
            <w:tcBorders/>
            <w:shd w:fill="auto" w:val="clear"/>
            <w:vAlign w:val="bottom"/>
          </w:tcPr>
          <w:p>
            <w:pPr>
              <w:pStyle w:val="TableContents"/>
              <w:spacing w:before="0" w:after="0"/>
              <w:ind w:left="0" w:right="0" w:hanging="0"/>
              <w:rPr/>
            </w:pPr>
            <w:r>
              <w:rPr/>
              <w:t> </w:t>
            </w:r>
          </w:p>
        </w:tc>
        <w:tc>
          <w:tcPr>
            <w:tcW w:w="14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9" w:type="dxa"/>
            <w:tcBorders/>
            <w:shd w:fill="auto" w:val="clear"/>
            <w:vAlign w:val="bottom"/>
          </w:tcPr>
          <w:p>
            <w:pPr>
              <w:pStyle w:val="TableContents"/>
              <w:spacing w:before="0" w:after="0"/>
              <w:ind w:left="0" w:right="0" w:hanging="0"/>
              <w:rPr/>
            </w:pPr>
            <w:r>
              <w:rPr/>
              <w:t> </w:t>
            </w:r>
          </w:p>
        </w:tc>
      </w:tr>
      <w:tr>
        <w:trPr/>
        <w:tc>
          <w:tcPr>
            <w:tcW w:w="3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76" w:type="dxa"/>
            <w:tcBorders/>
            <w:shd w:fill="CCEEFF" w:val="clear"/>
            <w:vAlign w:val="bottom"/>
          </w:tcPr>
          <w:p>
            <w:pPr>
              <w:pStyle w:val="TableContents"/>
              <w:spacing w:before="0" w:after="0"/>
              <w:ind w:left="0" w:right="0" w:hanging="0"/>
              <w:rPr/>
            </w:pPr>
            <w:r>
              <w:rPr/>
              <w:t> </w:t>
            </w:r>
          </w:p>
        </w:tc>
        <w:tc>
          <w:tcPr>
            <w:tcW w:w="7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6"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6" w:type="dxa"/>
            <w:tcBorders/>
            <w:shd w:fill="auto" w:val="clear"/>
            <w:vAlign w:val="bottom"/>
          </w:tcPr>
          <w:p>
            <w:pPr>
              <w:pStyle w:val="TableContents"/>
              <w:spacing w:before="0" w:after="0"/>
              <w:ind w:left="0" w:right="0" w:hanging="0"/>
              <w:rPr/>
            </w:pPr>
            <w:r>
              <w:rPr/>
              <w:t> </w:t>
            </w:r>
          </w:p>
        </w:tc>
        <w:tc>
          <w:tcPr>
            <w:tcW w:w="2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96" w:type="dxa"/>
            <w:tcBorders/>
            <w:shd w:fill="auto" w:val="clear"/>
            <w:vAlign w:val="bottom"/>
          </w:tcPr>
          <w:p>
            <w:pPr>
              <w:pStyle w:val="TableContents"/>
              <w:spacing w:before="0" w:after="0"/>
              <w:ind w:left="0" w:right="0" w:hanging="0"/>
              <w:rPr/>
            </w:pPr>
            <w:r>
              <w:rPr/>
              <w:t> </w:t>
            </w:r>
          </w:p>
        </w:tc>
        <w:tc>
          <w:tcPr>
            <w:tcW w:w="3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6" w:type="dxa"/>
            <w:tcBorders/>
            <w:shd w:fill="auto" w:val="clear"/>
            <w:vAlign w:val="bottom"/>
          </w:tcPr>
          <w:p>
            <w:pPr>
              <w:pStyle w:val="TableContents"/>
              <w:spacing w:before="0" w:after="0"/>
              <w:ind w:left="0" w:right="0" w:hanging="0"/>
              <w:rPr/>
            </w:pPr>
            <w:r>
              <w:rPr/>
              <w:t> </w:t>
            </w:r>
          </w:p>
        </w:tc>
        <w:tc>
          <w:tcPr>
            <w:tcW w:w="2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3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2" w:name="PB_30_154738_2897"/>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88"/>
        <w:gridCol w:w="181"/>
        <w:gridCol w:w="151"/>
        <w:gridCol w:w="768"/>
        <w:gridCol w:w="196"/>
        <w:gridCol w:w="184"/>
        <w:gridCol w:w="1001"/>
        <w:gridCol w:w="196"/>
        <w:gridCol w:w="260"/>
        <w:gridCol w:w="1127"/>
        <w:gridCol w:w="196"/>
        <w:gridCol w:w="208"/>
        <w:gridCol w:w="998"/>
        <w:gridCol w:w="196"/>
        <w:gridCol w:w="191"/>
        <w:gridCol w:w="1027"/>
        <w:gridCol w:w="137"/>
      </w:tblGrid>
      <w:tr>
        <w:trPr/>
        <w:tc>
          <w:tcPr>
            <w:tcW w:w="318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699"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2010</w:t>
            </w:r>
          </w:p>
        </w:tc>
        <w:tc>
          <w:tcPr>
            <w:tcW w:w="137" w:type="dxa"/>
            <w:tcBorders/>
            <w:shd w:fill="auto" w:val="clear"/>
            <w:vAlign w:val="bottom"/>
          </w:tcPr>
          <w:p>
            <w:pPr>
              <w:pStyle w:val="TableContents"/>
              <w:spacing w:before="0" w:after="0"/>
              <w:ind w:left="0" w:right="0" w:hanging="0"/>
              <w:jc w:val="center"/>
              <w:rPr/>
            </w:pPr>
            <w:r>
              <w:rPr/>
              <w:t> </w:t>
            </w:r>
          </w:p>
        </w:tc>
      </w:tr>
      <w:tr>
        <w:trPr/>
        <w:tc>
          <w:tcPr>
            <w:tcW w:w="318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3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18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6" w:type="dxa"/>
            <w:tcBorders/>
            <w:shd w:fill="auto" w:val="clear"/>
            <w:vAlign w:val="bottom"/>
          </w:tcPr>
          <w:p>
            <w:pPr>
              <w:pStyle w:val="TableContents"/>
              <w:spacing w:before="0" w:after="0"/>
              <w:ind w:left="0" w:right="0" w:hanging="0"/>
              <w:jc w:val="center"/>
              <w:rPr/>
            </w:pPr>
            <w:r>
              <w:rPr/>
              <w:t> </w:t>
            </w:r>
          </w:p>
        </w:tc>
        <w:tc>
          <w:tcPr>
            <w:tcW w:w="13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188"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7" w:type="dxa"/>
            <w:tcBorders/>
            <w:shd w:fill="auto" w:val="clear"/>
            <w:vAlign w:val="bottom"/>
          </w:tcPr>
          <w:p>
            <w:pPr>
              <w:pStyle w:val="TableContents"/>
              <w:spacing w:before="0" w:after="0"/>
              <w:ind w:left="0" w:right="0" w:hanging="0"/>
              <w:jc w:val="center"/>
              <w:rPr/>
            </w:pPr>
            <w:r>
              <w:rPr/>
              <w:t> </w:t>
            </w:r>
          </w:p>
        </w:tc>
      </w:tr>
      <w:tr>
        <w:trPr/>
        <w:tc>
          <w:tcPr>
            <w:tcW w:w="3188" w:type="dxa"/>
            <w:tcBorders/>
            <w:shd w:fill="CCEEFF" w:val="clear"/>
            <w:vAlign w:val="bottom"/>
          </w:tcPr>
          <w:p>
            <w:pPr>
              <w:pStyle w:val="TableContents"/>
              <w:spacing w:before="0" w:after="0"/>
              <w:ind w:left="0" w:right="0" w:hanging="0"/>
              <w:rPr/>
            </w:pPr>
            <w:r>
              <w:rPr>
                <w:rFonts w:ascii="Times New Roman" w:hAnsi="Times New Roman"/>
                <w:sz w:val="17"/>
              </w:rPr>
              <w:t>Net operating revenues</w:t>
            </w:r>
            <w:r>
              <w:rPr/>
              <w:t xml:space="preserve">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1,264</w:t>
            </w:r>
          </w:p>
        </w:tc>
        <w:tc>
          <w:tcPr>
            <w:tcW w:w="196"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1,429</w:t>
            </w:r>
          </w:p>
        </w:tc>
        <w:tc>
          <w:tcPr>
            <w:tcW w:w="137" w:type="dxa"/>
            <w:tcBorders/>
            <w:shd w:fill="CCEEFF" w:val="clear"/>
            <w:vAlign w:val="bottom"/>
          </w:tcPr>
          <w:p>
            <w:pPr>
              <w:pStyle w:val="TableContents"/>
              <w:spacing w:before="0" w:after="0"/>
              <w:ind w:left="0" w:right="0" w:hanging="0"/>
              <w:rPr/>
            </w:pPr>
            <w:r>
              <w:rPr/>
              <w:t> </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8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196" w:type="dxa"/>
            <w:tcBorders/>
            <w:shd w:fill="auto" w:val="clear"/>
            <w:vAlign w:val="bottom"/>
          </w:tcPr>
          <w:p>
            <w:pPr>
              <w:pStyle w:val="TableContents"/>
              <w:spacing w:before="0" w:after="0"/>
              <w:ind w:left="0" w:right="0" w:hanging="0"/>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553</w:t>
            </w:r>
          </w:p>
        </w:tc>
        <w:tc>
          <w:tcPr>
            <w:tcW w:w="137" w:type="dxa"/>
            <w:tcBorders/>
            <w:shd w:fill="auto" w:val="clear"/>
            <w:vAlign w:val="bottom"/>
          </w:tcPr>
          <w:p>
            <w:pPr>
              <w:pStyle w:val="TableContents"/>
              <w:spacing w:before="0" w:after="0"/>
              <w:ind w:left="0" w:right="0" w:hanging="0"/>
              <w:rPr/>
            </w:pPr>
            <w:r>
              <w:rPr/>
              <w:t> </w:t>
            </w:r>
          </w:p>
        </w:tc>
      </w:tr>
      <w:tr>
        <w:trPr/>
        <w:tc>
          <w:tcPr>
            <w:tcW w:w="3188"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8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6" w:type="dxa"/>
            <w:tcBorders/>
            <w:shd w:fill="auto" w:val="clear"/>
            <w:vAlign w:val="bottom"/>
          </w:tcPr>
          <w:p>
            <w:pPr>
              <w:pStyle w:val="TableContents"/>
              <w:spacing w:before="0" w:after="0"/>
              <w:ind w:left="0" w:right="0" w:hanging="0"/>
              <w:rPr/>
            </w:pPr>
            <w:r>
              <w:rPr/>
              <w:t> </w:t>
            </w:r>
          </w:p>
        </w:tc>
        <w:tc>
          <w:tcPr>
            <w:tcW w:w="13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7" w:type="dxa"/>
            <w:tcBorders/>
            <w:shd w:fill="auto" w:val="clear"/>
            <w:vAlign w:val="bottom"/>
          </w:tcPr>
          <w:p>
            <w:pPr>
              <w:pStyle w:val="TableContents"/>
              <w:spacing w:before="0" w:after="0"/>
              <w:ind w:left="0" w:right="0" w:hanging="0"/>
              <w:rPr/>
            </w:pPr>
            <w:r>
              <w:rPr/>
              <w:t> </w:t>
            </w:r>
          </w:p>
        </w:tc>
      </w:tr>
      <w:tr>
        <w:trPr/>
        <w:tc>
          <w:tcPr>
            <w:tcW w:w="3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income/(expense)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6" w:type="dxa"/>
            <w:tcBorders/>
            <w:shd w:fill="CCEEFF" w:val="clear"/>
            <w:vAlign w:val="bottom"/>
          </w:tcPr>
          <w:p>
            <w:pPr>
              <w:pStyle w:val="TableContents"/>
              <w:spacing w:before="0" w:after="0"/>
              <w:ind w:left="0" w:right="0" w:hanging="0"/>
              <w:rPr/>
            </w:pPr>
            <w:r>
              <w:rPr/>
              <w:t> </w:t>
            </w:r>
          </w:p>
        </w:tc>
        <w:tc>
          <w:tcPr>
            <w:tcW w:w="13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6" w:type="dxa"/>
            <w:tcBorders/>
            <w:shd w:fill="CCEEFF" w:val="clear"/>
            <w:vAlign w:val="bottom"/>
          </w:tcPr>
          <w:p>
            <w:pPr>
              <w:pStyle w:val="TableContents"/>
              <w:spacing w:before="0" w:after="0"/>
              <w:ind w:left="0" w:right="0" w:hanging="0"/>
              <w:rPr/>
            </w:pPr>
            <w:r>
              <w:rPr/>
              <w:t> </w:t>
            </w:r>
          </w:p>
        </w:tc>
        <w:tc>
          <w:tcPr>
            <w:tcW w:w="13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CCEEFF" w:val="clear"/>
            <w:vAlign w:val="bottom"/>
          </w:tcPr>
          <w:p>
            <w:pPr>
              <w:pStyle w:val="TableContents"/>
              <w:spacing w:before="0" w:after="0"/>
              <w:ind w:left="0" w:right="0" w:hanging="0"/>
              <w:rPr/>
            </w:pPr>
            <w:r>
              <w:rPr/>
              <w:t> </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1"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9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196"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6"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7" w:type="dxa"/>
            <w:tcBorders/>
            <w:shd w:fill="auto" w:val="clear"/>
            <w:vAlign w:val="bottom"/>
          </w:tcPr>
          <w:p>
            <w:pPr>
              <w:pStyle w:val="TableContents"/>
              <w:spacing w:before="0" w:after="0"/>
              <w:ind w:left="0" w:right="0" w:hanging="0"/>
              <w:rPr/>
            </w:pPr>
            <w:r>
              <w:rPr/>
              <w:t> </w:t>
            </w:r>
          </w:p>
        </w:tc>
      </w:tr>
      <w:tr>
        <w:trPr/>
        <w:tc>
          <w:tcPr>
            <w:tcW w:w="3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96" w:type="dxa"/>
            <w:tcBorders/>
            <w:shd w:fill="auto" w:val="clear"/>
            <w:vAlign w:val="bottom"/>
          </w:tcPr>
          <w:p>
            <w:pPr>
              <w:pStyle w:val="TableContents"/>
              <w:spacing w:before="0" w:after="0"/>
              <w:ind w:left="0" w:right="0" w:hanging="0"/>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196"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6" w:type="dxa"/>
            <w:tcBorders/>
            <w:shd w:fill="auto" w:val="clear"/>
            <w:vAlign w:val="bottom"/>
          </w:tcPr>
          <w:p>
            <w:pPr>
              <w:pStyle w:val="TableContents"/>
              <w:spacing w:before="0" w:after="0"/>
              <w:ind w:left="0" w:right="0" w:hanging="0"/>
              <w:rPr/>
            </w:pPr>
            <w:r>
              <w:rPr/>
              <w:t> </w:t>
            </w:r>
          </w:p>
        </w:tc>
        <w:tc>
          <w:tcPr>
            <w:tcW w:w="20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57"/>
        <w:gridCol w:w="181"/>
        <w:gridCol w:w="151"/>
        <w:gridCol w:w="631"/>
        <w:gridCol w:w="196"/>
        <w:gridCol w:w="184"/>
        <w:gridCol w:w="1001"/>
        <w:gridCol w:w="196"/>
        <w:gridCol w:w="260"/>
        <w:gridCol w:w="1195"/>
        <w:gridCol w:w="196"/>
        <w:gridCol w:w="209"/>
        <w:gridCol w:w="998"/>
        <w:gridCol w:w="196"/>
        <w:gridCol w:w="190"/>
        <w:gridCol w:w="1027"/>
        <w:gridCol w:w="137"/>
      </w:tblGrid>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630"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2009</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782"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45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207"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7"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782"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6" w:type="dxa"/>
            <w:tcBorders/>
            <w:shd w:fill="auto" w:val="clear"/>
            <w:vAlign w:val="bottom"/>
          </w:tcPr>
          <w:p>
            <w:pPr>
              <w:pStyle w:val="TableContents"/>
              <w:spacing w:before="0" w:after="0"/>
              <w:ind w:left="0" w:right="0" w:hanging="0"/>
              <w:jc w:val="center"/>
              <w:rPr/>
            </w:pPr>
            <w:r>
              <w:rPr/>
              <w:t> </w:t>
            </w:r>
          </w:p>
        </w:tc>
        <w:tc>
          <w:tcPr>
            <w:tcW w:w="145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6" w:type="dxa"/>
            <w:tcBorders/>
            <w:shd w:fill="auto" w:val="clear"/>
            <w:vAlign w:val="bottom"/>
          </w:tcPr>
          <w:p>
            <w:pPr>
              <w:pStyle w:val="TableContents"/>
              <w:spacing w:before="0" w:after="0"/>
              <w:ind w:left="0" w:right="0" w:hanging="0"/>
              <w:jc w:val="center"/>
              <w:rPr/>
            </w:pPr>
            <w:r>
              <w:rPr/>
              <w:t> </w:t>
            </w:r>
          </w:p>
        </w:tc>
        <w:tc>
          <w:tcPr>
            <w:tcW w:w="1207"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7"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7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6" w:type="dxa"/>
            <w:tcBorders/>
            <w:shd w:fill="auto" w:val="clear"/>
            <w:vAlign w:val="bottom"/>
          </w:tcPr>
          <w:p>
            <w:pPr>
              <w:pStyle w:val="TableContents"/>
              <w:spacing w:before="0" w:after="0"/>
              <w:ind w:left="0" w:right="0" w:hanging="0"/>
              <w:jc w:val="center"/>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CCEEFF" w:val="clear"/>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1,296</w:t>
            </w:r>
          </w:p>
        </w:tc>
        <w:tc>
          <w:tcPr>
            <w:tcW w:w="196"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6" w:type="dxa"/>
            <w:tcBorders/>
            <w:shd w:fill="CCEEFF" w:val="clear"/>
            <w:vAlign w:val="bottom"/>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1,406</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1"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1" w:type="dxa"/>
            <w:tcBorders/>
            <w:shd w:fill="auto"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81" w:type="dxa"/>
            <w:tcBorders/>
            <w:shd w:fill="auto"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196" w:type="dxa"/>
            <w:tcBorders/>
            <w:shd w:fill="auto" w:val="clear"/>
            <w:vAlign w:val="bottom"/>
          </w:tcPr>
          <w:p>
            <w:pPr>
              <w:pStyle w:val="TableContents"/>
              <w:spacing w:before="0" w:after="0"/>
              <w:ind w:left="0" w:right="0" w:hanging="0"/>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6" w:type="dxa"/>
            <w:tcBorders/>
            <w:shd w:fill="auto"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7"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1"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6"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income/(expense)</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CCEEFF" w:val="clear"/>
            <w:vAlign w:val="bottom"/>
          </w:tcPr>
          <w:p>
            <w:pPr>
              <w:pStyle w:val="TableContents"/>
              <w:spacing w:before="0" w:after="0"/>
              <w:ind w:left="0" w:right="0" w:hanging="0"/>
              <w:rPr/>
            </w:pPr>
            <w:r>
              <w:rPr/>
              <w:t> </w:t>
            </w:r>
          </w:p>
        </w:tc>
        <w:tc>
          <w:tcPr>
            <w:tcW w:w="14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81" w:type="dxa"/>
            <w:tcBorders/>
            <w:shd w:fill="auto" w:val="clear"/>
            <w:vAlign w:val="bottom"/>
          </w:tcPr>
          <w:p>
            <w:pPr>
              <w:pStyle w:val="TableContents"/>
              <w:spacing w:before="0" w:after="0"/>
              <w:ind w:left="0" w:right="0" w:hanging="0"/>
              <w:rPr/>
            </w:pPr>
            <w:r>
              <w:rPr/>
              <w:t> </w:t>
            </w:r>
          </w:p>
        </w:tc>
        <w:tc>
          <w:tcPr>
            <w:tcW w:w="7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6" w:type="dxa"/>
            <w:tcBorders/>
            <w:shd w:fill="auto" w:val="clear"/>
            <w:vAlign w:val="bottom"/>
          </w:tcPr>
          <w:p>
            <w:pPr>
              <w:pStyle w:val="TableContents"/>
              <w:spacing w:before="0" w:after="0"/>
              <w:ind w:left="0" w:right="0" w:hanging="0"/>
              <w:rPr/>
            </w:pPr>
            <w:r>
              <w:rPr/>
              <w:t> </w:t>
            </w:r>
          </w:p>
        </w:tc>
        <w:tc>
          <w:tcPr>
            <w:tcW w:w="14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1"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9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196"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6"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w:t>
            </w:r>
          </w:p>
        </w:tc>
        <w:tc>
          <w:tcPr>
            <w:tcW w:w="181" w:type="dxa"/>
            <w:tcBorders/>
            <w:shd w:fill="CCEEFF" w:val="clear"/>
            <w:vAlign w:val="bottom"/>
          </w:tcPr>
          <w:p>
            <w:pPr>
              <w:pStyle w:val="TableContents"/>
              <w:spacing w:before="0" w:after="0"/>
              <w:ind w:left="0" w:right="0" w:hanging="0"/>
              <w:rPr/>
            </w:pPr>
            <w:r>
              <w:rPr/>
              <w:t> </w:t>
            </w:r>
          </w:p>
        </w:tc>
        <w:tc>
          <w:tcPr>
            <w:tcW w:w="7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96" w:type="dxa"/>
            <w:tcBorders/>
            <w:shd w:fill="auto" w:val="clear"/>
            <w:vAlign w:val="bottom"/>
          </w:tcPr>
          <w:p>
            <w:pPr>
              <w:pStyle w:val="TableContents"/>
              <w:spacing w:before="0" w:after="0"/>
              <w:ind w:left="0" w:right="0" w:hanging="0"/>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w:t>
            </w:r>
          </w:p>
        </w:tc>
        <w:tc>
          <w:tcPr>
            <w:tcW w:w="196"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6" w:type="dxa"/>
            <w:tcBorders/>
            <w:shd w:fill="auto" w:val="clear"/>
            <w:vAlign w:val="bottom"/>
          </w:tcPr>
          <w:p>
            <w:pPr>
              <w:pStyle w:val="TableContents"/>
              <w:spacing w:before="0" w:after="0"/>
              <w:ind w:left="0" w:right="0" w:hanging="0"/>
              <w:rPr/>
            </w:pPr>
            <w:r>
              <w:rPr/>
              <w:t> </w:t>
            </w:r>
          </w:p>
        </w:tc>
        <w:tc>
          <w:tcPr>
            <w:tcW w:w="20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3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Net operating revenues are calculated as Total revenues less Purchases and related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3" w:name="PB_31_154738_3020"/>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Cash Flows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69"/>
        <w:gridCol w:w="177"/>
        <w:gridCol w:w="156"/>
        <w:gridCol w:w="756"/>
        <w:gridCol w:w="195"/>
        <w:gridCol w:w="235"/>
        <w:gridCol w:w="970"/>
        <w:gridCol w:w="195"/>
        <w:gridCol w:w="337"/>
        <w:gridCol w:w="1015"/>
        <w:gridCol w:w="195"/>
        <w:gridCol w:w="220"/>
        <w:gridCol w:w="1010"/>
        <w:gridCol w:w="195"/>
        <w:gridCol w:w="243"/>
        <w:gridCol w:w="999"/>
        <w:gridCol w:w="138"/>
      </w:tblGrid>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2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2010</w:t>
            </w:r>
          </w:p>
        </w:tc>
        <w:tc>
          <w:tcPr>
            <w:tcW w:w="138" w:type="dxa"/>
            <w:tcBorders/>
            <w:shd w:fill="auto" w:val="clear"/>
            <w:vAlign w:val="bottom"/>
          </w:tcPr>
          <w:p>
            <w:pPr>
              <w:pStyle w:val="TableContents"/>
              <w:spacing w:before="0" w:after="0"/>
              <w:ind w:left="0" w:right="0" w:hanging="0"/>
              <w:jc w:val="center"/>
              <w:rPr/>
            </w:pPr>
            <w:r>
              <w:rPr/>
              <w:t> </w:t>
            </w:r>
          </w:p>
        </w:tc>
      </w:tr>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2"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5"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5"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2"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5"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5"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42"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5"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5"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5"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5"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95"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w:t>
            </w:r>
          </w:p>
        </w:tc>
        <w:tc>
          <w:tcPr>
            <w:tcW w:w="195" w:type="dxa"/>
            <w:tcBorders/>
            <w:shd w:fill="auto" w:val="clear"/>
            <w:vAlign w:val="bottom"/>
          </w:tcPr>
          <w:p>
            <w:pPr>
              <w:pStyle w:val="TableContents"/>
              <w:spacing w:before="0" w:after="0"/>
              <w:ind w:left="0" w:right="0" w:hanging="0"/>
              <w:rPr/>
            </w:pPr>
            <w:r>
              <w:rPr/>
              <w:t> </w:t>
            </w:r>
          </w:p>
        </w:tc>
        <w:tc>
          <w:tcPr>
            <w:tcW w:w="3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95"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 of linefill</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Loss on early redemption of senior notes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628</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(used in) operating activities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448</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 for linefill</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sale of assets and other</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Plains revolving credit facility</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PNG revolving credit facility</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short-term letter of credit and hedged inventory facility</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38" w:type="dxa"/>
            <w:tcBorders/>
            <w:shd w:fill="CCEEFF" w:val="clear"/>
            <w:vAlign w:val="bottom"/>
          </w:tcPr>
          <w:p>
            <w:pPr>
              <w:pStyle w:val="TableContents"/>
              <w:spacing w:before="0" w:after="0"/>
              <w:ind w:left="0" w:right="0" w:hanging="0"/>
              <w:rPr/>
            </w:pPr>
            <w:r>
              <w:rPr/>
              <w:t> </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senior notes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 of senior notes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(used in) financing activities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(397</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177" w:type="dxa"/>
            <w:tcBorders/>
            <w:shd w:fill="CCEEFF" w:val="clear"/>
            <w:vAlign w:val="bottom"/>
          </w:tcPr>
          <w:p>
            <w:pPr>
              <w:pStyle w:val="TableContents"/>
              <w:spacing w:before="0" w:after="0"/>
              <w:ind w:left="0" w:right="0" w:hanging="0"/>
              <w:rPr/>
            </w:pPr>
            <w:r>
              <w:rPr/>
              <w:t> </w:t>
            </w:r>
          </w:p>
        </w:tc>
        <w:tc>
          <w:tcPr>
            <w:tcW w:w="9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7" w:type="dxa"/>
            <w:tcBorders/>
            <w:shd w:fill="auto" w:val="clear"/>
            <w:vAlign w:val="bottom"/>
          </w:tcPr>
          <w:p>
            <w:pPr>
              <w:pStyle w:val="TableContents"/>
              <w:spacing w:before="0" w:after="0"/>
              <w:ind w:left="0" w:right="0" w:hanging="0"/>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5"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8" w:type="dxa"/>
            <w:tcBorders/>
            <w:shd w:fill="auto" w:val="clear"/>
            <w:vAlign w:val="bottom"/>
          </w:tcPr>
          <w:p>
            <w:pPr>
              <w:pStyle w:val="TableContents"/>
              <w:spacing w:before="0" w:after="0"/>
              <w:ind w:left="0" w:right="0" w:hanging="0"/>
              <w:rPr/>
            </w:pPr>
            <w:r>
              <w:rPr/>
              <w:t> </w:t>
            </w:r>
          </w:p>
        </w:tc>
      </w:tr>
      <w:tr>
        <w:trPr/>
        <w:tc>
          <w:tcPr>
            <w:tcW w:w="3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7"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5" w:type="dxa"/>
            <w:tcBorders/>
            <w:shd w:fill="CCEEFF" w:val="clear"/>
            <w:vAlign w:val="bottom"/>
          </w:tcPr>
          <w:p>
            <w:pPr>
              <w:pStyle w:val="TableContents"/>
              <w:spacing w:before="0" w:after="0"/>
              <w:ind w:left="0" w:right="0" w:hanging="0"/>
              <w:rPr/>
            </w:pPr>
            <w:r>
              <w:rPr/>
              <w:t> </w:t>
            </w:r>
          </w:p>
        </w:tc>
        <w:tc>
          <w:tcPr>
            <w:tcW w:w="3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CCEEFF" w:val="clear"/>
            <w:vAlign w:val="bottom"/>
          </w:tcPr>
          <w:p>
            <w:pPr>
              <w:pStyle w:val="TableContents"/>
              <w:spacing w:before="0" w:after="0"/>
              <w:ind w:left="0" w:right="0" w:hanging="0"/>
              <w:rPr/>
            </w:pPr>
            <w:r>
              <w:rPr/>
              <w:t> </w:t>
            </w:r>
          </w:p>
        </w:tc>
        <w:tc>
          <w:tcPr>
            <w:tcW w:w="2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2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4" w:name="PB_32_154738_7748"/>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75"/>
        <w:gridCol w:w="172"/>
        <w:gridCol w:w="157"/>
        <w:gridCol w:w="623"/>
        <w:gridCol w:w="190"/>
        <w:gridCol w:w="234"/>
        <w:gridCol w:w="953"/>
        <w:gridCol w:w="190"/>
        <w:gridCol w:w="338"/>
        <w:gridCol w:w="1121"/>
        <w:gridCol w:w="190"/>
        <w:gridCol w:w="219"/>
        <w:gridCol w:w="992"/>
        <w:gridCol w:w="190"/>
        <w:gridCol w:w="243"/>
        <w:gridCol w:w="982"/>
        <w:gridCol w:w="136"/>
      </w:tblGrid>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6622"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2009</w:t>
            </w:r>
          </w:p>
        </w:tc>
        <w:tc>
          <w:tcPr>
            <w:tcW w:w="136" w:type="dxa"/>
            <w:tcBorders/>
            <w:shd w:fill="auto" w:val="clear"/>
            <w:vAlign w:val="bottom"/>
          </w:tcPr>
          <w:p>
            <w:pPr>
              <w:pStyle w:val="TableContents"/>
              <w:spacing w:before="0" w:after="0"/>
              <w:ind w:left="0" w:right="0" w:hanging="0"/>
              <w:jc w:val="center"/>
              <w:rPr/>
            </w:pPr>
            <w:r>
              <w:rPr/>
              <w:t> </w:t>
            </w:r>
          </w:p>
        </w:tc>
      </w:tr>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780"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1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0" w:type="dxa"/>
            <w:tcBorders/>
            <w:shd w:fill="auto" w:val="clear"/>
            <w:vAlign w:val="bottom"/>
          </w:tcPr>
          <w:p>
            <w:pPr>
              <w:pStyle w:val="TableContents"/>
              <w:spacing w:before="0" w:after="0"/>
              <w:ind w:left="0" w:right="0" w:hanging="0"/>
              <w:jc w:val="center"/>
              <w:rPr/>
            </w:pPr>
            <w:r>
              <w:rPr/>
              <w:t> </w:t>
            </w:r>
          </w:p>
        </w:tc>
        <w:tc>
          <w:tcPr>
            <w:tcW w:w="14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0" w:type="dxa"/>
            <w:tcBorders/>
            <w:shd w:fill="auto" w:val="clear"/>
            <w:vAlign w:val="bottom"/>
          </w:tcPr>
          <w:p>
            <w:pPr>
              <w:pStyle w:val="TableContents"/>
              <w:spacing w:before="0" w:after="0"/>
              <w:ind w:left="0" w:right="0" w:hanging="0"/>
              <w:jc w:val="center"/>
              <w:rPr/>
            </w:pPr>
            <w:r>
              <w:rPr/>
              <w:t> </w:t>
            </w:r>
          </w:p>
        </w:tc>
        <w:tc>
          <w:tcPr>
            <w:tcW w:w="1211"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225"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780"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18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0" w:type="dxa"/>
            <w:tcBorders/>
            <w:shd w:fill="auto" w:val="clear"/>
            <w:vAlign w:val="bottom"/>
          </w:tcPr>
          <w:p>
            <w:pPr>
              <w:pStyle w:val="TableContents"/>
              <w:spacing w:before="0" w:after="0"/>
              <w:ind w:left="0" w:right="0" w:hanging="0"/>
              <w:jc w:val="center"/>
              <w:rPr/>
            </w:pPr>
            <w:r>
              <w:rPr/>
              <w:t> </w:t>
            </w:r>
          </w:p>
        </w:tc>
        <w:tc>
          <w:tcPr>
            <w:tcW w:w="14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0" w:type="dxa"/>
            <w:tcBorders/>
            <w:shd w:fill="auto" w:val="clear"/>
            <w:vAlign w:val="bottom"/>
          </w:tcPr>
          <w:p>
            <w:pPr>
              <w:pStyle w:val="TableContents"/>
              <w:spacing w:before="0" w:after="0"/>
              <w:ind w:left="0" w:right="0" w:hanging="0"/>
              <w:jc w:val="center"/>
              <w:rPr/>
            </w:pPr>
            <w:r>
              <w:rPr/>
              <w:t> </w:t>
            </w:r>
          </w:p>
        </w:tc>
        <w:tc>
          <w:tcPr>
            <w:tcW w:w="1211" w:type="dxa"/>
            <w:gridSpan w:val="2"/>
            <w:tcBorders/>
            <w:shd w:fill="auto" w:val="clear"/>
            <w:vAlign w:val="bottom"/>
          </w:tcPr>
          <w:p>
            <w:pPr>
              <w:pStyle w:val="TableContents"/>
              <w:spacing w:before="0" w:after="0"/>
              <w:ind w:left="0" w:right="0" w:hanging="0"/>
              <w:jc w:val="center"/>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225" w:type="dxa"/>
            <w:gridSpan w:val="2"/>
            <w:tcBorders/>
            <w:shd w:fill="auto" w:val="cle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0" w:type="dxa"/>
            <w:tcBorders/>
            <w:shd w:fill="auto" w:val="clear"/>
            <w:vAlign w:val="bottom"/>
          </w:tcPr>
          <w:p>
            <w:pPr>
              <w:pStyle w:val="TableContents"/>
              <w:spacing w:before="0" w:after="0"/>
              <w:ind w:left="0" w:right="0" w:hanging="0"/>
              <w:jc w:val="center"/>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0" w:type="dxa"/>
            <w:tcBorders/>
            <w:shd w:fill="auto" w:val="clear"/>
            <w:vAlign w:val="bottom"/>
          </w:tcPr>
          <w:p>
            <w:pPr>
              <w:pStyle w:val="TableContents"/>
              <w:spacing w:before="0" w:after="0"/>
              <w:ind w:left="0" w:right="0" w:hanging="0"/>
              <w:jc w:val="center"/>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0" w:type="dxa"/>
            <w:tcBorders/>
            <w:shd w:fill="auto" w:val="clear"/>
            <w:vAlign w:val="bottom"/>
          </w:tcPr>
          <w:p>
            <w:pPr>
              <w:pStyle w:val="TableContents"/>
              <w:spacing w:before="0" w:after="0"/>
              <w:ind w:left="0" w:right="0" w:hanging="0"/>
              <w:jc w:val="center"/>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0" w:type="dxa"/>
            <w:tcBorders/>
            <w:shd w:fill="auto" w:val="cle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6" w:type="dxa"/>
            <w:tcBorders/>
            <w:shd w:fill="auto" w:val="clear"/>
            <w:vAlign w:val="bottom"/>
          </w:tcPr>
          <w:p>
            <w:pPr>
              <w:pStyle w:val="TableContents"/>
              <w:spacing w:before="0" w:after="0"/>
              <w:ind w:left="0" w:right="0" w:hanging="0"/>
              <w:jc w:val="center"/>
              <w:rPr/>
            </w:pPr>
            <w:r>
              <w:rPr/>
              <w:t> </w:t>
            </w:r>
          </w:p>
        </w:tc>
      </w:tr>
      <w:tr>
        <w:trPr/>
        <w:tc>
          <w:tcPr>
            <w:tcW w:w="327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90" w:type="dxa"/>
            <w:tcBorders/>
            <w:shd w:fill="auto" w:val="clear"/>
            <w:vAlign w:val="bottom"/>
          </w:tcPr>
          <w:p>
            <w:pPr>
              <w:pStyle w:val="TableContents"/>
              <w:spacing w:before="0" w:after="0"/>
              <w:ind w:left="0" w:right="0" w:hanging="0"/>
              <w:rPr/>
            </w:pPr>
            <w:r>
              <w:rPr/>
              <w:t> </w:t>
            </w:r>
          </w:p>
        </w:tc>
        <w:tc>
          <w:tcPr>
            <w:tcW w:w="2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190" w:type="dxa"/>
            <w:tcBorders/>
            <w:shd w:fill="auto" w:val="clear"/>
            <w:vAlign w:val="bottom"/>
          </w:tcPr>
          <w:p>
            <w:pPr>
              <w:pStyle w:val="TableContents"/>
              <w:spacing w:before="0" w:after="0"/>
              <w:ind w:left="0" w:right="0" w:hanging="0"/>
              <w:rPr/>
            </w:pPr>
            <w:r>
              <w:rPr/>
              <w:t> </w:t>
            </w:r>
          </w:p>
        </w:tc>
        <w:tc>
          <w:tcPr>
            <w:tcW w:w="3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0"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(826</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(992</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1,279</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the sale of assets and other</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repayments on Plains revolving credit facility</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borrowings on short-term letter of credit and hedged inventory facility</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Repayment of PNGS debt</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senior notes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financing activities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996</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(898</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75"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172" w:type="dxa"/>
            <w:tcBorders/>
            <w:shd w:fill="CCEEFF" w:val="clear"/>
            <w:vAlign w:val="bottom"/>
          </w:tcPr>
          <w:p>
            <w:pPr>
              <w:pStyle w:val="TableContents"/>
              <w:spacing w:before="0" w:after="0"/>
              <w:ind w:left="0" w:right="0" w:hanging="0"/>
              <w:rPr/>
            </w:pPr>
            <w:r>
              <w:rPr/>
              <w:t> </w:t>
            </w:r>
          </w:p>
        </w:tc>
        <w:tc>
          <w:tcPr>
            <w:tcW w:w="7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6" w:type="dxa"/>
            <w:tcBorders/>
            <w:shd w:fill="CCEEFF" w:val="clear"/>
            <w:vAlign w:val="bottom"/>
          </w:tcPr>
          <w:p>
            <w:pPr>
              <w:pStyle w:val="TableContents"/>
              <w:spacing w:before="0" w:after="0"/>
              <w:ind w:left="0" w:right="0" w:hanging="0"/>
              <w:rPr/>
            </w:pPr>
            <w:r>
              <w:rPr/>
              <w:t> </w:t>
            </w:r>
          </w:p>
        </w:tc>
      </w:tr>
      <w:tr>
        <w:trPr/>
        <w:tc>
          <w:tcPr>
            <w:tcW w:w="32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2" w:type="dxa"/>
            <w:tcBorders/>
            <w:shd w:fill="auto" w:val="clear"/>
            <w:vAlign w:val="bottom"/>
          </w:tcPr>
          <w:p>
            <w:pPr>
              <w:pStyle w:val="TableContents"/>
              <w:spacing w:before="0" w:after="0"/>
              <w:ind w:left="0" w:right="0" w:hanging="0"/>
              <w:rPr/>
            </w:pPr>
            <w:r>
              <w:rPr/>
              <w:t> </w:t>
            </w:r>
          </w:p>
        </w:tc>
        <w:tc>
          <w:tcPr>
            <w:tcW w:w="7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0" w:type="dxa"/>
            <w:tcBorders/>
            <w:shd w:fill="auto" w:val="clear"/>
            <w:vAlign w:val="bottom"/>
          </w:tcPr>
          <w:p>
            <w:pPr>
              <w:pStyle w:val="TableContents"/>
              <w:spacing w:before="0" w:after="0"/>
              <w:ind w:left="0" w:right="0" w:hanging="0"/>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6" w:type="dxa"/>
            <w:tcBorders/>
            <w:shd w:fill="auto" w:val="clear"/>
            <w:vAlign w:val="bottom"/>
          </w:tcPr>
          <w:p>
            <w:pPr>
              <w:pStyle w:val="TableContents"/>
              <w:spacing w:before="0" w:after="0"/>
              <w:ind w:left="0" w:right="0" w:hanging="0"/>
              <w:rPr/>
            </w:pPr>
            <w:r>
              <w:rPr/>
              <w:t> </w:t>
            </w:r>
          </w:p>
        </w:tc>
      </w:tr>
      <w:tr>
        <w:trPr/>
        <w:tc>
          <w:tcPr>
            <w:tcW w:w="327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2"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pPr>
            <w:r>
              <w:rPr/>
              <w:t> </w:t>
            </w:r>
          </w:p>
        </w:tc>
        <w:tc>
          <w:tcPr>
            <w:tcW w:w="2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0" w:type="dxa"/>
            <w:tcBorders/>
            <w:shd w:fill="CCEEFF" w:val="clear"/>
            <w:vAlign w:val="bottom"/>
          </w:tcPr>
          <w:p>
            <w:pPr>
              <w:pStyle w:val="TableContents"/>
              <w:spacing w:before="0" w:after="0"/>
              <w:ind w:left="0" w:right="0" w:hanging="0"/>
              <w:rPr/>
            </w:pPr>
            <w:r>
              <w:rPr/>
              <w:t> </w:t>
            </w:r>
          </w:p>
        </w:tc>
        <w:tc>
          <w:tcPr>
            <w:tcW w:w="3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0" w:type="dxa"/>
            <w:tcBorders/>
            <w:shd w:fill="CCEEFF" w:val="clear"/>
            <w:vAlign w:val="bottom"/>
          </w:tcPr>
          <w:p>
            <w:pPr>
              <w:pStyle w:val="TableContents"/>
              <w:spacing w:before="0" w:after="0"/>
              <w:ind w:left="0" w:right="0" w:hanging="0"/>
              <w:rPr/>
            </w:pPr>
            <w:r>
              <w:rPr/>
              <w:t> </w:t>
            </w:r>
          </w:p>
        </w:tc>
        <w:tc>
          <w:tcPr>
            <w:tcW w:w="2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2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5" w:name="PB_33_154738_141"/>
      <w:bookmarkEnd w:id="55"/>
    </w:p>
    <w:p>
      <w:pPr>
        <w:pStyle w:val="HorizontalLine"/>
        <w:pBdr>
          <w:bottom w:val="single" w:sz="18" w:space="0" w:color="010101"/>
        </w:pBdr>
        <w:spacing w:before="0" w:after="0"/>
        <w:rPr/>
      </w:pPr>
      <w:r>
        <w:rPr/>
      </w:r>
    </w:p>
    <w:p>
      <w:pPr>
        <w:pStyle w:val="TextBody"/>
        <w:spacing w:before="0" w:after="0"/>
        <w:ind w:left="0" w:right="0" w:hanging="0"/>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i/>
          <w:sz w:val="17"/>
        </w:rPr>
        <w:t>Managements Discussion and Analysis of Financial Condition and Results of Operations</w:t>
      </w:r>
      <w:bookmarkStart w:id="56" w:name="Item2_ManagementsDiscussionAndAna_124646"/>
      <w:bookmarkEnd w:id="5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58" w:right="58"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2009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provide transportation, storage, terminalling, supply and logistics services with respect to crude oil, refined products and LPG. We are also engaged in the development and operation of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herein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maintenance capital and investments in unconsolidated entities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7"/>
        <w:gridCol w:w="215"/>
        <w:gridCol w:w="158"/>
        <w:gridCol w:w="1124"/>
        <w:gridCol w:w="225"/>
        <w:gridCol w:w="158"/>
        <w:gridCol w:w="1124"/>
        <w:gridCol w:w="124"/>
      </w:tblGrid>
      <w:tr>
        <w:trPr/>
        <w:tc>
          <w:tcPr>
            <w:tcW w:w="70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7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24" w:type="dxa"/>
            <w:tcBorders/>
            <w:shd w:fill="auto" w:val="clear"/>
            <w:vAlign w:val="bottom"/>
          </w:tcPr>
          <w:p>
            <w:pPr>
              <w:pStyle w:val="TableContents"/>
              <w:spacing w:before="0" w:after="0"/>
              <w:ind w:left="0" w:right="0" w:hanging="0"/>
              <w:jc w:val="center"/>
              <w:rPr/>
            </w:pPr>
            <w:r>
              <w:rPr/>
              <w:t> </w:t>
            </w:r>
          </w:p>
        </w:tc>
      </w:tr>
      <w:tr>
        <w:trPr/>
        <w:tc>
          <w:tcPr>
            <w:tcW w:w="70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7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4" w:type="dxa"/>
            <w:tcBorders/>
            <w:shd w:fill="auto" w:val="clear"/>
            <w:vAlign w:val="bottom"/>
          </w:tcPr>
          <w:p>
            <w:pPr>
              <w:pStyle w:val="TableContents"/>
              <w:spacing w:before="0" w:after="0"/>
              <w:ind w:left="0" w:right="0" w:hanging="0"/>
              <w:jc w:val="center"/>
              <w:rPr/>
            </w:pPr>
            <w:r>
              <w:rPr/>
              <w:t> </w:t>
            </w:r>
          </w:p>
        </w:tc>
      </w:tr>
      <w:tr>
        <w:trPr/>
        <w:tc>
          <w:tcPr>
            <w:tcW w:w="70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5" w:type="dxa"/>
            <w:tcBorders/>
            <w:shd w:fill="auto" w:val="clear"/>
            <w:vAlign w:val="bottom"/>
          </w:tcPr>
          <w:p>
            <w:pPr>
              <w:pStyle w:val="TableContents"/>
              <w:spacing w:before="0" w:after="0"/>
              <w:ind w:left="0" w:right="0" w:hanging="0"/>
              <w:jc w:val="center"/>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24" w:type="dxa"/>
            <w:tcBorders/>
            <w:shd w:fill="auto" w:val="clear"/>
            <w:vAlign w:val="bottom"/>
          </w:tcPr>
          <w:p>
            <w:pPr>
              <w:pStyle w:val="TableContents"/>
              <w:spacing w:before="0" w:after="0"/>
              <w:ind w:left="0" w:right="0" w:hanging="0"/>
              <w:jc w:val="center"/>
              <w:rPr/>
            </w:pPr>
            <w:r>
              <w:rPr/>
              <w:t> </w:t>
            </w:r>
          </w:p>
        </w:tc>
      </w:tr>
      <w:tr>
        <w:trPr/>
        <w:tc>
          <w:tcPr>
            <w:tcW w:w="7077" w:type="dxa"/>
            <w:tcBorders/>
            <w:shd w:fill="CCEEFF" w:val="clear"/>
          </w:tcPr>
          <w:p>
            <w:pPr>
              <w:pStyle w:val="TableContents"/>
              <w:spacing w:before="0" w:after="0"/>
              <w:ind w:left="0" w:right="0" w:hanging="0"/>
              <w:rPr/>
            </w:pPr>
            <w:r>
              <w:rPr>
                <w:rFonts w:ascii="Times New Roman" w:hAnsi="Times New Roman"/>
                <w:sz w:val="17"/>
              </w:rPr>
              <w:t xml:space="preserve">Acquisition capital </w:t>
            </w:r>
            <w:r>
              <w:rPr>
                <w:sz w:val="11"/>
              </w:rPr>
              <w:t>(1)</w:t>
            </w:r>
          </w:p>
        </w:tc>
        <w:tc>
          <w:tcPr>
            <w:tcW w:w="215"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25" w:type="dxa"/>
            <w:tcBorders/>
            <w:shd w:fill="CCEEFF" w:val="clear"/>
            <w:vAlign w:val="bottom"/>
          </w:tcPr>
          <w:p>
            <w:pPr>
              <w:pStyle w:val="TableContents"/>
              <w:spacing w:before="0" w:after="0"/>
              <w:ind w:left="0" w:right="0" w:hanging="0"/>
              <w:rPr/>
            </w:pPr>
            <w:r>
              <w:rPr/>
              <w:t> </w:t>
            </w:r>
          </w:p>
        </w:tc>
        <w:tc>
          <w:tcPr>
            <w:tcW w:w="15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24" w:type="dxa"/>
            <w:tcBorders/>
            <w:shd w:fill="CCEEFF" w:val="clear"/>
            <w:vAlign w:val="bottom"/>
          </w:tcPr>
          <w:p>
            <w:pPr>
              <w:pStyle w:val="TableContents"/>
              <w:spacing w:before="0" w:after="0"/>
              <w:ind w:left="0" w:right="0" w:hanging="0"/>
              <w:rPr/>
            </w:pPr>
            <w:r>
              <w:rPr/>
              <w:t> </w:t>
            </w:r>
          </w:p>
        </w:tc>
      </w:tr>
      <w:tr>
        <w:trPr/>
        <w:tc>
          <w:tcPr>
            <w:tcW w:w="7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5" w:type="dxa"/>
            <w:tcBorders/>
            <w:shd w:fill="auto" w:val="clear"/>
            <w:vAlign w:val="bottom"/>
          </w:tcPr>
          <w:p>
            <w:pPr>
              <w:pStyle w:val="TableContents"/>
              <w:spacing w:before="0" w:after="0"/>
              <w:ind w:left="0" w:right="0" w:hanging="0"/>
              <w:rPr/>
            </w:pPr>
            <w:r>
              <w:rPr/>
              <w:t> </w:t>
            </w:r>
          </w:p>
        </w:tc>
        <w:tc>
          <w:tcPr>
            <w:tcW w:w="12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5" w:type="dxa"/>
            <w:tcBorders/>
            <w:shd w:fill="auto" w:val="clear"/>
            <w:vAlign w:val="bottom"/>
          </w:tcPr>
          <w:p>
            <w:pPr>
              <w:pStyle w:val="TableContents"/>
              <w:spacing w:before="0" w:after="0"/>
              <w:ind w:left="0" w:right="0" w:hanging="0"/>
              <w:rPr/>
            </w:pPr>
            <w:r>
              <w:rPr/>
              <w:t> </w:t>
            </w:r>
          </w:p>
        </w:tc>
        <w:tc>
          <w:tcPr>
            <w:tcW w:w="12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24" w:type="dxa"/>
            <w:tcBorders/>
            <w:shd w:fill="auto" w:val="clear"/>
            <w:vAlign w:val="bottom"/>
          </w:tcPr>
          <w:p>
            <w:pPr>
              <w:pStyle w:val="TableContents"/>
              <w:spacing w:before="0" w:after="0"/>
              <w:ind w:left="0" w:right="0" w:hanging="0"/>
              <w:rPr/>
            </w:pPr>
            <w:r>
              <w:rPr/>
              <w:t> </w:t>
            </w:r>
          </w:p>
        </w:tc>
      </w:tr>
      <w:tr>
        <w:trPr/>
        <w:tc>
          <w:tcPr>
            <w:tcW w:w="7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5" w:type="dxa"/>
            <w:tcBorders/>
            <w:shd w:fill="CCEEFF" w:val="clear"/>
            <w:vAlign w:val="bottom"/>
          </w:tcPr>
          <w:p>
            <w:pPr>
              <w:pStyle w:val="TableContents"/>
              <w:spacing w:before="0" w:after="0"/>
              <w:ind w:left="0" w:right="0" w:hanging="0"/>
              <w:rPr/>
            </w:pPr>
            <w:r>
              <w:rPr/>
              <w:t> </w:t>
            </w:r>
          </w:p>
        </w:tc>
        <w:tc>
          <w:tcPr>
            <w:tcW w:w="12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24" w:type="dxa"/>
            <w:tcBorders/>
            <w:shd w:fill="CCEEFF" w:val="clear"/>
            <w:vAlign w:val="bottom"/>
          </w:tcPr>
          <w:p>
            <w:pPr>
              <w:pStyle w:val="TableContents"/>
              <w:spacing w:before="0" w:after="0"/>
              <w:ind w:left="0" w:right="0" w:hanging="0"/>
              <w:rPr/>
            </w:pPr>
            <w:r>
              <w:rPr/>
              <w:t> </w:t>
            </w:r>
          </w:p>
        </w:tc>
      </w:tr>
      <w:tr>
        <w:trPr/>
        <w:tc>
          <w:tcPr>
            <w:tcW w:w="7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5" w:type="dxa"/>
            <w:tcBorders/>
            <w:shd w:fill="auto" w:val="clear"/>
            <w:vAlign w:val="bottom"/>
          </w:tcPr>
          <w:p>
            <w:pPr>
              <w:pStyle w:val="TableContents"/>
              <w:spacing w:before="0" w:after="0"/>
              <w:ind w:left="0" w:right="0" w:hanging="0"/>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4" w:type="dxa"/>
            <w:tcBorders/>
            <w:shd w:fill="auto" w:val="clear"/>
            <w:vAlign w:val="bottom"/>
          </w:tcPr>
          <w:p>
            <w:pPr>
              <w:pStyle w:val="TableContents"/>
              <w:spacing w:before="0" w:after="0"/>
              <w:ind w:left="0" w:right="0" w:hanging="0"/>
              <w:rPr/>
            </w:pPr>
            <w:r>
              <w:rPr/>
              <w:t> </w:t>
            </w:r>
          </w:p>
        </w:tc>
      </w:tr>
      <w:tr>
        <w:trPr/>
        <w:tc>
          <w:tcPr>
            <w:tcW w:w="7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5"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225"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1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2010 acquisition capital primarily includes the acquisition of (i) a 34% interest in White Cliffs Pipeline L.L.C. and (ii) an additional 11% interest in Capline pipeline.  These acquisitions are reflected within our 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internal growth projects primarily relate to the construction and expansion of pipeline systems, crude oil storage and terminal facilities and natural gas storage facilities. The following table summarizes our more notable projects in progress during 2010 and the forecasted expenditures for the remainder of the year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17"/>
        <w:gridCol w:w="209"/>
        <w:gridCol w:w="110"/>
        <w:gridCol w:w="1059"/>
        <w:gridCol w:w="110"/>
      </w:tblGrid>
      <w:tr>
        <w:trPr/>
        <w:tc>
          <w:tcPr>
            <w:tcW w:w="871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0" w:type="dxa"/>
            <w:tcBorders/>
            <w:shd w:fill="auto" w:val="clear"/>
            <w:tcMar>
              <w:bottom w:w="0" w:type="dxa"/>
            </w:tcMar>
            <w:vAlign w:val="bottom"/>
          </w:tcPr>
          <w:p>
            <w:pPr>
              <w:pStyle w:val="TableContents"/>
              <w:spacing w:before="0" w:after="0"/>
              <w:ind w:left="0" w:right="0" w:hanging="0"/>
              <w:jc w:val="center"/>
              <w:rPr/>
            </w:pPr>
            <w:r>
              <w:rPr/>
              <w:t> </w:t>
            </w:r>
          </w:p>
        </w:tc>
      </w:tr>
      <w:tr>
        <w:trPr/>
        <w:tc>
          <w:tcPr>
            <w:tcW w:w="871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1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Cushing - Phases VII - XI</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1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 Phase III</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1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Patoka Phase III</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1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West Texas gathering lines</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1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Edmonton land purchase</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1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Wichita Falls tanks</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17"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(1)</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17" w:type="dxa"/>
            <w:tcBorders/>
            <w:shd w:fill="CCEEFF" w:val="clear"/>
            <w:tcMar>
              <w:bottom w:w="0" w:type="dxa"/>
            </w:tcMar>
            <w:vAlign w:val="bottom"/>
          </w:tcPr>
          <w:p>
            <w:pPr>
              <w:pStyle w:val="TableContents"/>
              <w:spacing w:before="0" w:after="0"/>
              <w:ind w:left="0" w:right="0" w:hanging="0"/>
              <w:rPr/>
            </w:pPr>
            <w:r>
              <w:rPr/>
              <w:t> </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6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1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vAlign w:val="bottom"/>
          </w:tcPr>
          <w:p>
            <w:pPr>
              <w:pStyle w:val="TableContents"/>
              <w:spacing w:before="0" w:after="0"/>
              <w:ind w:left="0" w:right="0" w:hanging="0"/>
              <w:jc w:val="right"/>
              <w:rPr/>
            </w:pPr>
            <w:r>
              <w:rPr>
                <w:rFonts w:ascii="Times New Roman" w:hAnsi="Times New Roman"/>
                <w:sz w:val="17"/>
              </w:rPr>
              <w:t xml:space="preserve">85 - </w:t>
            </w:r>
            <w:r>
              <w:rPr/>
              <w:t xml:space="preserve">   </w:t>
            </w:r>
            <w:r>
              <w:rPr>
                <w:sz w:val="17"/>
              </w:rPr>
              <w:t>90</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1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Capital Expenditures (excluding acquisitions)</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465 - 470</w:t>
            </w:r>
          </w:p>
        </w:tc>
        <w:tc>
          <w:tcPr>
            <w:tcW w:w="110"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pipeline connections, upgrades and truck stations, new tank construction and refurbishing, and carry-over of projects started in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manage our operations through three operating segments: (i) Transportation, (ii) Facilities and (iii) Supply and Logistics. In order to evaluate segment performance, management focuses on a variety of measures including segment profit, segment volumes, segment profit per barrel and maintenance capital. See Note 15 to our Consolidated Financial Statements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57" w:name="PB_34_154918_8146"/>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Part IV of our 2009 Annual Report on Form 10-K for further discussion on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our segment profit, net income attributable to Plains and applicable earnings per limited partner unit for the three and nine months ended September 30, 2010 and 2009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64"/>
        <w:gridCol w:w="531"/>
        <w:gridCol w:w="138"/>
        <w:gridCol w:w="562"/>
        <w:gridCol w:w="191"/>
        <w:gridCol w:w="138"/>
        <w:gridCol w:w="563"/>
        <w:gridCol w:w="182"/>
        <w:gridCol w:w="124"/>
        <w:gridCol w:w="550"/>
        <w:gridCol w:w="182"/>
        <w:gridCol w:w="528"/>
        <w:gridCol w:w="290"/>
        <w:gridCol w:w="100"/>
        <w:gridCol w:w="138"/>
        <w:gridCol w:w="562"/>
        <w:gridCol w:w="191"/>
        <w:gridCol w:w="138"/>
        <w:gridCol w:w="562"/>
        <w:gridCol w:w="182"/>
        <w:gridCol w:w="124"/>
        <w:gridCol w:w="550"/>
        <w:gridCol w:w="182"/>
        <w:gridCol w:w="600"/>
        <w:gridCol w:w="233"/>
      </w:tblGrid>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701"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8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90"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45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3"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701"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8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90"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700"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45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3"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jc w:val="center"/>
              <w:rPr/>
            </w:pPr>
            <w:r>
              <w:rPr/>
              <w:t> </w:t>
            </w:r>
          </w:p>
        </w:tc>
        <w:tc>
          <w:tcPr>
            <w:tcW w:w="15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2" w:type="dxa"/>
            <w:tcBorders/>
            <w:shd w:fill="auto" w:val="clear"/>
            <w:vAlign w:val="bottom"/>
          </w:tcPr>
          <w:p>
            <w:pPr>
              <w:pStyle w:val="TableContents"/>
              <w:spacing w:before="0" w:after="0"/>
              <w:ind w:left="0" w:right="0" w:hanging="0"/>
              <w:jc w:val="center"/>
              <w:rPr/>
            </w:pPr>
            <w:r>
              <w:rPr/>
              <w:t> </w:t>
            </w:r>
          </w:p>
        </w:tc>
        <w:tc>
          <w:tcPr>
            <w:tcW w:w="138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90"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159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2" w:type="dxa"/>
            <w:tcBorders/>
            <w:shd w:fill="auto" w:val="clear"/>
            <w:vAlign w:val="bottom"/>
          </w:tcPr>
          <w:p>
            <w:pPr>
              <w:pStyle w:val="TableContents"/>
              <w:spacing w:before="0" w:after="0"/>
              <w:ind w:left="0" w:right="0" w:hanging="0"/>
              <w:jc w:val="center"/>
              <w:rPr/>
            </w:pPr>
            <w:r>
              <w:rPr/>
              <w:t> </w:t>
            </w:r>
          </w:p>
        </w:tc>
        <w:tc>
          <w:tcPr>
            <w:tcW w:w="145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3"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jc w:val="center"/>
              <w:rPr/>
            </w:pPr>
            <w:r>
              <w:rPr/>
              <w:t> </w:t>
            </w:r>
          </w:p>
        </w:tc>
        <w:tc>
          <w:tcPr>
            <w:tcW w:w="15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2" w:type="dxa"/>
            <w:tcBorders/>
            <w:shd w:fill="auto" w:val="clear"/>
            <w:vAlign w:val="bottom"/>
          </w:tcPr>
          <w:p>
            <w:pPr>
              <w:pStyle w:val="TableContents"/>
              <w:spacing w:before="0" w:after="0"/>
              <w:ind w:left="0" w:right="0" w:hanging="0"/>
              <w:jc w:val="center"/>
              <w:rPr/>
            </w:pPr>
            <w:r>
              <w:rPr/>
              <w:t> </w:t>
            </w:r>
          </w:p>
        </w:tc>
        <w:tc>
          <w:tcPr>
            <w:tcW w:w="138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90"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159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2" w:type="dxa"/>
            <w:tcBorders/>
            <w:shd w:fill="auto" w:val="clear"/>
            <w:vAlign w:val="bottom"/>
          </w:tcPr>
          <w:p>
            <w:pPr>
              <w:pStyle w:val="TableContents"/>
              <w:spacing w:before="0" w:after="0"/>
              <w:ind w:left="0" w:right="0" w:hanging="0"/>
              <w:jc w:val="center"/>
              <w:rPr/>
            </w:pPr>
            <w:r>
              <w:rPr/>
              <w:t> </w:t>
            </w:r>
          </w:p>
        </w:tc>
        <w:tc>
          <w:tcPr>
            <w:tcW w:w="145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3" w:type="dxa"/>
            <w:tcBorders/>
            <w:shd w:fill="auto" w:val="clear"/>
            <w:vAlign w:val="bottom"/>
          </w:tcPr>
          <w:p>
            <w:pPr>
              <w:pStyle w:val="TableContents"/>
              <w:spacing w:before="0" w:after="0"/>
              <w:ind w:left="0" w:right="0" w:hanging="0"/>
              <w:jc w:val="center"/>
              <w:rPr/>
            </w:pPr>
            <w:r>
              <w:rPr/>
              <w:t> </w:t>
            </w:r>
          </w:p>
        </w:tc>
      </w:tr>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jc w:val="center"/>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82" w:type="dxa"/>
            <w:tcBorders/>
            <w:shd w:fill="auto" w:val="clear"/>
            <w:vAlign w:val="bottom"/>
          </w:tcPr>
          <w:p>
            <w:pPr>
              <w:pStyle w:val="TableContents"/>
              <w:spacing w:before="0" w:after="0"/>
              <w:ind w:left="0" w:right="0" w:hanging="0"/>
              <w:jc w:val="center"/>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90"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82" w:type="dxa"/>
            <w:tcBorders/>
            <w:shd w:fill="auto" w:val="clear"/>
            <w:vAlign w:val="bottom"/>
          </w:tcPr>
          <w:p>
            <w:pPr>
              <w:pStyle w:val="TableContents"/>
              <w:spacing w:before="0" w:after="0"/>
              <w:ind w:left="0" w:right="0" w:hanging="0"/>
              <w:jc w:val="center"/>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2" w:type="dxa"/>
            <w:tcBorders/>
            <w:shd w:fill="auto" w:val="clear"/>
            <w:vAlign w:val="bottom"/>
          </w:tcPr>
          <w:p>
            <w:pPr>
              <w:pStyle w:val="TableContents"/>
              <w:spacing w:before="0" w:after="0"/>
              <w:ind w:left="0" w:right="0" w:hanging="0"/>
              <w:jc w:val="center"/>
              <w:rPr/>
            </w:pPr>
            <w:r>
              <w:rPr/>
              <w:t> </w:t>
            </w:r>
          </w:p>
        </w:tc>
        <w:tc>
          <w:tcPr>
            <w:tcW w:w="60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3" w:type="dxa"/>
            <w:tcBorders/>
            <w:shd w:fill="auto" w:val="clear"/>
            <w:vAlign w:val="bottom"/>
          </w:tcPr>
          <w:p>
            <w:pPr>
              <w:pStyle w:val="TableContents"/>
              <w:spacing w:before="0" w:after="0"/>
              <w:ind w:left="0" w:right="0" w:hanging="0"/>
              <w:jc w:val="center"/>
              <w:rPr/>
            </w:pPr>
            <w:r>
              <w:rPr/>
              <w:t> </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profit</w:t>
            </w:r>
          </w:p>
        </w:tc>
        <w:tc>
          <w:tcPr>
            <w:tcW w:w="53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82"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2" w:type="dxa"/>
            <w:tcBorders/>
            <w:shd w:fill="CCEEFF" w:val="clear"/>
            <w:vAlign w:val="bottom"/>
          </w:tcPr>
          <w:p>
            <w:pPr>
              <w:pStyle w:val="TableContents"/>
              <w:spacing w:before="0" w:after="0"/>
              <w:ind w:left="0" w:right="0" w:hanging="0"/>
              <w:rPr/>
            </w:pPr>
            <w:r>
              <w:rPr/>
              <w:t> </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9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82"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2" w:type="dxa"/>
            <w:tcBorders/>
            <w:shd w:fill="CCEEFF" w:val="clear"/>
            <w:vAlign w:val="bottom"/>
          </w:tcPr>
          <w:p>
            <w:pPr>
              <w:pStyle w:val="TableContents"/>
              <w:spacing w:before="0" w:after="0"/>
              <w:ind w:left="0" w:right="0" w:hanging="0"/>
              <w:rPr/>
            </w:pPr>
            <w:r>
              <w:rPr/>
              <w:t> </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profit</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1"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2" w:type="dxa"/>
            <w:tcBorders/>
            <w:shd w:fill="auto" w:val="clear"/>
            <w:vAlign w:val="bottom"/>
          </w:tcPr>
          <w:p>
            <w:pPr>
              <w:pStyle w:val="TableContents"/>
              <w:spacing w:before="0" w:after="0"/>
              <w:ind w:left="0" w:right="0" w:hanging="0"/>
              <w:rPr/>
            </w:pPr>
            <w:r>
              <w:rPr/>
              <w:t> </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9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82" w:type="dxa"/>
            <w:tcBorders/>
            <w:shd w:fill="auto" w:val="clear"/>
            <w:vAlign w:val="bottom"/>
          </w:tcPr>
          <w:p>
            <w:pPr>
              <w:pStyle w:val="TableContents"/>
              <w:spacing w:before="0" w:after="0"/>
              <w:ind w:left="0" w:right="0" w:hanging="0"/>
              <w:rPr/>
            </w:pPr>
            <w:r>
              <w:rPr/>
              <w:t> </w:t>
            </w:r>
          </w:p>
        </w:tc>
        <w:tc>
          <w:tcPr>
            <w:tcW w:w="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profit</w:t>
            </w:r>
          </w:p>
        </w:tc>
        <w:tc>
          <w:tcPr>
            <w:tcW w:w="531" w:type="dxa"/>
            <w:tcBorders/>
            <w:shd w:fill="CCEEFF"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CCEEFF" w:val="clear"/>
            <w:vAlign w:val="bottom"/>
          </w:tcPr>
          <w:p>
            <w:pPr>
              <w:pStyle w:val="TableContents"/>
              <w:spacing w:before="0" w:after="0"/>
              <w:ind w:left="0" w:right="0" w:hanging="0"/>
              <w:rPr/>
            </w:pPr>
            <w:r>
              <w:rPr/>
              <w:t> </w:t>
            </w:r>
          </w:p>
        </w:tc>
        <w:tc>
          <w:tcPr>
            <w:tcW w:w="7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1" w:type="dxa"/>
            <w:tcBorders/>
            <w:shd w:fill="CCEEFF"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segment profit</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91"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19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792</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53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53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tax benefit/(expense)</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1" w:type="dxa"/>
            <w:tcBorders/>
            <w:shd w:fill="auto" w:val="clear"/>
            <w:vAlign w:val="bottom"/>
          </w:tcPr>
          <w:p>
            <w:pPr>
              <w:pStyle w:val="TableContents"/>
              <w:spacing w:before="0" w:after="0"/>
              <w:ind w:left="0" w:right="0" w:hanging="0"/>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auto" w:val="clear"/>
            <w:vAlign w:val="bottom"/>
          </w:tcPr>
          <w:p>
            <w:pPr>
              <w:pStyle w:val="TableContents"/>
              <w:spacing w:before="0" w:after="0"/>
              <w:ind w:left="0" w:right="0" w:hanging="0"/>
              <w:rPr/>
            </w:pPr>
            <w:r>
              <w:rPr/>
              <w:t> </w:t>
            </w:r>
          </w:p>
        </w:tc>
        <w:tc>
          <w:tcPr>
            <w:tcW w:w="5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1" w:type="dxa"/>
            <w:tcBorders/>
            <w:shd w:fill="auto"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pPr>
            <w:r>
              <w:rPr/>
              <w:t> </w:t>
            </w:r>
          </w:p>
        </w:tc>
        <w:tc>
          <w:tcPr>
            <w:tcW w:w="60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53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1"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19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531"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1"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2"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w:t>
            </w:r>
          </w:p>
        </w:tc>
        <w:tc>
          <w:tcPr>
            <w:tcW w:w="191"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82"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vAlign w:val="bottom"/>
          </w:tcPr>
          <w:p>
            <w:pPr>
              <w:pStyle w:val="TableContents"/>
              <w:spacing w:before="0" w:after="0"/>
              <w:ind w:left="0" w:right="0" w:hanging="0"/>
              <w:rPr/>
            </w:pPr>
            <w:r>
              <w:rPr/>
              <w:t> </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528" w:type="dxa"/>
            <w:tcBorders/>
            <w:shd w:fill="auto" w:val="clear"/>
            <w:vAlign w:val="bottom"/>
          </w:tcPr>
          <w:p>
            <w:pPr>
              <w:pStyle w:val="TableContents"/>
              <w:spacing w:before="0" w:after="0"/>
              <w:ind w:left="0" w:right="0" w:hanging="0"/>
              <w:jc w:val="right"/>
              <w:rPr/>
            </w:pPr>
            <w:r>
              <w:rPr/>
              <w:t> </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600" w:type="dxa"/>
            <w:tcBorders/>
            <w:shd w:fill="auto" w:val="clear"/>
            <w:vAlign w:val="bottom"/>
          </w:tcPr>
          <w:p>
            <w:pPr>
              <w:pStyle w:val="TableContents"/>
              <w:spacing w:before="0" w:after="0"/>
              <w:ind w:left="0" w:right="0" w:hanging="0"/>
              <w:jc w:val="right"/>
              <w:rPr/>
            </w:pPr>
            <w:r>
              <w:rPr/>
              <w:t> </w:t>
            </w:r>
          </w:p>
        </w:tc>
        <w:tc>
          <w:tcPr>
            <w:tcW w:w="233" w:type="dxa"/>
            <w:tcBorders/>
            <w:shd w:fill="auto" w:val="clear"/>
            <w:vAlign w:val="bottom"/>
          </w:tcPr>
          <w:p>
            <w:pPr>
              <w:pStyle w:val="TableContents"/>
              <w:spacing w:before="0" w:after="0"/>
              <w:ind w:left="0" w:right="0" w:hanging="0"/>
              <w:rPr/>
            </w:pPr>
            <w:r>
              <w:rPr/>
              <w:t> </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53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9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82"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91"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82"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531"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191"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82"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w:t>
            </w:r>
          </w:p>
        </w:tc>
        <w:tc>
          <w:tcPr>
            <w:tcW w:w="191"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82"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53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91" w:type="dxa"/>
            <w:tcBorders/>
            <w:shd w:fill="CCEEFF" w:val="clear"/>
            <w:vAlign w:val="bottom"/>
          </w:tcPr>
          <w:p>
            <w:pPr>
              <w:pStyle w:val="TableContents"/>
              <w:spacing w:before="0" w:after="0"/>
              <w:ind w:left="0" w:right="0" w:hanging="0"/>
              <w:rPr/>
            </w:pPr>
            <w:r>
              <w:rPr/>
              <w:t> </w:t>
            </w:r>
          </w:p>
        </w:tc>
        <w:tc>
          <w:tcPr>
            <w:tcW w:w="7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CCEEFF" w:val="clear"/>
            <w:vAlign w:val="bottom"/>
          </w:tcPr>
          <w:p>
            <w:pPr>
              <w:pStyle w:val="TableContents"/>
              <w:spacing w:before="0" w:after="0"/>
              <w:ind w:left="0" w:right="0" w:hanging="0"/>
              <w:rPr/>
            </w:pPr>
            <w:r>
              <w:rPr/>
              <w:t> </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9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91" w:type="dxa"/>
            <w:tcBorders/>
            <w:shd w:fill="CCEEFF" w:val="clear"/>
            <w:vAlign w:val="bottom"/>
          </w:tcPr>
          <w:p>
            <w:pPr>
              <w:pStyle w:val="TableContents"/>
              <w:spacing w:before="0" w:after="0"/>
              <w:ind w:left="0" w:right="0" w:hanging="0"/>
              <w:rPr/>
            </w:pPr>
            <w:r>
              <w:rPr/>
              <w:t> </w:t>
            </w:r>
          </w:p>
        </w:tc>
        <w:tc>
          <w:tcPr>
            <w:tcW w:w="7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82" w:type="dxa"/>
            <w:tcBorders/>
            <w:shd w:fill="CCEEFF" w:val="clear"/>
            <w:vAlign w:val="bottom"/>
          </w:tcPr>
          <w:p>
            <w:pPr>
              <w:pStyle w:val="TableContents"/>
              <w:spacing w:before="0" w:after="0"/>
              <w:ind w:left="0" w:right="0" w:hanging="0"/>
              <w:rPr/>
            </w:pPr>
            <w:r>
              <w:rPr/>
              <w:t> </w:t>
            </w:r>
          </w:p>
        </w:tc>
        <w:tc>
          <w:tcPr>
            <w:tcW w:w="6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2" w:type="dxa"/>
            <w:tcBorders/>
            <w:shd w:fill="CCEEFF" w:val="clear"/>
            <w:vAlign w:val="bottom"/>
          </w:tcPr>
          <w:p>
            <w:pPr>
              <w:pStyle w:val="TableContents"/>
              <w:spacing w:before="0" w:after="0"/>
              <w:ind w:left="0" w:right="0" w:hanging="0"/>
              <w:rPr/>
            </w:pPr>
            <w:r>
              <w:rPr/>
              <w:t> </w:t>
            </w:r>
          </w:p>
        </w:tc>
        <w:tc>
          <w:tcPr>
            <w:tcW w:w="6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53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1" w:type="dxa"/>
            <w:tcBorders/>
            <w:shd w:fill="auto" w:val="clear"/>
            <w:vAlign w:val="bottom"/>
          </w:tcPr>
          <w:p>
            <w:pPr>
              <w:pStyle w:val="TableContents"/>
              <w:spacing w:before="0" w:after="0"/>
              <w:ind w:left="0" w:right="0" w:hanging="0"/>
              <w:rPr/>
            </w:pPr>
            <w:r>
              <w:rPr/>
              <w:t> </w:t>
            </w:r>
          </w:p>
        </w:tc>
        <w:tc>
          <w:tcPr>
            <w:tcW w:w="7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auto" w:val="clear"/>
            <w:vAlign w:val="bottom"/>
          </w:tcPr>
          <w:p>
            <w:pPr>
              <w:pStyle w:val="TableContents"/>
              <w:spacing w:before="0" w:after="0"/>
              <w:ind w:left="0" w:right="0" w:hanging="0"/>
              <w:rPr/>
            </w:pPr>
            <w:r>
              <w:rPr/>
              <w:t> </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9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91" w:type="dxa"/>
            <w:tcBorders/>
            <w:shd w:fill="auto" w:val="clear"/>
            <w:vAlign w:val="bottom"/>
          </w:tcPr>
          <w:p>
            <w:pPr>
              <w:pStyle w:val="TableContents"/>
              <w:spacing w:before="0" w:after="0"/>
              <w:ind w:left="0" w:right="0" w:hanging="0"/>
              <w:rPr/>
            </w:pPr>
            <w:r>
              <w:rPr/>
              <w:t> </w:t>
            </w:r>
          </w:p>
        </w:tc>
        <w:tc>
          <w:tcPr>
            <w:tcW w:w="7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82" w:type="dxa"/>
            <w:tcBorders/>
            <w:shd w:fill="auto" w:val="clear"/>
            <w:vAlign w:val="bottom"/>
          </w:tcPr>
          <w:p>
            <w:pPr>
              <w:pStyle w:val="TableContents"/>
              <w:spacing w:before="0" w:after="0"/>
              <w:ind w:left="0" w:right="0" w:hanging="0"/>
              <w:rPr/>
            </w:pPr>
            <w:r>
              <w:rPr/>
              <w:t> </w:t>
            </w:r>
          </w:p>
        </w:tc>
        <w:tc>
          <w:tcPr>
            <w:tcW w:w="6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2" w:type="dxa"/>
            <w:tcBorders/>
            <w:shd w:fill="auto" w:val="clear"/>
            <w:vAlign w:val="bottom"/>
          </w:tcPr>
          <w:p>
            <w:pPr>
              <w:pStyle w:val="TableContents"/>
              <w:spacing w:before="0" w:after="0"/>
              <w:ind w:left="0" w:right="0" w:hanging="0"/>
              <w:rPr/>
            </w:pPr>
            <w:r>
              <w:rPr/>
              <w:t> </w:t>
            </w:r>
          </w:p>
        </w:tc>
        <w:tc>
          <w:tcPr>
            <w:tcW w:w="6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58" w:name="PB_35_154919_7091"/>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81"/>
        <w:gridCol w:w="159"/>
        <w:gridCol w:w="146"/>
        <w:gridCol w:w="565"/>
        <w:gridCol w:w="183"/>
        <w:gridCol w:w="146"/>
        <w:gridCol w:w="567"/>
        <w:gridCol w:w="171"/>
        <w:gridCol w:w="158"/>
        <w:gridCol w:w="536"/>
        <w:gridCol w:w="174"/>
        <w:gridCol w:w="535"/>
        <w:gridCol w:w="278"/>
        <w:gridCol w:w="98"/>
        <w:gridCol w:w="146"/>
        <w:gridCol w:w="565"/>
        <w:gridCol w:w="183"/>
        <w:gridCol w:w="145"/>
        <w:gridCol w:w="567"/>
        <w:gridCol w:w="171"/>
        <w:gridCol w:w="142"/>
        <w:gridCol w:w="552"/>
        <w:gridCol w:w="173"/>
        <w:gridCol w:w="534"/>
        <w:gridCol w:w="230"/>
      </w:tblGrid>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3"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3"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16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16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59" w:type="dxa"/>
            <w:tcBorders/>
            <w:shd w:fill="auto" w:val="clear"/>
            <w:vAlign w:val="bottom"/>
          </w:tcPr>
          <w:p>
            <w:pPr>
              <w:pStyle w:val="TableContents"/>
              <w:spacing w:before="0" w:after="0"/>
              <w:ind w:left="0" w:right="0" w:hanging="0"/>
              <w:jc w:val="center"/>
              <w:rPr/>
            </w:pPr>
            <w:r>
              <w:rPr/>
              <w:t> </w:t>
            </w:r>
          </w:p>
        </w:tc>
        <w:tc>
          <w:tcPr>
            <w:tcW w:w="16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76" w:type="dxa"/>
            <w:gridSpan w:val="2"/>
            <w:tcBorders/>
            <w:shd w:fill="auto" w:val="clear"/>
            <w:vAlign w:val="bottom"/>
          </w:tcPr>
          <w:p>
            <w:pPr>
              <w:pStyle w:val="TableContents"/>
              <w:spacing w:before="0" w:after="0"/>
              <w:ind w:left="0" w:right="0" w:hanging="0"/>
              <w:jc w:val="center"/>
              <w:rPr/>
            </w:pPr>
            <w:r>
              <w:rPr/>
              <w:t> </w:t>
            </w:r>
          </w:p>
        </w:tc>
        <w:tc>
          <w:tcPr>
            <w:tcW w:w="16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1" w:type="dxa"/>
            <w:tcBorders/>
            <w:shd w:fill="auto" w:val="clear"/>
            <w:vAlign w:val="bottom"/>
          </w:tcPr>
          <w:p>
            <w:pPr>
              <w:pStyle w:val="TableContents"/>
              <w:spacing w:before="0" w:after="0"/>
              <w:ind w:left="0" w:right="0" w:hanging="0"/>
              <w:jc w:val="center"/>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7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78" w:type="dxa"/>
            <w:tcBorders/>
            <w:shd w:fill="auto" w:val="clear"/>
            <w:vAlign w:val="bottom"/>
          </w:tcPr>
          <w:p>
            <w:pPr>
              <w:pStyle w:val="TableContents"/>
              <w:spacing w:before="0" w:after="0"/>
              <w:ind w:left="0" w:right="0" w:hanging="0"/>
              <w:jc w:val="center"/>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1" w:type="dxa"/>
            <w:tcBorders/>
            <w:shd w:fill="auto" w:val="clear"/>
            <w:vAlign w:val="bottom"/>
          </w:tcPr>
          <w:p>
            <w:pPr>
              <w:pStyle w:val="TableContents"/>
              <w:spacing w:before="0" w:after="0"/>
              <w:ind w:left="0" w:right="0" w:hanging="0"/>
              <w:jc w:val="center"/>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3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(1)</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pPr>
            <w:r>
              <w:rPr/>
              <w:t> </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59"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83"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171"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4" w:type="dxa"/>
            <w:tcBorders/>
            <w:shd w:fill="auto" w:val="clear"/>
            <w:vAlign w:val="bottom"/>
          </w:tcPr>
          <w:p>
            <w:pPr>
              <w:pStyle w:val="TableContents"/>
              <w:spacing w:before="0" w:after="0"/>
              <w:ind w:left="0" w:right="0" w:hanging="0"/>
              <w:rPr/>
            </w:pPr>
            <w:r>
              <w:rPr/>
              <w:t> </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697</w:t>
            </w:r>
          </w:p>
        </w:tc>
        <w:tc>
          <w:tcPr>
            <w:tcW w:w="183"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644</w:t>
            </w:r>
          </w:p>
        </w:tc>
        <w:tc>
          <w:tcPr>
            <w:tcW w:w="17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4" w:type="dxa"/>
            <w:tcBorders/>
            <w:shd w:fill="CCEEFF" w:val="clear"/>
            <w:vAlign w:val="bottom"/>
          </w:tcPr>
          <w:p>
            <w:pPr>
              <w:pStyle w:val="TableContents"/>
              <w:spacing w:before="0" w:after="0"/>
              <w:ind w:left="0" w:right="0" w:hanging="0"/>
              <w:rPr/>
            </w:pPr>
            <w:r>
              <w:rPr/>
              <w:t> </w:t>
            </w:r>
          </w:p>
        </w:tc>
        <w:tc>
          <w:tcPr>
            <w:tcW w:w="5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3" w:type="dxa"/>
            <w:tcBorders/>
            <w:shd w:fill="CCEEFF" w:val="clear"/>
            <w:vAlign w:val="bottom"/>
          </w:tcPr>
          <w:p>
            <w:pPr>
              <w:pStyle w:val="TableContents"/>
              <w:spacing w:before="0" w:after="0"/>
              <w:ind w:left="0" w:right="0" w:hanging="0"/>
              <w:rPr/>
            </w:pPr>
            <w:r>
              <w:rPr/>
              <w:t> </w:t>
            </w:r>
          </w:p>
        </w:tc>
        <w:tc>
          <w:tcPr>
            <w:tcW w:w="53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4" w:type="dxa"/>
            <w:tcBorders/>
            <w:shd w:fill="auto" w:val="clear"/>
            <w:vAlign w:val="bottom"/>
          </w:tcPr>
          <w:p>
            <w:pPr>
              <w:pStyle w:val="TableContents"/>
              <w:spacing w:before="0" w:after="0"/>
              <w:ind w:left="0" w:right="0" w:hanging="0"/>
              <w:rPr/>
            </w:pPr>
            <w:r>
              <w:rPr/>
              <w:t> </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vAlign w:val="bottom"/>
          </w:tcPr>
          <w:p>
            <w:pPr>
              <w:pStyle w:val="TableContents"/>
              <w:spacing w:before="0" w:after="0"/>
              <w:ind w:left="0" w:right="0" w:hanging="0"/>
              <w:rPr/>
            </w:pPr>
            <w:r>
              <w:rPr/>
              <w:t> </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pPr>
            <w:r>
              <w:rPr/>
              <w:t> </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081" w:type="dxa"/>
            <w:tcBorders/>
            <w:shd w:fill="auto" w:val="clear"/>
          </w:tcPr>
          <w:p>
            <w:pPr>
              <w:pStyle w:val="TableContents"/>
              <w:spacing w:before="0" w:after="0"/>
              <w:ind w:left="0" w:right="0" w:hanging="0"/>
              <w:rPr/>
            </w:pPr>
            <w:r>
              <w:rPr>
                <w:rFonts w:ascii="Times New Roman" w:hAnsi="Times New Roman"/>
                <w:sz w:val="17"/>
              </w:rPr>
              <w:t xml:space="preserve">Costs and Expenses </w:t>
            </w:r>
            <w:r>
              <w:rPr>
                <w:sz w:val="11"/>
              </w:rPr>
              <w:t>(1)</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pPr>
            <w:r>
              <w:rPr/>
              <w:t> </w:t>
            </w:r>
          </w:p>
        </w:tc>
        <w:tc>
          <w:tcPr>
            <w:tcW w:w="174" w:type="dxa"/>
            <w:tcBorders/>
            <w:shd w:fill="auto" w:val="clear"/>
            <w:vAlign w:val="bottom"/>
          </w:tcPr>
          <w:p>
            <w:pPr>
              <w:pStyle w:val="TableContents"/>
              <w:spacing w:before="0" w:after="0"/>
              <w:ind w:left="0" w:right="0" w:hanging="0"/>
              <w:rPr/>
            </w:pPr>
            <w:r>
              <w:rPr/>
              <w:t> </w:t>
            </w:r>
          </w:p>
        </w:tc>
        <w:tc>
          <w:tcPr>
            <w:tcW w:w="535" w:type="dxa"/>
            <w:tcBorders/>
            <w:shd w:fill="auto" w:val="clear"/>
            <w:vAlign w:val="bottom"/>
          </w:tcPr>
          <w:p>
            <w:pPr>
              <w:pStyle w:val="TableContents"/>
              <w:spacing w:before="0" w:after="0"/>
              <w:ind w:left="0" w:right="0" w:hanging="0"/>
              <w:jc w:val="right"/>
              <w:rPr/>
            </w:pPr>
            <w:r>
              <w:rPr/>
              <w:t> </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5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3"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71"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4" w:type="dxa"/>
            <w:tcBorders/>
            <w:shd w:fill="CCEEFF" w:val="clear"/>
            <w:vAlign w:val="bottom"/>
          </w:tcPr>
          <w:p>
            <w:pPr>
              <w:pStyle w:val="TableContents"/>
              <w:spacing w:before="0" w:after="0"/>
              <w:ind w:left="0" w:right="0" w:hanging="0"/>
              <w:rPr/>
            </w:pPr>
            <w:r>
              <w:rPr/>
              <w:t> </w:t>
            </w:r>
          </w:p>
        </w:tc>
        <w:tc>
          <w:tcPr>
            <w:tcW w:w="5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8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7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73" w:type="dxa"/>
            <w:tcBorders/>
            <w:shd w:fill="CCEEFF" w:val="clear"/>
            <w:vAlign w:val="bottom"/>
          </w:tcPr>
          <w:p>
            <w:pPr>
              <w:pStyle w:val="TableContents"/>
              <w:spacing w:before="0" w:after="0"/>
              <w:ind w:left="0" w:right="0" w:hanging="0"/>
              <w:rPr/>
            </w:pPr>
            <w:r>
              <w:rPr/>
              <w:t> </w:t>
            </w:r>
          </w:p>
        </w:tc>
        <w:tc>
          <w:tcPr>
            <w:tcW w:w="5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59"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3"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1"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83"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71"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59"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183"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171"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pPr>
            <w:r>
              <w:rPr/>
              <w:t> </w:t>
            </w:r>
          </w:p>
        </w:tc>
        <w:tc>
          <w:tcPr>
            <w:tcW w:w="5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0.48</w:t>
            </w:r>
          </w:p>
        </w:tc>
        <w:tc>
          <w:tcPr>
            <w:tcW w:w="18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w:t>
            </w:r>
          </w:p>
        </w:tc>
        <w:tc>
          <w:tcPr>
            <w:tcW w:w="17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73" w:type="dxa"/>
            <w:tcBorders/>
            <w:shd w:fill="CCEEFF" w:val="clear"/>
            <w:vAlign w:val="bottom"/>
          </w:tcPr>
          <w:p>
            <w:pPr>
              <w:pStyle w:val="TableContents"/>
              <w:spacing w:before="0" w:after="0"/>
              <w:ind w:left="0" w:right="0" w:hanging="0"/>
              <w:rPr/>
            </w:pPr>
            <w:r>
              <w:rPr/>
              <w:t> </w:t>
            </w:r>
          </w:p>
        </w:tc>
        <w:tc>
          <w:tcPr>
            <w:tcW w:w="5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3"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pPr>
            <w:r>
              <w:rPr/>
              <w:t> </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pPr>
            <w:r>
              <w:rPr/>
              <w:t> </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3"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3"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12"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jc w:val="center"/>
              <w:rPr/>
            </w:pPr>
            <w:r>
              <w:rPr/>
              <w:t> </w:t>
            </w:r>
          </w:p>
        </w:tc>
        <w:tc>
          <w:tcPr>
            <w:tcW w:w="16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16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59" w:type="dxa"/>
            <w:tcBorders/>
            <w:shd w:fill="auto" w:val="clear"/>
            <w:vAlign w:val="bottom"/>
          </w:tcPr>
          <w:p>
            <w:pPr>
              <w:pStyle w:val="TableContents"/>
              <w:spacing w:before="0" w:after="0"/>
              <w:ind w:left="0" w:right="0" w:hanging="0"/>
              <w:jc w:val="center"/>
              <w:rPr/>
            </w:pPr>
            <w:r>
              <w:rPr/>
              <w:t> </w:t>
            </w:r>
          </w:p>
        </w:tc>
        <w:tc>
          <w:tcPr>
            <w:tcW w:w="16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1" w:type="dxa"/>
            <w:tcBorders/>
            <w:shd w:fill="auto" w:val="clear"/>
            <w:vAlign w:val="bottom"/>
          </w:tcPr>
          <w:p>
            <w:pPr>
              <w:pStyle w:val="TableContents"/>
              <w:spacing w:before="0" w:after="0"/>
              <w:ind w:left="0" w:right="0" w:hanging="0"/>
              <w:jc w:val="center"/>
              <w:rPr/>
            </w:pPr>
            <w:r>
              <w:rPr/>
              <w:t> </w:t>
            </w:r>
          </w:p>
        </w:tc>
        <w:tc>
          <w:tcPr>
            <w:tcW w:w="14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76" w:type="dxa"/>
            <w:gridSpan w:val="2"/>
            <w:tcBorders/>
            <w:shd w:fill="auto" w:val="clear"/>
            <w:vAlign w:val="bottom"/>
          </w:tcPr>
          <w:p>
            <w:pPr>
              <w:pStyle w:val="TableContents"/>
              <w:spacing w:before="0" w:after="0"/>
              <w:ind w:left="0" w:right="0" w:hanging="0"/>
              <w:jc w:val="center"/>
              <w:rPr/>
            </w:pPr>
            <w:r>
              <w:rPr/>
              <w:t> </w:t>
            </w:r>
          </w:p>
        </w:tc>
        <w:tc>
          <w:tcPr>
            <w:tcW w:w="16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1" w:type="dxa"/>
            <w:tcBorders/>
            <w:shd w:fill="auto" w:val="clear"/>
            <w:vAlign w:val="bottom"/>
          </w:tcPr>
          <w:p>
            <w:pPr>
              <w:pStyle w:val="TableContents"/>
              <w:spacing w:before="0" w:after="0"/>
              <w:ind w:left="0" w:right="0" w:hanging="0"/>
              <w:jc w:val="center"/>
              <w:rPr/>
            </w:pPr>
            <w:r>
              <w:rPr/>
              <w:t> </w:t>
            </w:r>
          </w:p>
        </w:tc>
        <w:tc>
          <w:tcPr>
            <w:tcW w:w="140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 </w:t>
            </w:r>
            <w:r>
              <w:rPr>
                <w:b/>
                <w:sz w:val="8"/>
              </w:rPr>
              <w:t>(3)</w:t>
            </w:r>
          </w:p>
        </w:tc>
        <w:tc>
          <w:tcPr>
            <w:tcW w:w="159" w:type="dxa"/>
            <w:tcBorders/>
            <w:shd w:fill="auto" w:val="clear"/>
            <w:vAlign w:val="bottom"/>
          </w:tcPr>
          <w:p>
            <w:pPr>
              <w:pStyle w:val="TableContents"/>
              <w:spacing w:before="0" w:after="0"/>
              <w:ind w:left="0" w:right="0" w:hanging="0"/>
              <w:jc w:val="center"/>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1" w:type="dxa"/>
            <w:tcBorders/>
            <w:shd w:fill="auto" w:val="clear"/>
            <w:vAlign w:val="bottom"/>
          </w:tcPr>
          <w:p>
            <w:pPr>
              <w:pStyle w:val="TableContents"/>
              <w:spacing w:before="0" w:after="0"/>
              <w:ind w:left="0" w:right="0" w:hanging="0"/>
              <w:jc w:val="center"/>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7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76" w:type="dxa"/>
            <w:gridSpan w:val="2"/>
            <w:tcBorders/>
            <w:shd w:fill="auto" w:val="clear"/>
            <w:vAlign w:val="bottom"/>
          </w:tcPr>
          <w:p>
            <w:pPr>
              <w:pStyle w:val="TableContents"/>
              <w:spacing w:before="0" w:after="0"/>
              <w:ind w:left="0" w:right="0" w:hanging="0"/>
              <w:jc w:val="center"/>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1" w:type="dxa"/>
            <w:tcBorders/>
            <w:shd w:fill="auto" w:val="clear"/>
            <w:vAlign w:val="bottom"/>
          </w:tcPr>
          <w:p>
            <w:pPr>
              <w:pStyle w:val="TableContents"/>
              <w:spacing w:before="0" w:after="0"/>
              <w:ind w:left="0" w:right="0" w:hanging="0"/>
              <w:jc w:val="center"/>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3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0" w:type="dxa"/>
            <w:tcBorders/>
            <w:shd w:fill="auto" w:val="clear"/>
            <w:vAlign w:val="bottom"/>
          </w:tcPr>
          <w:p>
            <w:pPr>
              <w:pStyle w:val="TableContents"/>
              <w:spacing w:before="0" w:after="0"/>
              <w:ind w:left="0" w:right="0" w:hanging="0"/>
              <w:jc w:val="center"/>
              <w:rPr/>
            </w:pPr>
            <w:r>
              <w:rPr/>
              <w:t> </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pPr>
            <w:r>
              <w:rPr/>
              <w:t> </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74" w:type="dxa"/>
            <w:tcBorders/>
            <w:shd w:fill="auto" w:val="clear"/>
            <w:vAlign w:val="bottom"/>
          </w:tcPr>
          <w:p>
            <w:pPr>
              <w:pStyle w:val="TableContents"/>
              <w:spacing w:before="0" w:after="0"/>
              <w:ind w:left="0" w:right="0" w:hanging="0"/>
              <w:rPr/>
            </w:pPr>
            <w:r>
              <w:rPr/>
              <w:t> </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auto" w:val="clear"/>
            <w:vAlign w:val="bottom"/>
          </w:tcPr>
          <w:p>
            <w:pPr>
              <w:pStyle w:val="TableContents"/>
              <w:spacing w:before="0" w:after="0"/>
              <w:ind w:left="0" w:right="0" w:hanging="0"/>
              <w:rPr/>
            </w:pPr>
            <w:r>
              <w:rPr/>
              <w:t> </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West Texas/New Mexico Area Systems</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4" w:type="dxa"/>
            <w:tcBorders/>
            <w:shd w:fill="auto" w:val="clear"/>
            <w:vAlign w:val="bottom"/>
          </w:tcPr>
          <w:p>
            <w:pPr>
              <w:pStyle w:val="TableContents"/>
              <w:spacing w:before="0" w:after="0"/>
              <w:ind w:left="0" w:right="0" w:hanging="0"/>
              <w:rPr/>
            </w:pPr>
            <w:r>
              <w:rPr/>
              <w:t> </w:t>
            </w:r>
          </w:p>
        </w:tc>
        <w:tc>
          <w:tcPr>
            <w:tcW w:w="5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1,243</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1,219</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4" w:type="dxa"/>
            <w:tcBorders/>
            <w:shd w:fill="auto" w:val="clear"/>
            <w:vAlign w:val="bottom"/>
          </w:tcPr>
          <w:p>
            <w:pPr>
              <w:pStyle w:val="TableContents"/>
              <w:spacing w:before="0" w:after="0"/>
              <w:ind w:left="0" w:right="0" w:hanging="0"/>
              <w:rPr/>
            </w:pPr>
            <w:r>
              <w:rPr/>
              <w:t> </w:t>
            </w:r>
          </w:p>
        </w:tc>
        <w:tc>
          <w:tcPr>
            <w:tcW w:w="53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1,207</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pPr>
            <w:r>
              <w:rPr/>
              <w:t> </w:t>
            </w:r>
          </w:p>
        </w:tc>
        <w:tc>
          <w:tcPr>
            <w:tcW w:w="53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2,973</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2,839</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74" w:type="dxa"/>
            <w:tcBorders/>
            <w:shd w:fill="CCEEFF" w:val="clear"/>
            <w:vAlign w:val="bottom"/>
          </w:tcPr>
          <w:p>
            <w:pPr>
              <w:pStyle w:val="TableContents"/>
              <w:spacing w:before="0" w:after="0"/>
              <w:ind w:left="0" w:right="0" w:hanging="0"/>
              <w:rPr/>
            </w:pPr>
            <w:r>
              <w:rPr/>
              <w:t> </w:t>
            </w:r>
          </w:p>
        </w:tc>
        <w:tc>
          <w:tcPr>
            <w:tcW w:w="5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2,889</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2,880</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CCEEFF" w:val="clear"/>
            <w:vAlign w:val="bottom"/>
          </w:tcPr>
          <w:p>
            <w:pPr>
              <w:pStyle w:val="TableContents"/>
              <w:spacing w:before="0" w:after="0"/>
              <w:ind w:left="0" w:right="0" w:hanging="0"/>
              <w:rPr/>
            </w:pPr>
            <w:r>
              <w:rPr/>
              <w:t> </w:t>
            </w:r>
          </w:p>
        </w:tc>
        <w:tc>
          <w:tcPr>
            <w:tcW w:w="5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59"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83" w:type="dxa"/>
            <w:tcBorders/>
            <w:shd w:fill="auto" w:val="clear"/>
            <w:vAlign w:val="bottom"/>
          </w:tcPr>
          <w:p>
            <w:pPr>
              <w:pStyle w:val="TableContents"/>
              <w:spacing w:before="0" w:after="0"/>
              <w:ind w:left="0" w:right="0" w:hanging="0"/>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74" w:type="dxa"/>
            <w:tcBorders/>
            <w:shd w:fill="auto" w:val="clear"/>
            <w:vAlign w:val="bottom"/>
          </w:tcPr>
          <w:p>
            <w:pPr>
              <w:pStyle w:val="TableContents"/>
              <w:spacing w:before="0" w:after="0"/>
              <w:ind w:left="0" w:right="0" w:hanging="0"/>
              <w:rPr/>
            </w:pPr>
            <w:r>
              <w:rPr/>
              <w:t> </w:t>
            </w:r>
          </w:p>
        </w:tc>
        <w:tc>
          <w:tcPr>
            <w:tcW w:w="53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7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83" w:type="dxa"/>
            <w:tcBorders/>
            <w:shd w:fill="auto" w:val="clear"/>
            <w:vAlign w:val="bottom"/>
          </w:tcPr>
          <w:p>
            <w:pPr>
              <w:pStyle w:val="TableContents"/>
              <w:spacing w:before="0" w:after="0"/>
              <w:ind w:left="0" w:right="0" w:hanging="0"/>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71" w:type="dxa"/>
            <w:tcBorders/>
            <w:shd w:fill="auto" w:val="clear"/>
            <w:vAlign w:val="bottom"/>
          </w:tcPr>
          <w:p>
            <w:pPr>
              <w:pStyle w:val="TableContents"/>
              <w:spacing w:before="0" w:after="0"/>
              <w:ind w:left="0" w:right="0" w:hanging="0"/>
              <w:rPr/>
            </w:pPr>
            <w:r>
              <w:rPr/>
              <w:t> </w:t>
            </w:r>
          </w:p>
        </w:tc>
        <w:tc>
          <w:tcPr>
            <w:tcW w:w="6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3" w:type="dxa"/>
            <w:tcBorders/>
            <w:shd w:fill="auto" w:val="clear"/>
            <w:vAlign w:val="bottom"/>
          </w:tcPr>
          <w:p>
            <w:pPr>
              <w:pStyle w:val="TableContents"/>
              <w:spacing w:before="0" w:after="0"/>
              <w:ind w:left="0" w:right="0" w:hanging="0"/>
              <w:rPr/>
            </w:pPr>
            <w:r>
              <w:rPr/>
              <w:t> </w:t>
            </w:r>
          </w:p>
        </w:tc>
        <w:tc>
          <w:tcPr>
            <w:tcW w:w="53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8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159" w:type="dxa"/>
            <w:tcBorders/>
            <w:shd w:fill="CCEEFF" w:val="clear"/>
            <w:vAlign w:val="bottom"/>
          </w:tcPr>
          <w:p>
            <w:pPr>
              <w:pStyle w:val="TableContents"/>
              <w:spacing w:before="0" w:after="0"/>
              <w:ind w:left="0" w:right="0" w:hanging="0"/>
              <w:rPr/>
            </w:pPr>
            <w:r>
              <w:rPr/>
              <w:t> </w:t>
            </w:r>
          </w:p>
        </w:tc>
        <w:tc>
          <w:tcPr>
            <w:tcW w:w="71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3,072</w:t>
            </w:r>
          </w:p>
        </w:tc>
        <w:tc>
          <w:tcPr>
            <w:tcW w:w="183" w:type="dxa"/>
            <w:tcBorders/>
            <w:shd w:fill="CCEEFF" w:val="clear"/>
            <w:vAlign w:val="bottom"/>
          </w:tcPr>
          <w:p>
            <w:pPr>
              <w:pStyle w:val="TableContents"/>
              <w:spacing w:before="0" w:after="0"/>
              <w:ind w:left="0" w:right="0" w:hanging="0"/>
              <w:rPr/>
            </w:pPr>
            <w:r>
              <w:rPr/>
              <w:t> </w:t>
            </w:r>
          </w:p>
        </w:tc>
        <w:tc>
          <w:tcPr>
            <w:tcW w:w="71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2,919</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74" w:type="dxa"/>
            <w:tcBorders/>
            <w:shd w:fill="CCEEFF" w:val="clear"/>
            <w:vAlign w:val="bottom"/>
          </w:tcPr>
          <w:p>
            <w:pPr>
              <w:pStyle w:val="TableContents"/>
              <w:spacing w:before="0" w:after="0"/>
              <w:ind w:left="0" w:right="0" w:hanging="0"/>
              <w:rPr/>
            </w:pPr>
            <w:r>
              <w:rPr/>
              <w:t> </w:t>
            </w:r>
          </w:p>
        </w:tc>
        <w:tc>
          <w:tcPr>
            <w:tcW w:w="53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7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1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2,983</w:t>
            </w:r>
          </w:p>
        </w:tc>
        <w:tc>
          <w:tcPr>
            <w:tcW w:w="183" w:type="dxa"/>
            <w:tcBorders/>
            <w:shd w:fill="CCEEFF" w:val="clear"/>
            <w:vAlign w:val="bottom"/>
          </w:tcPr>
          <w:p>
            <w:pPr>
              <w:pStyle w:val="TableContents"/>
              <w:spacing w:before="0" w:after="0"/>
              <w:ind w:left="0" w:right="0" w:hanging="0"/>
              <w:rPr/>
            </w:pPr>
            <w:r>
              <w:rPr/>
              <w:t> </w:t>
            </w:r>
          </w:p>
        </w:tc>
        <w:tc>
          <w:tcPr>
            <w:tcW w:w="7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2,964</w:t>
            </w:r>
          </w:p>
        </w:tc>
        <w:tc>
          <w:tcPr>
            <w:tcW w:w="171" w:type="dxa"/>
            <w:tcBorders/>
            <w:shd w:fill="CCEEFF" w:val="clear"/>
            <w:vAlign w:val="bottom"/>
          </w:tcPr>
          <w:p>
            <w:pPr>
              <w:pStyle w:val="TableContents"/>
              <w:spacing w:before="0" w:after="0"/>
              <w:ind w:left="0" w:right="0" w:hanging="0"/>
              <w:rPr/>
            </w:pPr>
            <w:r>
              <w:rPr/>
              <w:t> </w:t>
            </w:r>
          </w:p>
        </w:tc>
        <w:tc>
          <w:tcPr>
            <w:tcW w:w="6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73" w:type="dxa"/>
            <w:tcBorders/>
            <w:shd w:fill="CCEEFF" w:val="clear"/>
            <w:vAlign w:val="bottom"/>
          </w:tcPr>
          <w:p>
            <w:pPr>
              <w:pStyle w:val="TableContents"/>
              <w:spacing w:before="0" w:after="0"/>
              <w:ind w:left="0" w:right="0" w:hanging="0"/>
              <w:rPr/>
            </w:pPr>
            <w:r>
              <w:rPr/>
              <w:t> </w:t>
            </w:r>
          </w:p>
        </w:tc>
        <w:tc>
          <w:tcPr>
            <w:tcW w:w="5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Transportation segment profit and segment profit per barrel were impacted by the following: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59" w:name="PB_36_154919_455"/>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noted in the table above, our transportation segment revenues (less trucking costs) increased for the three and nine months ended September 30, 2010 compared to the three and nine months ended September 30, 2009, while volumes remained relatively consistent over these comparative periods. The significant variances between the comparative periods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Tariff Rates  Revenues increased on some of our pipeline systems for the three and nine months ended September 30, 2010 compared to the three and nine months ended September 30, 2009 as a result of increased base tariff rates and indexing by the FERC.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Currency Impact - Revenues and expenses from our Canadian based subsidiaries, which use the Canadian dollar as their functional currency, were translated at the prevailing average exchange rate for each month. During 2010, revenues from some of our Canadian pipeline systems were favorably impacted by the depreciation of the U.S. dollar relative to the Canadian dollar. The average Canadian dollar to U.S. dollar exchange rate for the three-month period ended September 30, 2010 was $1.04 CAD: $1.00 USD compared to an average of $1.10 CAD: $1.00 USD for the three-month period ended September 30, 2009. The average Canadian dollar to U.S. dollar exchange rate for the nine-month period ended September 30, 2010 was $1.04 CAD: $1.00 USD compared to an average of $1.17 CAD: $1.00 USD for the nine-month period ended September 30,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increased by approximately $2 million and $6 million for the three and nine months ended September 30, 2010 compared to the three and nine months ended September 30, 2009, respectively. The increase was primarily due to a higher average realized price per barrel during 2010 compared to 2009 (including the impact of gains and losses from derivative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and General and Administrative Expenses. </w:t>
      </w:r>
      <w:r>
        <w:rPr>
          <w:rFonts w:ascii="Times New Roman" w:hAnsi="Times New Roman"/>
          <w:sz w:val="17"/>
        </w:rPr>
        <w:t>Field operating costs and general and administrative expenses (both excluding equity compensation charges) increased in the nine months ended September 30, 2010 over the nine months ended September 30, 2009 primarily due to the negative impact of foreign currency exchange rates as well as increases in most cost categories consistent with the overall growth of the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The increase in maintenance capital in the three and nine months ended September 30, 2010 over the three and nine months ended September 30, 2009 is primarily due to timing of various pipeline repair projects and API 653 repairs during each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0" w:name="PB_37_154919_4141"/>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facilities segment for the periods indicated:</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77"/>
        <w:gridCol w:w="164"/>
        <w:gridCol w:w="138"/>
        <w:gridCol w:w="553"/>
        <w:gridCol w:w="185"/>
        <w:gridCol w:w="138"/>
        <w:gridCol w:w="554"/>
        <w:gridCol w:w="175"/>
        <w:gridCol w:w="134"/>
        <w:gridCol w:w="542"/>
        <w:gridCol w:w="175"/>
        <w:gridCol w:w="516"/>
        <w:gridCol w:w="280"/>
        <w:gridCol w:w="96"/>
        <w:gridCol w:w="138"/>
        <w:gridCol w:w="553"/>
        <w:gridCol w:w="185"/>
        <w:gridCol w:w="138"/>
        <w:gridCol w:w="554"/>
        <w:gridCol w:w="175"/>
        <w:gridCol w:w="134"/>
        <w:gridCol w:w="542"/>
        <w:gridCol w:w="175"/>
        <w:gridCol w:w="653"/>
        <w:gridCol w:w="231"/>
      </w:tblGrid>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56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156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Operating Results</w:t>
            </w:r>
          </w:p>
        </w:tc>
        <w:tc>
          <w:tcPr>
            <w:tcW w:w="164" w:type="dxa"/>
            <w:tcBorders/>
            <w:shd w:fill="auto" w:val="clear"/>
            <w:vAlign w:val="bottom"/>
          </w:tcPr>
          <w:p>
            <w:pPr>
              <w:pStyle w:val="TableContents"/>
              <w:spacing w:before="0" w:after="0"/>
              <w:ind w:left="0" w:right="0" w:hanging="0"/>
              <w:jc w:val="center"/>
              <w:rPr/>
            </w:pPr>
            <w:r>
              <w:rPr/>
              <w:t> </w:t>
            </w:r>
          </w:p>
        </w:tc>
        <w:tc>
          <w:tcPr>
            <w:tcW w:w="15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76" w:type="dxa"/>
            <w:gridSpan w:val="2"/>
            <w:tcBorders/>
            <w:shd w:fill="auto" w:val="clear"/>
            <w:vAlign w:val="bottom"/>
          </w:tcPr>
          <w:p>
            <w:pPr>
              <w:pStyle w:val="TableContents"/>
              <w:spacing w:before="0" w:after="0"/>
              <w:ind w:left="0" w:right="0" w:hanging="0"/>
              <w:jc w:val="center"/>
              <w:rPr/>
            </w:pPr>
            <w:r>
              <w:rPr/>
              <w:t> </w:t>
            </w:r>
          </w:p>
        </w:tc>
        <w:tc>
          <w:tcPr>
            <w:tcW w:w="15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5" w:type="dxa"/>
            <w:tcBorders/>
            <w:shd w:fill="auto" w:val="clear"/>
            <w:vAlign w:val="bottom"/>
          </w:tcPr>
          <w:p>
            <w:pPr>
              <w:pStyle w:val="TableContents"/>
              <w:spacing w:before="0" w:after="0"/>
              <w:ind w:left="0" w:right="0" w:hanging="0"/>
              <w:jc w:val="center"/>
              <w:rPr/>
            </w:pPr>
            <w:r>
              <w:rPr/>
              <w:t> </w:t>
            </w:r>
          </w:p>
        </w:tc>
        <w:tc>
          <w:tcPr>
            <w:tcW w:w="6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5" w:type="dxa"/>
            <w:tcBorders/>
            <w:shd w:fill="auto" w:val="clear"/>
            <w:vAlign w:val="bottom"/>
          </w:tcPr>
          <w:p>
            <w:pPr>
              <w:pStyle w:val="TableContents"/>
              <w:spacing w:before="0" w:after="0"/>
              <w:ind w:left="0" w:right="0" w:hanging="0"/>
              <w:jc w:val="center"/>
              <w:rPr/>
            </w:pPr>
            <w:r>
              <w:rPr/>
              <w:t> </w:t>
            </w:r>
          </w:p>
        </w:tc>
        <w:tc>
          <w:tcPr>
            <w:tcW w:w="6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CCEEFF" w:val="clear"/>
          </w:tcPr>
          <w:p>
            <w:pPr>
              <w:pStyle w:val="TableContents"/>
              <w:spacing w:before="0" w:after="0"/>
              <w:ind w:left="0" w:right="0" w:hanging="0"/>
              <w:rPr/>
            </w:pPr>
            <w:r>
              <w:rPr>
                <w:rFonts w:ascii="Times New Roman" w:hAnsi="Times New Roman"/>
                <w:sz w:val="17"/>
              </w:rPr>
              <w:t xml:space="preserve">Storage and terminalling revenues </w:t>
            </w:r>
            <w:r>
              <w:rPr>
                <w:sz w:val="11"/>
              </w:rPr>
              <w:t>(1)</w:t>
            </w:r>
          </w:p>
        </w:tc>
        <w:tc>
          <w:tcPr>
            <w:tcW w:w="164"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8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75"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75" w:type="dxa"/>
            <w:tcBorders/>
            <w:shd w:fill="CCEEFF" w:val="clear"/>
            <w:vAlign w:val="bottom"/>
          </w:tcPr>
          <w:p>
            <w:pPr>
              <w:pStyle w:val="TableContents"/>
              <w:spacing w:before="0" w:after="0"/>
              <w:ind w:left="0" w:right="0" w:hanging="0"/>
              <w:rPr/>
            </w:pPr>
            <w:r>
              <w:rPr/>
              <w:t> </w:t>
            </w:r>
          </w:p>
        </w:tc>
        <w:tc>
          <w:tcPr>
            <w:tcW w:w="5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75"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75" w:type="dxa"/>
            <w:tcBorders/>
            <w:shd w:fill="CCEEFF" w:val="clear"/>
            <w:vAlign w:val="bottom"/>
          </w:tcPr>
          <w:p>
            <w:pPr>
              <w:pStyle w:val="TableContents"/>
              <w:spacing w:before="0" w:after="0"/>
              <w:ind w:left="0" w:right="0" w:hanging="0"/>
              <w:rPr/>
            </w:pPr>
            <w:r>
              <w:rPr/>
              <w:t> </w:t>
            </w:r>
          </w:p>
        </w:tc>
        <w:tc>
          <w:tcPr>
            <w:tcW w:w="6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64"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compensation expense)</w:t>
            </w:r>
          </w:p>
        </w:tc>
        <w:tc>
          <w:tcPr>
            <w:tcW w:w="164"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pPr>
            <w:r>
              <w:rPr>
                <w:rFonts w:ascii="Times New Roman" w:hAnsi="Times New Roman"/>
                <w:sz w:val="17"/>
              </w:rPr>
              <w:t>Equity compensation expense - operations</w:t>
            </w:r>
            <w:r>
              <w:rPr>
                <w:sz w:val="11"/>
              </w:rPr>
              <w:t>(2)</w:t>
            </w:r>
          </w:p>
        </w:tc>
        <w:tc>
          <w:tcPr>
            <w:tcW w:w="164"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auto" w:val="clear"/>
            <w:vAlign w:val="bottom"/>
          </w:tcPr>
          <w:p>
            <w:pPr>
              <w:pStyle w:val="TableContents"/>
              <w:spacing w:before="0" w:after="0"/>
              <w:ind w:left="0" w:right="0" w:hanging="0"/>
              <w:rPr/>
            </w:pPr>
            <w:r>
              <w:rPr/>
              <w:t> </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6"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6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164"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6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(2)</w:t>
            </w:r>
          </w:p>
        </w:tc>
        <w:tc>
          <w:tcPr>
            <w:tcW w:w="164"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6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4" w:type="dxa"/>
            <w:tcBorders/>
            <w:shd w:fill="CCEEFF" w:val="clear"/>
            <w:vAlign w:val="bottom"/>
          </w:tcPr>
          <w:p>
            <w:pPr>
              <w:pStyle w:val="TableContents"/>
              <w:spacing w:before="0" w:after="0"/>
              <w:ind w:left="0" w:right="0" w:hanging="0"/>
              <w:rPr/>
            </w:pPr>
            <w:r>
              <w:rPr/>
              <w:t> </w:t>
            </w:r>
          </w:p>
        </w:tc>
        <w:tc>
          <w:tcPr>
            <w:tcW w:w="6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6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64"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75"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auto" w:val="clear"/>
            <w:vAlign w:val="bottom"/>
          </w:tcPr>
          <w:p>
            <w:pPr>
              <w:pStyle w:val="TableContents"/>
              <w:spacing w:before="0" w:after="0"/>
              <w:ind w:left="0" w:right="0" w:hanging="0"/>
              <w:rPr/>
            </w:pPr>
            <w:r>
              <w:rPr/>
              <w:t> </w:t>
            </w:r>
          </w:p>
        </w:tc>
        <w:tc>
          <w:tcPr>
            <w:tcW w:w="5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75"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75" w:type="dxa"/>
            <w:tcBorders/>
            <w:shd w:fill="auto" w:val="clear"/>
            <w:vAlign w:val="bottom"/>
          </w:tcPr>
          <w:p>
            <w:pPr>
              <w:pStyle w:val="TableContents"/>
              <w:spacing w:before="0" w:after="0"/>
              <w:ind w:left="0" w:right="0" w:hanging="0"/>
              <w:rPr/>
            </w:pPr>
            <w:r>
              <w:rPr/>
              <w:t> </w:t>
            </w:r>
          </w:p>
        </w:tc>
        <w:tc>
          <w:tcPr>
            <w:tcW w:w="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4"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5"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8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5"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64"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18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175"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75" w:type="dxa"/>
            <w:tcBorders/>
            <w:shd w:fill="auto" w:val="clear"/>
            <w:vAlign w:val="bottom"/>
          </w:tcPr>
          <w:p>
            <w:pPr>
              <w:pStyle w:val="TableContents"/>
              <w:spacing w:before="0" w:after="0"/>
              <w:ind w:left="0" w:right="0" w:hanging="0"/>
              <w:rPr/>
            </w:pPr>
            <w:r>
              <w:rPr/>
              <w:t> </w:t>
            </w:r>
          </w:p>
        </w:tc>
        <w:tc>
          <w:tcPr>
            <w:tcW w:w="5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18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175"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75" w:type="dxa"/>
            <w:tcBorders/>
            <w:shd w:fill="auto" w:val="clear"/>
            <w:vAlign w:val="bottom"/>
          </w:tcPr>
          <w:p>
            <w:pPr>
              <w:pStyle w:val="TableContents"/>
              <w:spacing w:before="0" w:after="0"/>
              <w:ind w:left="0" w:right="0" w:hanging="0"/>
              <w:rPr/>
            </w:pPr>
            <w:r>
              <w:rPr/>
              <w:t> </w:t>
            </w:r>
          </w:p>
        </w:tc>
        <w:tc>
          <w:tcPr>
            <w:tcW w:w="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pPr>
            <w:r>
              <w:rPr/>
              <w:t> </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pPr>
            <w:r>
              <w:rPr/>
              <w:t> </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bookmarkStart w:id="61" w:name="StartOfCellsToJoin"/>
            <w:bookmarkEnd w:id="61"/>
            <w:r>
              <w:rPr>
                <w:rFonts w:ascii="Times New Roman" w:hAnsi="Times New Roman"/>
                <w:b/>
                <w:sz w:val="13"/>
              </w:rPr>
              <w:t>Nine Months</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shd w:fill="auto" w:val="clear"/>
            <w:vAlign w:val="bottom"/>
          </w:tcPr>
          <w:p>
            <w:pPr>
              <w:pStyle w:val="TableContents"/>
              <w:spacing w:before="0" w:after="0"/>
              <w:ind w:left="0" w:right="0" w:hanging="0"/>
              <w:jc w:val="center"/>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692" w:type="dxa"/>
            <w:gridSpan w:val="2"/>
            <w:tcBorders/>
            <w:shd w:fill="auto" w:val="clear"/>
            <w:vAlign w:val="bottom"/>
          </w:tcPr>
          <w:p>
            <w:pPr>
              <w:pStyle w:val="TableContents"/>
              <w:spacing w:before="0" w:after="0"/>
              <w:ind w:left="0" w:right="0" w:hanging="0"/>
              <w:jc w:val="center"/>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56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76" w:type="dxa"/>
            <w:gridSpan w:val="2"/>
            <w:tcBorders/>
            <w:shd w:fill="auto" w:val="clear"/>
            <w:vAlign w:val="bottom"/>
          </w:tcPr>
          <w:p>
            <w:pPr>
              <w:pStyle w:val="TableContents"/>
              <w:spacing w:before="0" w:after="0"/>
              <w:ind w:left="0" w:right="0" w:hanging="0"/>
              <w:jc w:val="center"/>
              <w:rPr/>
            </w:pPr>
            <w:r>
              <w:rPr/>
              <w:t> </w:t>
            </w:r>
          </w:p>
        </w:tc>
        <w:tc>
          <w:tcPr>
            <w:tcW w:w="156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auto" w:val="clear"/>
            <w:vAlign w:val="bottom"/>
          </w:tcPr>
          <w:p>
            <w:pPr>
              <w:pStyle w:val="TableContents"/>
              <w:spacing w:before="0" w:after="0"/>
              <w:ind w:left="0" w:right="0" w:hanging="0"/>
              <w:rPr/>
            </w:pPr>
            <w:r>
              <w:rPr/>
              <w:t> </w:t>
            </w:r>
          </w:p>
        </w:tc>
        <w:tc>
          <w:tcPr>
            <w:tcW w:w="164" w:type="dxa"/>
            <w:tcBorders/>
            <w:shd w:fill="auto" w:val="clear"/>
            <w:vAlign w:val="bottom"/>
          </w:tcPr>
          <w:p>
            <w:pPr>
              <w:pStyle w:val="TableContents"/>
              <w:spacing w:before="0" w:after="0"/>
              <w:ind w:left="0" w:right="0" w:hanging="0"/>
              <w:jc w:val="center"/>
              <w:rPr/>
            </w:pPr>
            <w:r>
              <w:rPr/>
              <w:t> </w:t>
            </w:r>
          </w:p>
        </w:tc>
        <w:tc>
          <w:tcPr>
            <w:tcW w:w="15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5" w:type="dxa"/>
            <w:tcBorders/>
            <w:shd w:fill="auto" w:val="clear"/>
            <w:vAlign w:val="bottom"/>
          </w:tcPr>
          <w:p>
            <w:pPr>
              <w:pStyle w:val="TableContents"/>
              <w:spacing w:before="0" w:after="0"/>
              <w:ind w:left="0" w:right="0" w:hanging="0"/>
              <w:jc w:val="center"/>
              <w:rPr/>
            </w:pPr>
            <w:r>
              <w:rPr/>
              <w:t> </w:t>
            </w:r>
          </w:p>
        </w:tc>
        <w:tc>
          <w:tcPr>
            <w:tcW w:w="136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76" w:type="dxa"/>
            <w:gridSpan w:val="2"/>
            <w:tcBorders/>
            <w:shd w:fill="auto" w:val="clear"/>
            <w:vAlign w:val="bottom"/>
          </w:tcPr>
          <w:p>
            <w:pPr>
              <w:pStyle w:val="TableContents"/>
              <w:spacing w:before="0" w:after="0"/>
              <w:ind w:left="0" w:right="0" w:hanging="0"/>
              <w:jc w:val="center"/>
              <w:rPr/>
            </w:pPr>
            <w:r>
              <w:rPr/>
              <w:t> </w:t>
            </w:r>
          </w:p>
        </w:tc>
        <w:tc>
          <w:tcPr>
            <w:tcW w:w="15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75" w:type="dxa"/>
            <w:tcBorders/>
            <w:shd w:fill="auto" w:val="clear"/>
            <w:vAlign w:val="bottom"/>
          </w:tcPr>
          <w:p>
            <w:pPr>
              <w:pStyle w:val="TableContents"/>
              <w:spacing w:before="0" w:after="0"/>
              <w:ind w:left="0" w:right="0" w:hanging="0"/>
              <w:jc w:val="center"/>
              <w:rPr/>
            </w:pPr>
            <w:r>
              <w:rPr/>
              <w:t> </w:t>
            </w:r>
          </w:p>
        </w:tc>
        <w:tc>
          <w:tcPr>
            <w:tcW w:w="150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(3)(4)(5)</w:t>
            </w:r>
          </w:p>
        </w:tc>
        <w:tc>
          <w:tcPr>
            <w:tcW w:w="164" w:type="dxa"/>
            <w:tcBorders/>
            <w:shd w:fill="auto" w:val="clear"/>
            <w:vAlign w:val="bottom"/>
          </w:tcPr>
          <w:p>
            <w:pPr>
              <w:pStyle w:val="TableContents"/>
              <w:spacing w:before="0" w:after="0"/>
              <w:ind w:left="0" w:right="0" w:hanging="0"/>
              <w:jc w:val="center"/>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5" w:type="dxa"/>
            <w:tcBorders/>
            <w:shd w:fill="auto" w:val="clear"/>
            <w:vAlign w:val="bottom"/>
          </w:tcPr>
          <w:p>
            <w:pPr>
              <w:pStyle w:val="TableContents"/>
              <w:spacing w:before="0" w:after="0"/>
              <w:ind w:left="0" w:right="0" w:hanging="0"/>
              <w:jc w:val="center"/>
              <w:rPr/>
            </w:pPr>
            <w:r>
              <w:rPr/>
              <w:t> </w:t>
            </w:r>
          </w:p>
        </w:tc>
        <w:tc>
          <w:tcPr>
            <w:tcW w:w="6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76" w:type="dxa"/>
            <w:gridSpan w:val="2"/>
            <w:tcBorders/>
            <w:shd w:fill="auto" w:val="clear"/>
            <w:vAlign w:val="bottom"/>
          </w:tcPr>
          <w:p>
            <w:pPr>
              <w:pStyle w:val="TableContents"/>
              <w:spacing w:before="0" w:after="0"/>
              <w:ind w:left="0" w:right="0" w:hanging="0"/>
              <w:jc w:val="center"/>
              <w:rPr/>
            </w:pPr>
            <w:r>
              <w:rPr/>
              <w:t> </w:t>
            </w:r>
          </w:p>
        </w:tc>
        <w:tc>
          <w:tcPr>
            <w:tcW w:w="6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75" w:type="dxa"/>
            <w:tcBorders/>
            <w:shd w:fill="auto" w:val="clear"/>
            <w:vAlign w:val="bottom"/>
          </w:tcPr>
          <w:p>
            <w:pPr>
              <w:pStyle w:val="TableContents"/>
              <w:spacing w:before="0" w:after="0"/>
              <w:ind w:left="0" w:right="0" w:hanging="0"/>
              <w:jc w:val="center"/>
              <w:rPr/>
            </w:pPr>
            <w:r>
              <w:rPr/>
              <w:t> </w:t>
            </w:r>
          </w:p>
        </w:tc>
        <w:tc>
          <w:tcPr>
            <w:tcW w:w="6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1" w:type="dxa"/>
            <w:tcBorders/>
            <w:shd w:fill="auto" w:val="clear"/>
            <w:vAlign w:val="bottom"/>
          </w:tcPr>
          <w:p>
            <w:pPr>
              <w:pStyle w:val="TableContents"/>
              <w:spacing w:before="0" w:after="0"/>
              <w:ind w:left="0" w:right="0" w:hanging="0"/>
              <w:jc w:val="center"/>
              <w:rPr/>
            </w:pPr>
            <w:r>
              <w:rPr/>
              <w:t> </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164" w:type="dxa"/>
            <w:tcBorders/>
            <w:shd w:fill="CCEEFF"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5" w:type="dxa"/>
            <w:tcBorders/>
            <w:shd w:fill="CCEEFF" w:val="clear"/>
            <w:vAlign w:val="bottom"/>
          </w:tcPr>
          <w:p>
            <w:pPr>
              <w:pStyle w:val="TableContents"/>
              <w:spacing w:before="0" w:after="0"/>
              <w:ind w:left="0" w:right="0" w:hanging="0"/>
              <w:rPr/>
            </w:pPr>
            <w:r>
              <w:rPr/>
              <w:t> </w:t>
            </w:r>
          </w:p>
        </w:tc>
        <w:tc>
          <w:tcPr>
            <w:tcW w:w="5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5" w:type="dxa"/>
            <w:tcBorders/>
            <w:shd w:fill="CCEEFF" w:val="clear"/>
            <w:vAlign w:val="bottom"/>
          </w:tcPr>
          <w:p>
            <w:pPr>
              <w:pStyle w:val="TableContents"/>
              <w:spacing w:before="0" w:after="0"/>
              <w:ind w:left="0" w:right="0" w:hanging="0"/>
              <w:rPr/>
            </w:pPr>
            <w:r>
              <w:rPr/>
              <w:t> </w:t>
            </w:r>
          </w:p>
        </w:tc>
        <w:tc>
          <w:tcPr>
            <w:tcW w:w="6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164" w:type="dxa"/>
            <w:tcBorders/>
            <w:shd w:fill="auto"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5" w:type="dxa"/>
            <w:tcBorders/>
            <w:shd w:fill="auto"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5" w:type="dxa"/>
            <w:tcBorders/>
            <w:shd w:fill="auto"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5" w:type="dxa"/>
            <w:tcBorders/>
            <w:shd w:fill="auto" w:val="clear"/>
            <w:vAlign w:val="bottom"/>
          </w:tcPr>
          <w:p>
            <w:pPr>
              <w:pStyle w:val="TableContents"/>
              <w:spacing w:before="0" w:after="0"/>
              <w:ind w:left="0" w:right="0" w:hanging="0"/>
              <w:rPr/>
            </w:pPr>
            <w:r>
              <w:rPr/>
              <w:t> </w:t>
            </w:r>
          </w:p>
        </w:tc>
        <w:tc>
          <w:tcPr>
            <w:tcW w:w="5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5" w:type="dxa"/>
            <w:tcBorders/>
            <w:shd w:fill="auto"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5" w:type="dxa"/>
            <w:tcBorders/>
            <w:shd w:fill="auto"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5" w:type="dxa"/>
            <w:tcBorders/>
            <w:shd w:fill="auto" w:val="clear"/>
            <w:vAlign w:val="bottom"/>
          </w:tcPr>
          <w:p>
            <w:pPr>
              <w:pStyle w:val="TableContents"/>
              <w:spacing w:before="0" w:after="0"/>
              <w:ind w:left="0" w:right="0" w:hanging="0"/>
              <w:rPr/>
            </w:pPr>
            <w:r>
              <w:rPr/>
              <w:t> </w:t>
            </w:r>
          </w:p>
        </w:tc>
        <w:tc>
          <w:tcPr>
            <w:tcW w:w="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164" w:type="dxa"/>
            <w:tcBorders/>
            <w:shd w:fill="CCEEFF"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5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8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5" w:type="dxa"/>
            <w:tcBorders/>
            <w:shd w:fill="CCEEFF"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5" w:type="dxa"/>
            <w:tcBorders/>
            <w:shd w:fill="CCEEFF"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capacity in millions of barrels)</w:t>
            </w:r>
          </w:p>
        </w:tc>
        <w:tc>
          <w:tcPr>
            <w:tcW w:w="164" w:type="dxa"/>
            <w:tcBorders/>
            <w:shd w:fill="auto"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85" w:type="dxa"/>
            <w:tcBorders/>
            <w:shd w:fill="auto"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75" w:type="dxa"/>
            <w:tcBorders/>
            <w:shd w:fill="auto"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5" w:type="dxa"/>
            <w:tcBorders/>
            <w:shd w:fill="auto" w:val="clear"/>
            <w:vAlign w:val="bottom"/>
          </w:tcPr>
          <w:p>
            <w:pPr>
              <w:pStyle w:val="TableContents"/>
              <w:spacing w:before="0" w:after="0"/>
              <w:ind w:left="0" w:right="0" w:hanging="0"/>
              <w:rPr/>
            </w:pPr>
            <w:r>
              <w:rPr/>
              <w:t> </w:t>
            </w:r>
          </w:p>
        </w:tc>
        <w:tc>
          <w:tcPr>
            <w:tcW w:w="5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8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c>
          <w:tcPr>
            <w:tcW w:w="6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85" w:type="dxa"/>
            <w:tcBorders/>
            <w:shd w:fill="auto" w:val="clear"/>
            <w:vAlign w:val="bottom"/>
          </w:tcPr>
          <w:p>
            <w:pPr>
              <w:pStyle w:val="TableContents"/>
              <w:spacing w:before="0" w:after="0"/>
              <w:ind w:left="0" w:right="0" w:hanging="0"/>
              <w:rPr/>
            </w:pPr>
            <w:r>
              <w:rPr/>
              <w:t> </w:t>
            </w:r>
          </w:p>
        </w:tc>
        <w:tc>
          <w:tcPr>
            <w:tcW w:w="69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75" w:type="dxa"/>
            <w:tcBorders/>
            <w:shd w:fill="auto" w:val="clear"/>
            <w:vAlign w:val="bottom"/>
          </w:tcPr>
          <w:p>
            <w:pPr>
              <w:pStyle w:val="TableContents"/>
              <w:spacing w:before="0" w:after="0"/>
              <w:ind w:left="0" w:right="0" w:hanging="0"/>
              <w:rPr/>
            </w:pPr>
            <w:r>
              <w:rPr/>
              <w:t> </w:t>
            </w:r>
          </w:p>
        </w:tc>
        <w:tc>
          <w:tcPr>
            <w:tcW w:w="67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5" w:type="dxa"/>
            <w:tcBorders/>
            <w:shd w:fill="auto" w:val="clear"/>
            <w:vAlign w:val="bottom"/>
          </w:tcPr>
          <w:p>
            <w:pPr>
              <w:pStyle w:val="TableContents"/>
              <w:spacing w:before="0" w:after="0"/>
              <w:ind w:left="0" w:right="0" w:hanging="0"/>
              <w:rPr/>
            </w:pPr>
            <w:r>
              <w:rPr/>
              <w:t> </w:t>
            </w:r>
          </w:p>
        </w:tc>
        <w:tc>
          <w:tcPr>
            <w:tcW w:w="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Facilities total calculated as the sum of: (i) crude oil, refined products and LPG storage capacity; (ii) natural gas storage capacity divided by 6 to account for the 6:1 mcf of gas to crude oil barrel ratio and further divided by 1,000 to convert to monthly volumes in millions;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September 2009, we acquired the remaining 50% indirect interest in PNGS, which resulted in our 100% ownership of the natural gas storage business and related operating entities. Therefore, natural gas storage volumes for January through August 2009 are netted to our 50% interest in PNGS. Beginning in September 2009, volumes represent our 100% interest in PNGS.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2" w:name="PB_38_154919_8627"/>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Facilities segment profit and segment profit per barrel were impacted by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noted in the table above, our facilities segment revenues (less storage related costs) and volumes increased for the three and nine months ended September 30, 2010 over the three and nine months ended September 30, 2009. The significant variances in revenues and average monthly volumes between the comparative periods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Revenues net of storage related costs and volumes for the three and nine months ended September 30, 2010 over the three and nine months ended September 30, 2009 were primarily impacted by the PNGS acquisition, which closed at the end of the third quarter of 2009. This acquisition and ongoing expansion activities at PNG contributed approximately $15 million and $49 million of additional net revenue and approximately 23 Bcf and 25 Bcf of additional natural gas storage capacity for the three and nine months ended September 30, 2010, respectively, compared to the corresponding periods during 2009.  Revenues were also favorably impacted by the acquisition of a natural gas processing business, which closed during the second quarter of 2009. This acquisition contributed approximately $8 million in additional revenue for the nine months ended September 30,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Expansion Projects  Expansion projects that were completed in phases throughout 2009 also favorably impacted revenues and volumes during the comparative periods. These expansion projects, which were completed at some of our major terminal locations, increased our revenues by a combined $5 million and $11 million, respectively for the three and nine months ended September 30, 2010, compared to the same time periods of the prior year. Aggregate volumes increased by approximately 4 million barrels and 3 million barrels for the three and nine month periods ended September 30, 2010 compared to the three and nine month periods ended September 30, 2009 at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 During the nine months ended September 30, 2010, we recognized approximately $6 million related to volumetric gains. Volumetric gains were immaterial for the nine months ended September 30,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and General and Administrative Expenses.  </w:t>
      </w:r>
      <w:r>
        <w:rPr>
          <w:rFonts w:ascii="Times New Roman" w:hAnsi="Times New Roman"/>
          <w:sz w:val="17"/>
        </w:rPr>
        <w:t>Field operating costs (excluding equity compensation charges) increased in most categories during the three and nine months ended September 30, 2010 compared to the three and nine months ended September 30, 2009 primarily due to (i) our continued growth through additional tankage placed into service during 2009 and 2010 at some of our major terminal locations and (ii) acquisitions such as the PNGS and natural gas processing acquisitions completed in second and third quarters of 2009.  Our continued growth through such acquisitions also was the primary reason for the increase in our general and administrative expenses (excluding equity compensation charges) for the same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Earnings in Unconsolidated Entities. </w:t>
      </w:r>
      <w:r>
        <w:rPr>
          <w:rFonts w:ascii="Times New Roman" w:hAnsi="Times New Roman"/>
          <w:sz w:val="17"/>
        </w:rPr>
        <w:t>Equity earnings in unconsolidated entities decreased in the three and nine months ended September 30, 2010 over the three and nine months ended September 30, 2009 due to the PNGS acquisition in September 2009 that increased our interest from 50% to 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3" w:name="PB_39_154705_5796"/>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49"/>
        <w:gridCol w:w="191"/>
        <w:gridCol w:w="116"/>
        <w:gridCol w:w="553"/>
        <w:gridCol w:w="197"/>
        <w:gridCol w:w="116"/>
        <w:gridCol w:w="554"/>
        <w:gridCol w:w="196"/>
        <w:gridCol w:w="115"/>
        <w:gridCol w:w="547"/>
        <w:gridCol w:w="195"/>
        <w:gridCol w:w="528"/>
        <w:gridCol w:w="303"/>
        <w:gridCol w:w="102"/>
        <w:gridCol w:w="115"/>
        <w:gridCol w:w="569"/>
        <w:gridCol w:w="196"/>
        <w:gridCol w:w="115"/>
        <w:gridCol w:w="569"/>
        <w:gridCol w:w="196"/>
        <w:gridCol w:w="115"/>
        <w:gridCol w:w="547"/>
        <w:gridCol w:w="196"/>
        <w:gridCol w:w="593"/>
        <w:gridCol w:w="232"/>
      </w:tblGrid>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405" w:type="dxa"/>
            <w:gridSpan w:val="2"/>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405" w:type="dxa"/>
            <w:gridSpan w:val="2"/>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405" w:type="dxa"/>
            <w:gridSpan w:val="2"/>
            <w:tcBorders/>
            <w:shd w:fill="auto" w:val="clear"/>
            <w:vAlign w:val="bottom"/>
          </w:tcPr>
          <w:p>
            <w:pPr>
              <w:pStyle w:val="TableContents"/>
              <w:spacing w:before="0" w:after="0"/>
              <w:ind w:left="0" w:right="0" w:hanging="0"/>
              <w:jc w:val="center"/>
              <w:rPr/>
            </w:pPr>
            <w:r>
              <w:rPr/>
              <w:t> </w:t>
            </w:r>
          </w:p>
        </w:tc>
        <w:tc>
          <w:tcPr>
            <w:tcW w:w="15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405" w:type="dxa"/>
            <w:gridSpan w:val="2"/>
            <w:tcBorders/>
            <w:shd w:fill="auto" w:val="clear"/>
            <w:vAlign w:val="bottom"/>
          </w:tcPr>
          <w:p>
            <w:pPr>
              <w:pStyle w:val="TableContents"/>
              <w:spacing w:before="0" w:after="0"/>
              <w:ind w:left="0" w:right="0" w:hanging="0"/>
              <w:jc w:val="center"/>
              <w:rPr/>
            </w:pPr>
            <w:r>
              <w:rPr/>
              <w:t> </w:t>
            </w:r>
          </w:p>
        </w:tc>
        <w:tc>
          <w:tcPr>
            <w:tcW w:w="15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96"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405" w:type="dxa"/>
            <w:gridSpan w:val="2"/>
            <w:tcBorders/>
            <w:shd w:fill="auto" w:val="clear"/>
            <w:vAlign w:val="bottom"/>
          </w:tcPr>
          <w:p>
            <w:pPr>
              <w:pStyle w:val="TableContents"/>
              <w:spacing w:before="0" w:after="0"/>
              <w:ind w:left="0" w:right="0" w:hanging="0"/>
              <w:jc w:val="center"/>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96"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1"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6,179</w:t>
            </w:r>
          </w:p>
        </w:tc>
        <w:tc>
          <w:tcPr>
            <w:tcW w:w="197"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4,645</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1,534</w:t>
            </w:r>
          </w:p>
        </w:tc>
        <w:tc>
          <w:tcPr>
            <w:tcW w:w="195" w:type="dxa"/>
            <w:tcBorders/>
            <w:shd w:fill="CCEEFF" w:val="clear"/>
            <w:vAlign w:val="bottom"/>
          </w:tcPr>
          <w:p>
            <w:pPr>
              <w:pStyle w:val="TableContents"/>
              <w:spacing w:before="0" w:after="0"/>
              <w:ind w:left="0" w:right="0" w:hanging="0"/>
              <w:rPr/>
            </w:pPr>
            <w:r>
              <w:rPr/>
              <w:t> </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17,993</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11,877</w:t>
            </w:r>
          </w:p>
        </w:tc>
        <w:tc>
          <w:tcPr>
            <w:tcW w:w="196"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6,116</w:t>
            </w:r>
          </w:p>
        </w:tc>
        <w:tc>
          <w:tcPr>
            <w:tcW w:w="196" w:type="dxa"/>
            <w:tcBorders/>
            <w:shd w:fill="CCEEFF" w:val="clear"/>
            <w:vAlign w:val="bottom"/>
          </w:tcPr>
          <w:p>
            <w:pPr>
              <w:pStyle w:val="TableContents"/>
              <w:spacing w:before="0" w:after="0"/>
              <w:ind w:left="0" w:right="0" w:hanging="0"/>
              <w:rPr/>
            </w:pPr>
            <w:r>
              <w:rPr/>
              <w:t> </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(6,104</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(4,534</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(1,570</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(17,625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(11,389</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(6,236</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pPr>
            <w:r>
              <w:rPr>
                <w:rFonts w:ascii="Times New Roman" w:hAnsi="Times New Roman"/>
                <w:sz w:val="17"/>
              </w:rPr>
              <w:t xml:space="preserve">Equity compensation expense - operations </w:t>
            </w:r>
            <w:r>
              <w:rPr>
                <w:sz w:val="11"/>
              </w:rPr>
              <w:t>(3)</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5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equity compensation expense)</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pPr>
            <w:r>
              <w:rPr>
                <w:rFonts w:ascii="Times New Roman" w:hAnsi="Times New Roman"/>
                <w:sz w:val="17"/>
              </w:rPr>
              <w:t xml:space="preserve">Equity compensation expense - general and administrative </w:t>
            </w:r>
            <w:r>
              <w:rPr>
                <w:sz w:val="11"/>
              </w:rPr>
              <w:t>(3)</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5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59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1"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7" w:type="dxa"/>
            <w:tcBorders/>
            <w:shd w:fill="auto" w:val="clear"/>
            <w:vAlign w:val="bottom"/>
          </w:tcPr>
          <w:p>
            <w:pPr>
              <w:pStyle w:val="TableContents"/>
              <w:spacing w:before="0" w:after="0"/>
              <w:ind w:left="0" w:right="0" w:hanging="0"/>
              <w:rPr/>
            </w:pPr>
            <w:r>
              <w:rPr/>
              <w:t> </w:t>
            </w:r>
          </w:p>
        </w:tc>
        <w:tc>
          <w:tcPr>
            <w:tcW w:w="1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auto" w:val="clear"/>
            <w:vAlign w:val="bottom"/>
          </w:tcPr>
          <w:p>
            <w:pPr>
              <w:pStyle w:val="TableContents"/>
              <w:spacing w:before="0" w:after="0"/>
              <w:ind w:left="0" w:right="0" w:hanging="0"/>
              <w:rPr/>
            </w:pPr>
            <w:r>
              <w:rPr/>
              <w:t> </w:t>
            </w:r>
          </w:p>
        </w:tc>
        <w:tc>
          <w:tcPr>
            <w:tcW w:w="11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pPr>
            <w:r>
              <w:rPr>
                <w:rFonts w:ascii="Times New Roman" w:hAnsi="Times New Roman"/>
                <w:sz w:val="17"/>
              </w:rPr>
              <w:t xml:space="preserve">Segment profit per barrel </w:t>
            </w:r>
            <w:r>
              <w:rPr>
                <w:sz w:val="11"/>
              </w:rPr>
              <w:t>(4)</w:t>
            </w:r>
          </w:p>
        </w:tc>
        <w:tc>
          <w:tcPr>
            <w:tcW w:w="191"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97"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96"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pPr>
            <w:r>
              <w:rPr/>
              <w:t> </w:t>
            </w:r>
          </w:p>
        </w:tc>
        <w:tc>
          <w:tcPr>
            <w:tcW w:w="30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pPr>
            <w:r>
              <w:rPr/>
              <w:t> </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30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shd w:fill="auto" w:val="clear"/>
            <w:vAlign w:val="bottom"/>
          </w:tcPr>
          <w:p>
            <w:pPr>
              <w:pStyle w:val="TableContents"/>
              <w:spacing w:before="0" w:after="0"/>
              <w:ind w:left="0" w:right="0" w:hanging="0"/>
              <w:jc w:val="center"/>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670"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0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684"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0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56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auto" w:val="clear"/>
            <w:vAlign w:val="bottom"/>
          </w:tcPr>
          <w:p>
            <w:pPr>
              <w:pStyle w:val="TableContents"/>
              <w:spacing w:before="0" w:after="0"/>
              <w:ind w:left="0" w:right="0" w:hanging="0"/>
              <w:rPr/>
            </w:pPr>
            <w:r>
              <w:rPr>
                <w:rFonts w:ascii="Times New Roman" w:hAnsi="Times New Roman"/>
                <w:b/>
                <w:sz w:val="13"/>
              </w:rPr>
              <w:t>Average Daily Volumes </w:t>
            </w:r>
            <w:r>
              <w:rPr>
                <w:b/>
                <w:sz w:val="8"/>
              </w:rPr>
              <w:t>(5)</w:t>
            </w:r>
          </w:p>
        </w:tc>
        <w:tc>
          <w:tcPr>
            <w:tcW w:w="191" w:type="dxa"/>
            <w:tcBorders/>
            <w:shd w:fill="auto" w:val="clear"/>
            <w:vAlign w:val="bottom"/>
          </w:tcPr>
          <w:p>
            <w:pPr>
              <w:pStyle w:val="TableContents"/>
              <w:spacing w:before="0" w:after="0"/>
              <w:ind w:left="0" w:right="0" w:hanging="0"/>
              <w:jc w:val="center"/>
              <w:rPr/>
            </w:pPr>
            <w:r>
              <w:rPr/>
              <w:t> </w:t>
            </w:r>
          </w:p>
        </w:tc>
        <w:tc>
          <w:tcPr>
            <w:tcW w:w="15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38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03"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5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6" w:type="dxa"/>
            <w:tcBorders/>
            <w:shd w:fill="auto" w:val="clear"/>
            <w:vAlign w:val="bottom"/>
          </w:tcPr>
          <w:p>
            <w:pPr>
              <w:pStyle w:val="TableContents"/>
              <w:spacing w:before="0" w:after="0"/>
              <w:ind w:left="0" w:right="0" w:hanging="0"/>
              <w:jc w:val="center"/>
              <w:rPr/>
            </w:pPr>
            <w:r>
              <w:rPr/>
              <w:t> </w:t>
            </w:r>
          </w:p>
        </w:tc>
        <w:tc>
          <w:tcPr>
            <w:tcW w:w="145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w:t>
            </w:r>
          </w:p>
        </w:tc>
        <w:tc>
          <w:tcPr>
            <w:tcW w:w="191" w:type="dxa"/>
            <w:tcBorders/>
            <w:shd w:fill="auto" w:val="clear"/>
            <w:vAlign w:val="bottom"/>
          </w:tcPr>
          <w:p>
            <w:pPr>
              <w:pStyle w:val="TableContents"/>
              <w:spacing w:before="0" w:after="0"/>
              <w:ind w:left="0" w:right="0" w:hanging="0"/>
              <w:jc w:val="center"/>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96"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196" w:type="dxa"/>
            <w:tcBorders/>
            <w:shd w:fill="auto" w:val="clear"/>
            <w:vAlign w:val="bottom"/>
          </w:tcPr>
          <w:p>
            <w:pPr>
              <w:pStyle w:val="TableContents"/>
              <w:spacing w:before="0" w:after="0"/>
              <w:ind w:left="0" w:right="0" w:hanging="0"/>
              <w:jc w:val="center"/>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9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2" w:type="dxa"/>
            <w:tcBorders/>
            <w:shd w:fill="auto" w:val="clear"/>
            <w:vAlign w:val="bottom"/>
          </w:tcPr>
          <w:p>
            <w:pPr>
              <w:pStyle w:val="TableContents"/>
              <w:spacing w:before="0" w:after="0"/>
              <w:ind w:left="0" w:right="0" w:hanging="0"/>
              <w:jc w:val="center"/>
              <w:rPr/>
            </w:pPr>
            <w:r>
              <w:rPr/>
              <w:t> </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197" w:type="dxa"/>
            <w:tcBorders/>
            <w:shd w:fill="CCEEFF" w:val="clear"/>
            <w:vAlign w:val="bottom"/>
          </w:tcPr>
          <w:p>
            <w:pPr>
              <w:pStyle w:val="TableContents"/>
              <w:spacing w:before="0" w:after="0"/>
              <w:ind w:left="0" w:right="0" w:hanging="0"/>
              <w:rPr/>
            </w:pPr>
            <w:r>
              <w:rPr/>
              <w:t> </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5" w:type="dxa"/>
            <w:tcBorders/>
            <w:shd w:fill="CCEEFF" w:val="clear"/>
            <w:vAlign w:val="bottom"/>
          </w:tcPr>
          <w:p>
            <w:pPr>
              <w:pStyle w:val="TableContents"/>
              <w:spacing w:before="0" w:after="0"/>
              <w:ind w:left="0" w:right="0" w:hanging="0"/>
              <w:rPr/>
            </w:pPr>
            <w:r>
              <w:rPr/>
              <w:t> </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615</w:t>
            </w:r>
          </w:p>
        </w:tc>
        <w:tc>
          <w:tcPr>
            <w:tcW w:w="196"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7" w:type="dxa"/>
            <w:tcBorders/>
            <w:shd w:fill="auto" w:val="clear"/>
            <w:vAlign w:val="bottom"/>
          </w:tcPr>
          <w:p>
            <w:pPr>
              <w:pStyle w:val="TableContents"/>
              <w:spacing w:before="0" w:after="0"/>
              <w:ind w:left="0" w:right="0" w:hanging="0"/>
              <w:rPr/>
            </w:pPr>
            <w:r>
              <w:rPr/>
              <w:t> </w:t>
            </w:r>
          </w:p>
        </w:tc>
        <w:tc>
          <w:tcPr>
            <w:tcW w:w="6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6"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95" w:type="dxa"/>
            <w:tcBorders/>
            <w:shd w:fill="auto" w:val="clear"/>
            <w:vAlign w:val="bottom"/>
          </w:tcPr>
          <w:p>
            <w:pPr>
              <w:pStyle w:val="TableContents"/>
              <w:spacing w:before="0" w:after="0"/>
              <w:ind w:left="0" w:right="0" w:hanging="0"/>
              <w:rPr/>
            </w:pPr>
            <w:r>
              <w:rPr/>
              <w:t> </w:t>
            </w:r>
          </w:p>
        </w:tc>
        <w:tc>
          <w:tcPr>
            <w:tcW w:w="5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96" w:type="dxa"/>
            <w:tcBorders/>
            <w:shd w:fill="auto" w:val="clear"/>
            <w:vAlign w:val="bottom"/>
          </w:tcPr>
          <w:p>
            <w:pPr>
              <w:pStyle w:val="TableContents"/>
              <w:spacing w:before="0" w:after="0"/>
              <w:ind w:left="0" w:right="0" w:hanging="0"/>
              <w:rPr/>
            </w:pPr>
            <w:r>
              <w:rPr/>
              <w:t> </w:t>
            </w:r>
          </w:p>
        </w:tc>
        <w:tc>
          <w:tcPr>
            <w:tcW w:w="6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96" w:type="dxa"/>
            <w:tcBorders/>
            <w:shd w:fill="auto" w:val="clear"/>
            <w:vAlign w:val="bottom"/>
          </w:tcPr>
          <w:p>
            <w:pPr>
              <w:pStyle w:val="TableContents"/>
              <w:spacing w:before="0" w:after="0"/>
              <w:ind w:left="0" w:right="0" w:hanging="0"/>
              <w:rPr/>
            </w:pPr>
            <w:r>
              <w:rPr/>
              <w:t> </w:t>
            </w:r>
          </w:p>
        </w:tc>
        <w:tc>
          <w:tcPr>
            <w:tcW w:w="6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7" w:type="dxa"/>
            <w:tcBorders/>
            <w:shd w:fill="CCEEFF" w:val="clear"/>
            <w:vAlign w:val="bottom"/>
          </w:tcPr>
          <w:p>
            <w:pPr>
              <w:pStyle w:val="TableContents"/>
              <w:spacing w:before="0" w:after="0"/>
              <w:ind w:left="0" w:right="0" w:hanging="0"/>
              <w:rPr/>
            </w:pPr>
            <w:r>
              <w:rPr/>
              <w:t> </w:t>
            </w:r>
          </w:p>
        </w:tc>
        <w:tc>
          <w:tcPr>
            <w:tcW w:w="6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5" w:type="dxa"/>
            <w:tcBorders/>
            <w:shd w:fill="CCEEFF" w:val="clear"/>
            <w:vAlign w:val="bottom"/>
          </w:tcPr>
          <w:p>
            <w:pPr>
              <w:pStyle w:val="TableContents"/>
              <w:spacing w:before="0" w:after="0"/>
              <w:ind w:left="0" w:right="0" w:hanging="0"/>
              <w:rPr/>
            </w:pPr>
            <w:r>
              <w:rPr/>
              <w:t> </w:t>
            </w:r>
          </w:p>
        </w:tc>
        <w:tc>
          <w:tcPr>
            <w:tcW w:w="5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96" w:type="dxa"/>
            <w:tcBorders/>
            <w:shd w:fill="CCEEFF" w:val="clear"/>
            <w:vAlign w:val="bottom"/>
          </w:tcPr>
          <w:p>
            <w:pPr>
              <w:pStyle w:val="TableContents"/>
              <w:spacing w:before="0" w:after="0"/>
              <w:ind w:left="0" w:right="0" w:hanging="0"/>
              <w:rPr/>
            </w:pPr>
            <w:r>
              <w:rPr/>
              <w:t> </w:t>
            </w:r>
          </w:p>
        </w:tc>
        <w:tc>
          <w:tcPr>
            <w:tcW w:w="6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6" w:type="dxa"/>
            <w:tcBorders/>
            <w:shd w:fill="CCEEFF" w:val="clear"/>
            <w:vAlign w:val="bottom"/>
          </w:tcPr>
          <w:p>
            <w:pPr>
              <w:pStyle w:val="TableContents"/>
              <w:spacing w:before="0" w:after="0"/>
              <w:ind w:left="0" w:right="0" w:hanging="0"/>
              <w:rPr/>
            </w:pPr>
            <w:r>
              <w:rPr/>
              <w:t> </w:t>
            </w:r>
          </w:p>
        </w:tc>
        <w:tc>
          <w:tcPr>
            <w:tcW w:w="5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191" w:type="dxa"/>
            <w:tcBorders/>
            <w:shd w:fill="auto" w:val="clear"/>
            <w:vAlign w:val="bottom"/>
          </w:tcPr>
          <w:p>
            <w:pPr>
              <w:pStyle w:val="TableContents"/>
              <w:spacing w:before="0" w:after="0"/>
              <w:ind w:left="0" w:right="0" w:hanging="0"/>
              <w:rPr/>
            </w:pPr>
            <w:r>
              <w:rPr/>
              <w:t> </w:t>
            </w:r>
          </w:p>
        </w:tc>
        <w:tc>
          <w:tcPr>
            <w:tcW w:w="6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97" w:type="dxa"/>
            <w:tcBorders/>
            <w:shd w:fill="auto" w:val="clear"/>
            <w:vAlign w:val="bottom"/>
          </w:tcPr>
          <w:p>
            <w:pPr>
              <w:pStyle w:val="TableContents"/>
              <w:spacing w:before="0" w:after="0"/>
              <w:ind w:left="0" w:right="0" w:hanging="0"/>
              <w:rPr/>
            </w:pPr>
            <w:r>
              <w:rPr/>
              <w:t> </w:t>
            </w:r>
          </w:p>
        </w:tc>
        <w:tc>
          <w:tcPr>
            <w:tcW w:w="6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6" w:type="dxa"/>
            <w:tcBorders/>
            <w:shd w:fill="auto"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5" w:type="dxa"/>
            <w:tcBorders/>
            <w:shd w:fill="auto" w:val="clear"/>
            <w:vAlign w:val="bottom"/>
          </w:tcPr>
          <w:p>
            <w:pPr>
              <w:pStyle w:val="TableContents"/>
              <w:spacing w:before="0" w:after="0"/>
              <w:ind w:left="0" w:right="0" w:hanging="0"/>
              <w:rPr/>
            </w:pPr>
            <w:r>
              <w:rPr/>
              <w:t> </w:t>
            </w:r>
          </w:p>
        </w:tc>
        <w:tc>
          <w:tcPr>
            <w:tcW w:w="5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30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96" w:type="dxa"/>
            <w:tcBorders/>
            <w:shd w:fill="auto" w:val="clear"/>
            <w:vAlign w:val="bottom"/>
          </w:tcPr>
          <w:p>
            <w:pPr>
              <w:pStyle w:val="TableContents"/>
              <w:spacing w:before="0" w:after="0"/>
              <w:ind w:left="0" w:right="0" w:hanging="0"/>
              <w:rPr/>
            </w:pPr>
            <w:r>
              <w:rPr/>
              <w:t> </w:t>
            </w:r>
          </w:p>
        </w:tc>
        <w:tc>
          <w:tcPr>
            <w:tcW w:w="6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6" w:type="dxa"/>
            <w:tcBorders/>
            <w:shd w:fill="auto" w:val="clear"/>
            <w:vAlign w:val="bottom"/>
          </w:tcPr>
          <w:p>
            <w:pPr>
              <w:pStyle w:val="TableContents"/>
              <w:spacing w:before="0" w:after="0"/>
              <w:ind w:left="0" w:right="0" w:hanging="0"/>
              <w:rPr/>
            </w:pPr>
            <w:r>
              <w:rPr/>
              <w:t> </w:t>
            </w:r>
          </w:p>
        </w:tc>
        <w:tc>
          <w:tcPr>
            <w:tcW w:w="6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6" w:type="dxa"/>
            <w:tcBorders/>
            <w:shd w:fill="auto" w:val="clear"/>
            <w:vAlign w:val="bottom"/>
          </w:tcPr>
          <w:p>
            <w:pPr>
              <w:pStyle w:val="TableContents"/>
              <w:spacing w:before="0" w:after="0"/>
              <w:ind w:left="0" w:right="0" w:hanging="0"/>
              <w:rPr/>
            </w:pPr>
            <w:r>
              <w:rPr/>
              <w:t> </w:t>
            </w:r>
          </w:p>
        </w:tc>
        <w:tc>
          <w:tcPr>
            <w:tcW w:w="59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total</w:t>
            </w:r>
          </w:p>
        </w:tc>
        <w:tc>
          <w:tcPr>
            <w:tcW w:w="191" w:type="dxa"/>
            <w:tcBorders/>
            <w:shd w:fill="CCEEFF" w:val="clear"/>
            <w:vAlign w:val="bottom"/>
          </w:tcPr>
          <w:p>
            <w:pPr>
              <w:pStyle w:val="TableContents"/>
              <w:spacing w:before="0" w:after="0"/>
              <w:ind w:left="0" w:right="0" w:hanging="0"/>
              <w:rPr/>
            </w:pPr>
            <w:r>
              <w:rPr/>
              <w:t> </w:t>
            </w:r>
          </w:p>
        </w:tc>
        <w:tc>
          <w:tcPr>
            <w:tcW w:w="66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197" w:type="dxa"/>
            <w:tcBorders/>
            <w:shd w:fill="CCEEFF" w:val="clear"/>
            <w:vAlign w:val="bottom"/>
          </w:tcPr>
          <w:p>
            <w:pPr>
              <w:pStyle w:val="TableContents"/>
              <w:spacing w:before="0" w:after="0"/>
              <w:ind w:left="0" w:right="0" w:hanging="0"/>
              <w:rPr/>
            </w:pPr>
            <w:r>
              <w:rPr/>
              <w:t> </w:t>
            </w:r>
          </w:p>
        </w:tc>
        <w:tc>
          <w:tcPr>
            <w:tcW w:w="67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95" w:type="dxa"/>
            <w:tcBorders/>
            <w:shd w:fill="CCEEFF" w:val="clear"/>
            <w:vAlign w:val="bottom"/>
          </w:tcPr>
          <w:p>
            <w:pPr>
              <w:pStyle w:val="TableContents"/>
              <w:spacing w:before="0" w:after="0"/>
              <w:ind w:left="0" w:right="0" w:hanging="0"/>
              <w:rPr/>
            </w:pPr>
            <w:r>
              <w:rPr/>
              <w:t> </w:t>
            </w:r>
          </w:p>
        </w:tc>
        <w:tc>
          <w:tcPr>
            <w:tcW w:w="5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0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c>
          <w:tcPr>
            <w:tcW w:w="68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196" w:type="dxa"/>
            <w:tcBorders/>
            <w:shd w:fill="CCEEFF" w:val="clear"/>
            <w:vAlign w:val="bottom"/>
          </w:tcPr>
          <w:p>
            <w:pPr>
              <w:pStyle w:val="TableContents"/>
              <w:spacing w:before="0" w:after="0"/>
              <w:ind w:left="0" w:right="0" w:hanging="0"/>
              <w:rPr/>
            </w:pPr>
            <w:r>
              <w:rPr/>
              <w:t> </w:t>
            </w:r>
          </w:p>
        </w:tc>
        <w:tc>
          <w:tcPr>
            <w:tcW w:w="68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w:t>
            </w:r>
          </w:p>
        </w:tc>
        <w:tc>
          <w:tcPr>
            <w:tcW w:w="196" w:type="dxa"/>
            <w:tcBorders/>
            <w:shd w:fill="CCEEFF" w:val="clear"/>
            <w:vAlign w:val="bottom"/>
          </w:tcPr>
          <w:p>
            <w:pPr>
              <w:pStyle w:val="TableContents"/>
              <w:spacing w:before="0" w:after="0"/>
              <w:ind w:left="0" w:right="0" w:hanging="0"/>
              <w:rPr/>
            </w:pPr>
            <w:r>
              <w:rPr/>
              <w:t> </w:t>
            </w:r>
          </w:p>
        </w:tc>
        <w:tc>
          <w:tcPr>
            <w:tcW w:w="66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6" w:type="dxa"/>
            <w:tcBorders/>
            <w:shd w:fill="CCEEFF" w:val="clear"/>
            <w:vAlign w:val="bottom"/>
          </w:tcPr>
          <w:p>
            <w:pPr>
              <w:pStyle w:val="TableContents"/>
              <w:spacing w:before="0" w:after="0"/>
              <w:ind w:left="0" w:right="0" w:hanging="0"/>
              <w:rPr/>
            </w:pPr>
            <w:r>
              <w:rPr/>
              <w:t> </w:t>
            </w:r>
          </w:p>
        </w:tc>
        <w:tc>
          <w:tcPr>
            <w:tcW w:w="5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inventory purchases) of approximately $5 million and $13 million for the three and nine months ended September 30, 2010, respectively, compared to $4 million and $8 million for the three and nine months ended September 30, 2009,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related to our equity compensation plans. See Note 8 to our Condensed Consolidated Financial Statements for additional discussion of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Calculated based on crude oil lease gathering purchased volumes, refined products volumes, LPG sales volumes and waterborne foreign crude oil imported volumes.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absolute amount of our revenues and purchases increased in the three and nine months ended September 30, 2010 as compared to the three and nine months ended September 30, 2009, primarily resulting from higher commodity prices experienced in the 2010 period. The NYMEX benchmark price of crude oil ranged from $71 to $83 per barrel and $59 to $75 per barrel during the three months ended September 30, 2010 and 2009, respectively, and from $64 to $87 per barrel and $34 to $75 per barrel during the nine months ended September 30, 2010 and 2009, respectively. Because the commodities that we buy and sell are generally indexed to the same pricing indices for both the purchase and sale, revenues and costs related to purchases will fluctuate with market prices. However, the margins related to those purchases and sales will not necessarily have a corresponding increase or decrease.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that may be optimized and enhanced when there is a high level of market volatility, favorable basis differentials and/or a steep contango or backwardated market structure. In addition, certain of our subsidiaries are based in Canada and use the Canadian dollar as their functional currency. Revenues and expenses are translated at average exchange rates prevailing for each month and comparison between periods may be impacted by changes in the average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4" w:name="PB_40_154705_2897"/>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Also, our LPG marketing operations are weather-sensitive, particularly during the approximate six-month peak heating season of October through March, and temperature differences from year to year may have a significant effect on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Average daily crude oil lease gathering volumes increased by approximately 20,000 barrels per day during the three months ended September 30, 2010 compared to the same period of 2009 primarily due to recent increased third-party drilling activities.  Average daily crude oil lease gathering volumes slightly decreased, however, during the nine months ended September 30, 2010 compared to the same period of 2009 primarily due to the elimination of some of our less profitable lease gathering purchases.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net of purchases and related costs, for the third quarter of 2010 decreased by approximately $36 million or 32% compared to the third quarter of September 30, 2009 despite our increased volumetric activity primarily due to the net mark-to-market loss of approximately $43 million that was recognized within the third quarter of 2010 compared to a net mark-to-market gain of approximately $11 million that was recognized in the comparable 2009 quarter.  This unfavorable variance was partially offset by other factors including (i) more favorable market conditions experienced during the third quarter of 2010 compared to the same prior year quarter and (ii) increased revenues realized as a result of additional volumes received and sold as third-party drilling activities expanded.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net of purchases and related costs, decreased by approximately $120 million or 25% for the nine months ended September 30, 2010 as compared to the nine months ended September 30, 2009 primarily due to decreased LPG margins. LPG margins for 2010 were in line with expectations, but 2009 margins were higher than normal due to the liquidation of lower valued inventory following a write down of inventory values during 2008.  The 2010 period was also unfavorably impacted by (i) less favorable crude oil quality differentials and (ii) less favorable market conditions.  These unfavorable variances for the nine month comparative periods were partially offset by (i) net gains on sales of excess inventory and linefill that were recognized during 2010 and (ii) our mark-to-market activity.  During the nine months ended September 30, 2010, we recognized net mark-to-market losses of approximately $6 million as compared to net losses of approximately $34 million during the nine months ended September 30, 2009. Also, although our average daily crude oil lease gathering volumes remained relatively consistent for the nine months ended September 30, 2010 compared to the same period last year, we recognized increased revenues as a result of additional volumes received and sold as third party drilling activity expanded. These higher margin volumes; however, were partially offset by the elimination of some of our less profitable lease gathering purchases as mentioned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Such results for both the three and nine months ended September 30, 2010 compared to the three and nine months ended September 30, 2009 were also favorably impacted by foreign currency adjustments.  Revenues and expenses from our Canadian based subsidiaries, which use the Canadian dollar as their functional currency, were translated at the prevailing average exchange rate for each month. During 2010, revenues were favorably impacted by the depreciation of the U.S. dollar relative to the Canadian dollar. The average Canadian dollar to U.S. dollar exchange rate for the three-month period ended September 30, 2010 was $1.04 CAD: $1.00 USD compared to an average of $1.10 CAD: $1.00 USD for the three-month period ended September 30, 2009. The average Canadian dollar to U.S. dollar exchange rate for the nine-month period ended September 30, 2010 was $1.04 CAD: $1.00 USD compared to an average of $1.17 CAD: $1.00 USD for the nine-month period ended September 30,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 compensation charges) increased during the three and nine months ended September 30, 2010 compared to the three and nine months ended September 30, 2009 primarily due to an increase in truck-hauled lease volumes which resulted in increased driver commissions, transport fuel costs and third party trucking fees.  Additionally, transport fuel costs were negatively impacted in 2010 by higher diesel fuel prices.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General and administrative expenses (excluding equity compensation charges) increased during the nine months ended September 30, 2010 over the nine months ended September 30, 2009 consistent with the overall growth of the segment.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 xml:space="preserve">Depreciation and amortization expense increased approximately $19 million for the nine months ended September 30, 2010 compared to the nine months ended September 30, 2009, respectively. The increase was primarily the result of an increased amount of depreciable assets resulting from our acquisition activities including PNGS as well as various internal growth projects. The increase in depreciation expense was partially offset by extensions of the depreciable lives of several of our large storage facilities and pipeline systems based on an ongoing internal review.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Interest Expense.</w:t>
      </w:r>
      <w:r>
        <w:rPr>
          <w:rFonts w:ascii="Times New Roman" w:hAnsi="Times New Roman"/>
        </w:rPr>
        <w:t xml:space="preserve"> </w:t>
      </w:r>
      <w:r>
        <w:rPr>
          <w:rFonts w:ascii="Times New Roman" w:hAnsi="Times New Roman"/>
          <w:sz w:val="17"/>
        </w:rPr>
        <w:t>Interest expense increased approximately $5 million and $18 million for the three and nine months ended September 30, 2010 compared to the three and nine months ended September 30, 2009, respectively. This increase is primarily due to the collective issuance of approximately $1.8 billion of senior notes (in July 2010 as well as in April, July and September 2009), which was partially offset by the collective retirement of approximately $425 million of senior notes (in August and October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5" w:name="PB_41_154705_3020"/>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Other income, net</w:t>
      </w:r>
      <w:r>
        <w:rPr>
          <w:rFonts w:ascii="Times New Roman" w:hAnsi="Times New Roman"/>
        </w:rPr>
        <w:t xml:space="preserve">   </w:t>
      </w:r>
      <w:r>
        <w:rPr>
          <w:rFonts w:ascii="Times New Roman" w:hAnsi="Times New Roman"/>
          <w:sz w:val="17"/>
        </w:rPr>
        <w:t>Other income, net was a loss of approximately $7 million for the three months ended September 30, 2010, compared to income of approximately $12 million for the three months ended September 30, 2009.  The loss in the 2010 period is primarily related to the early redemption of our $175 million, 6.25% senior notes.  The income recognized in the 2009 period relates to a net gain of approximately $9 million in connection with our PNGS acquisition and a net gain of approximately $2 million related to the foreign currency revaluation of a CAD-denominated interest rate receivable associated with an intercompany note and the impact of related foreign currency hedges.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nine month period ended September 30, 2010, other income, net was a loss of $9 million compared to a gain of approximately $17 million for the nine month period ended September 30, 2009.  The loss in the 2010 period is primarily related to the early redemption of our senior notes discussed above, as well as the revaluation of contingent consideration related to our PNGS acquisition.  The income in the 2009 period is primarily related to the approximately $9 million net gain in connection with our PNGS acquisition, as well as approximately $8 million of net gain related to the foreign currency revaluation of a CAD-denominated interest rate receivable associated with an intercompany note and the impact of related foreign currency hedges (of which approximately $6 million was reclassified from AOCI).</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cash requirements include, but are not limited to (i) ordinary course of business uses, such as the payment of amounts related to the purchase of crude oil and other products and other expenses, interest payments on our outstanding debt and distributions to our unitholders and General Partner, (ii) maintenance and expansion activities, (iii) acquisitions of assets or businesses and (iv) repayment of principal on our long-term debt. We generally expect to fund our short-term cash requirements through our primary sources of liquidity, which consist of our cash flow generated from operations as well as borrowings under our credit facilities. In addition, we generally expect to fund our long-term needs, such as those resulting from expansion activities or acquisitions, through a variety of sources (either separately or in combination), which may include operating cash flows, borrowings under our credit facilities, and/or the issuance of additional equity or debt securities. At September 30, 2010, we had a working capital surplus of approximately $204 million and approximately $1.3 billion of liquidity available to meet our ongoing operational, investing and finance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820"/>
        <w:gridCol w:w="219"/>
        <w:gridCol w:w="249"/>
        <w:gridCol w:w="1785"/>
        <w:gridCol w:w="132"/>
      </w:tblGrid>
      <w:tr>
        <w:trPr/>
        <w:tc>
          <w:tcPr>
            <w:tcW w:w="7820"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203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32" w:type="dxa"/>
            <w:tcBorders/>
            <w:shd w:fill="auto" w:val="clear"/>
            <w:vAlign w:val="bottom"/>
          </w:tcPr>
          <w:p>
            <w:pPr>
              <w:pStyle w:val="TableContents"/>
              <w:spacing w:before="0" w:after="0"/>
              <w:ind w:left="0" w:right="0" w:hanging="0"/>
              <w:jc w:val="center"/>
              <w:rPr/>
            </w:pPr>
            <w:r>
              <w:rPr/>
              <w:t> </w:t>
            </w:r>
          </w:p>
        </w:tc>
      </w:tr>
      <w:tr>
        <w:trPr/>
        <w:tc>
          <w:tcPr>
            <w:tcW w:w="7820"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20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2010</w:t>
            </w:r>
          </w:p>
        </w:tc>
        <w:tc>
          <w:tcPr>
            <w:tcW w:w="132" w:type="dxa"/>
            <w:tcBorders/>
            <w:shd w:fill="auto" w:val="clear"/>
            <w:vAlign w:val="bottom"/>
          </w:tcPr>
          <w:p>
            <w:pPr>
              <w:pStyle w:val="TableContents"/>
              <w:spacing w:before="0" w:after="0"/>
              <w:ind w:left="0" w:right="0" w:hanging="0"/>
              <w:jc w:val="center"/>
              <w:rPr/>
            </w:pPr>
            <w:r>
              <w:rPr/>
              <w:t> </w:t>
            </w:r>
          </w:p>
        </w:tc>
      </w:tr>
      <w:tr>
        <w:trPr/>
        <w:tc>
          <w:tcPr>
            <w:tcW w:w="7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unsecured revolving credit facility</w:t>
            </w:r>
          </w:p>
        </w:tc>
        <w:tc>
          <w:tcPr>
            <w:tcW w:w="219" w:type="dxa"/>
            <w:tcBorders/>
            <w:shd w:fill="CCEEFF" w:val="clear"/>
            <w:vAlign w:val="bottom"/>
          </w:tcPr>
          <w:p>
            <w:pPr>
              <w:pStyle w:val="TableContents"/>
              <w:spacing w:before="0" w:after="0"/>
              <w:ind w:left="0" w:right="0" w:hanging="0"/>
              <w:rPr/>
            </w:pPr>
            <w:r>
              <w:rPr/>
              <w:t> </w:t>
            </w:r>
          </w:p>
        </w:tc>
        <w:tc>
          <w:tcPr>
            <w:tcW w:w="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132" w:type="dxa"/>
            <w:tcBorders/>
            <w:shd w:fill="CCEEFF" w:val="clear"/>
            <w:vAlign w:val="bottom"/>
          </w:tcPr>
          <w:p>
            <w:pPr>
              <w:pStyle w:val="TableContents"/>
              <w:spacing w:before="0" w:after="0"/>
              <w:ind w:left="0" w:right="0" w:hanging="0"/>
              <w:rPr/>
            </w:pPr>
            <w:r>
              <w:rPr/>
              <w:t> </w:t>
            </w:r>
          </w:p>
        </w:tc>
      </w:tr>
      <w:tr>
        <w:trPr/>
        <w:tc>
          <w:tcPr>
            <w:tcW w:w="7820" w:type="dxa"/>
            <w:tcBorders/>
            <w:shd w:fill="auto" w:val="clear"/>
            <w:vAlign w:val="bottom"/>
          </w:tcPr>
          <w:p>
            <w:pPr>
              <w:pStyle w:val="TableContents"/>
              <w:spacing w:before="0" w:after="0"/>
              <w:ind w:left="0" w:right="0" w:hanging="0"/>
              <w:rPr/>
            </w:pPr>
            <w:r>
              <w:rPr>
                <w:rFonts w:ascii="Times New Roman" w:hAnsi="Times New Roman"/>
                <w:sz w:val="17"/>
              </w:rPr>
              <w:t xml:space="preserve">Availability under PNG senior unsecured revolving credit facility </w:t>
            </w:r>
            <w:r>
              <w:rPr>
                <w:sz w:val="11"/>
              </w:rPr>
              <w:t>(1)</w:t>
            </w:r>
          </w:p>
        </w:tc>
        <w:tc>
          <w:tcPr>
            <w:tcW w:w="219" w:type="dxa"/>
            <w:tcBorders/>
            <w:shd w:fill="auto" w:val="clear"/>
            <w:vAlign w:val="bottom"/>
          </w:tcPr>
          <w:p>
            <w:pPr>
              <w:pStyle w:val="TableContents"/>
              <w:spacing w:before="0" w:after="0"/>
              <w:ind w:left="0" w:right="0" w:hanging="0"/>
              <w:rPr/>
            </w:pPr>
            <w:r>
              <w:rPr/>
              <w:t> </w:t>
            </w:r>
          </w:p>
        </w:tc>
        <w:tc>
          <w:tcPr>
            <w:tcW w:w="20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32" w:type="dxa"/>
            <w:tcBorders/>
            <w:shd w:fill="auto" w:val="clear"/>
            <w:vAlign w:val="bottom"/>
          </w:tcPr>
          <w:p>
            <w:pPr>
              <w:pStyle w:val="TableContents"/>
              <w:spacing w:before="0" w:after="0"/>
              <w:ind w:left="0" w:right="0" w:hanging="0"/>
              <w:rPr/>
            </w:pPr>
            <w:r>
              <w:rPr/>
              <w:t> </w:t>
            </w:r>
          </w:p>
        </w:tc>
      </w:tr>
      <w:tr>
        <w:trPr/>
        <w:tc>
          <w:tcPr>
            <w:tcW w:w="7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PAA senior secured hedged inventory facility</w:t>
            </w:r>
          </w:p>
        </w:tc>
        <w:tc>
          <w:tcPr>
            <w:tcW w:w="219" w:type="dxa"/>
            <w:tcBorders/>
            <w:shd w:fill="CCEEFF" w:val="clear"/>
            <w:vAlign w:val="bottom"/>
          </w:tcPr>
          <w:p>
            <w:pPr>
              <w:pStyle w:val="TableContents"/>
              <w:spacing w:before="0" w:after="0"/>
              <w:ind w:left="0" w:right="0" w:hanging="0"/>
              <w:rPr/>
            </w:pPr>
            <w:r>
              <w:rPr/>
              <w:t> </w:t>
            </w:r>
          </w:p>
        </w:tc>
        <w:tc>
          <w:tcPr>
            <w:tcW w:w="203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32" w:type="dxa"/>
            <w:tcBorders/>
            <w:shd w:fill="CCEEFF" w:val="clear"/>
            <w:vAlign w:val="bottom"/>
          </w:tcPr>
          <w:p>
            <w:pPr>
              <w:pStyle w:val="TableContents"/>
              <w:spacing w:before="0" w:after="0"/>
              <w:ind w:left="0" w:right="0" w:hanging="0"/>
              <w:rPr/>
            </w:pPr>
            <w:r>
              <w:rPr/>
              <w:t> </w:t>
            </w:r>
          </w:p>
        </w:tc>
      </w:tr>
      <w:tr>
        <w:trPr/>
        <w:tc>
          <w:tcPr>
            <w:tcW w:w="78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equivalants</w:t>
            </w:r>
          </w:p>
        </w:tc>
        <w:tc>
          <w:tcPr>
            <w:tcW w:w="219" w:type="dxa"/>
            <w:tcBorders/>
            <w:shd w:fill="auto" w:val="clear"/>
            <w:vAlign w:val="bottom"/>
          </w:tcPr>
          <w:p>
            <w:pPr>
              <w:pStyle w:val="TableContents"/>
              <w:spacing w:before="0" w:after="0"/>
              <w:ind w:left="0" w:right="0" w:hanging="0"/>
              <w:rPr/>
            </w:pPr>
            <w:r>
              <w:rPr/>
              <w:t> </w:t>
            </w:r>
          </w:p>
        </w:tc>
        <w:tc>
          <w:tcPr>
            <w:tcW w:w="203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2" w:type="dxa"/>
            <w:tcBorders/>
            <w:shd w:fill="auto" w:val="clear"/>
            <w:vAlign w:val="bottom"/>
          </w:tcPr>
          <w:p>
            <w:pPr>
              <w:pStyle w:val="TableContents"/>
              <w:spacing w:before="0" w:after="0"/>
              <w:ind w:left="0" w:right="0" w:hanging="0"/>
              <w:rPr/>
            </w:pPr>
            <w:r>
              <w:rPr/>
              <w:t> </w:t>
            </w:r>
          </w:p>
        </w:tc>
      </w:tr>
      <w:tr>
        <w:trPr/>
        <w:tc>
          <w:tcPr>
            <w:tcW w:w="78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9" w:type="dxa"/>
            <w:tcBorders/>
            <w:shd w:fill="CCEEFF" w:val="clear"/>
            <w:vAlign w:val="bottom"/>
          </w:tcPr>
          <w:p>
            <w:pPr>
              <w:pStyle w:val="TableContents"/>
              <w:spacing w:before="0" w:after="0"/>
              <w:ind w:left="0" w:right="0" w:hanging="0"/>
              <w:rPr/>
            </w:pPr>
            <w:r>
              <w:rPr/>
              <w:t> </w:t>
            </w:r>
          </w:p>
        </w:tc>
        <w:tc>
          <w:tcPr>
            <w:tcW w:w="2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1,331</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April 2010, PNG entered into a three year, $400 million senior unsecured revolving credit facility that matures in May 2013. Borrowing capacity under this facility may be limited from time to time due to covenant limitations. See Note 5 to our condensed consolidated financial statements for additional discussion of this credit facility and the </w:t>
      </w:r>
      <w:r>
        <w:rPr>
          <w:rFonts w:ascii="Times New Roman" w:hAnsi="Times New Roman"/>
          <w:i/>
          <w:sz w:val="17"/>
        </w:rPr>
        <w:t>Sale of Noncontrolling Interest in a Subsidiary</w:t>
      </w:r>
      <w:r>
        <w:rPr>
          <w:rFonts w:ascii="Times New Roman" w:hAnsi="Times New Roman"/>
          <w:sz w:val="17"/>
        </w:rPr>
        <w:t> section of Note 7 for additional discussion regarding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 adverse effect on our financial condition, results of operations or cash flows. See Item 1A. Risk Factors in our 2009 Annual Report on Form 10-K for further discussion regarding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Congress recently enacted the Dodd-Frank Wall Street Reform and Consumer Protection Act, which includes provisions regarding the use of derivative financial instruments. The scope and applicability of these provisions is not entirely clear and regulations implementing all the various aspects of the Act have not yet been issued. We are currently reviewing the provisions of this legislation and its potential impact on our business, and will continue to monitor the final rules and regulations as they develop.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operations, including the impact of varying market conditions and the timing of settlement of our derivative activities, see Liquidity and Capital ResourcesCash Flow from Operations under Item 7 of our 2009 Annual Report on Form 10-K.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6" w:name="PB_42_154705_7748"/>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flow provided by operating activities for the first nine months of 2010 was approximately $463 million. The cash provided by operating activities reflects cash generated by our recurring operations, and is also significantly impacted in periods when we are increasing or decreasing the amount of inventory in storage. During the first nine months of 2010, we increased the amount of our inventory.  The increase in inventory was due to both increased volumes and prices and was primarily related to (i) our crude oil contango market storage activities, (ii) our LPG inventory in preparation of the end users increased demand for heating requirements experienced during the winter months, and (iii) our foreign cargo purchase activities. The net increased levels of inventory were financed through borrowings under our credit facilities as well as through our $500 million senior notes that are being used to supplement capital available from our hedged inventory facility.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LPG business and contango market activities as well as refinancing of our debt maturities.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Registration Statements. </w:t>
      </w:r>
      <w:r>
        <w:rPr>
          <w:rFonts w:ascii="Times New Roman" w:hAnsi="Times New Roman"/>
          <w:sz w:val="17"/>
        </w:rPr>
        <w:t>We periodically access the capital markets for both equity and debt financing. We have filed with the Securities and Exchange Commission a universal shelf registration statement that, subject to effectiveness at the time of use, allows us to issue up to an aggregate of $2.0 billion of debt or equity securities (Traditional Shelf). As of September 30, 2010, we have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July 2010 offering of our $400 million senior notes due September 15, 2015 was conducted under the WKSI Shelf.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Senior Notes. </w:t>
      </w:r>
      <w:r>
        <w:rPr>
          <w:rFonts w:ascii="Times New Roman" w:hAnsi="Times New Roman"/>
          <w:sz w:val="17"/>
        </w:rPr>
        <w:t>On September 15, 2010, we redeemed all of our outstanding $175 million, 6.25% senior notes that were due in 2015.  We utilized our cash on hand and available capacity under our credit facilities to redeem these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2010, we completed the issuance of $400 million of 3.95% Senior Notes due September 15, 2015. The senior notes were sold at 99.889% of face value. Interest payments are due on March 15 and September 15 of each year, beginning on September 15, 2010. We used the net proceeds from this offering to repay outstanding borrowings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Credit Facilities.</w:t>
      </w:r>
      <w:r>
        <w:rPr>
          <w:rFonts w:ascii="Times New Roman" w:hAnsi="Times New Roman"/>
        </w:rPr>
        <w:t xml:space="preserve"> </w:t>
      </w:r>
      <w:r>
        <w:rPr>
          <w:rFonts w:ascii="Times New Roman" w:hAnsi="Times New Roman"/>
          <w:sz w:val="17"/>
        </w:rPr>
        <w:t>During the nine months ended September 30, 2010, we had net borrowings on our revolving credit facilities and our hedged inventory facility in the aggregate of approximately $41 million. The net borrowings resulted primarily from (i) our increased levels of inventory resulting from the favorable contango market structure, (ii) funding our capital program and (ii) the redemption of our $175 million 6.25% senior notes.  These borrowing activities were partially offset by repayments that were made on these credit facilities from funds received by the issuance of $400 million of 3.95% senior notes in July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2009, we had net repayments on our revolving credit facility and our hedged inventory facility in the aggregate of approximately $634 million.  These net repayments resulted primarily from (i) the issuances of our $500 million 5.75%, $500 million 4.25% and $350 million 8.75% senior notes in September 2009, July 2009 and April 2009, respectively, and (ii) our March and September 2009 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October 2010, we renewed our 364-day committed hedged inventory credit facility, which matures in October 2011. The facility has a borrowing capacity of $500 million, which may be increased to $1.2 billion, subject to obtaining additional lender commitments. Borrowings under this facility will be used to finance (i) the purchase of hedged crude oil inventory for storage activities and (ii) foreign import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further discussion related to our credit facilities and long-term debt, see Cash Flows from Operating Activities above and Liquidity and Capital ResourcesCredit Facilities and Long-Term Debt under Item 7 of our 2009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Capital Expenditures and Distributions Paid to Unitholders and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Internal Growth Projects above and Acquisitions and Internal Growth Projects under Item 7 of our 2009 Annual Report on Form 10-K for further discussion for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unitholders and general partner.</w:t>
      </w:r>
      <w:r>
        <w:rPr>
          <w:rFonts w:ascii="Times New Roman" w:hAnsi="Times New Roman"/>
        </w:rPr>
        <w:t xml:space="preserve"> </w:t>
      </w:r>
      <w:r>
        <w:rPr>
          <w:rFonts w:ascii="Times New Roman" w:hAnsi="Times New Roman"/>
          <w:sz w:val="17"/>
        </w:rPr>
        <w:t xml:space="preserve">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November 12, 2010, we will pay a quarterly distribution of $0.9500 per limited partner unit. This distribution represented a year-over-year distribution increase of approximately 3.3%. See Note 7 to our Condensed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7" w:name="PB_43_154705_141"/>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Consolidated Financial Statements for details of distributions paid. Also, see Item 5. Market for Registrants Common Units, Related Unitholder Matters and Issuer Purchases of Equity SecuritiesCash Distribution Policy of our 2009 Annual Report on Form 10-K for additional discussion of distribution thresholds.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closing of the Pacific, Rainbow and PNGS acquisitions, our general partner agreed to reduce the amounts due as incentive distributions. See Note 7 to our Condensed Consolidated Financial Statements for details related to the general partners incentive distribution reduction.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10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 xml:space="preserve">Commitments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LPG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September 30, 2010 that varied significantly since December 31, 2009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10"/>
        <w:gridCol w:w="104"/>
        <w:gridCol w:w="125"/>
        <w:gridCol w:w="732"/>
        <w:gridCol w:w="104"/>
        <w:gridCol w:w="125"/>
        <w:gridCol w:w="732"/>
        <w:gridCol w:w="104"/>
        <w:gridCol w:w="124"/>
        <w:gridCol w:w="676"/>
        <w:gridCol w:w="104"/>
        <w:gridCol w:w="125"/>
        <w:gridCol w:w="676"/>
        <w:gridCol w:w="104"/>
        <w:gridCol w:w="125"/>
        <w:gridCol w:w="676"/>
        <w:gridCol w:w="104"/>
        <w:gridCol w:w="134"/>
        <w:gridCol w:w="771"/>
        <w:gridCol w:w="103"/>
        <w:gridCol w:w="125"/>
        <w:gridCol w:w="732"/>
        <w:gridCol w:w="990"/>
      </w:tblGrid>
      <w:tr>
        <w:trPr/>
        <w:tc>
          <w:tcPr>
            <w:tcW w:w="2610" w:type="dxa"/>
            <w:tcBorders/>
            <w:shd w:fill="auto" w:val="clear"/>
            <w:vAlign w:val="bottom"/>
          </w:tcPr>
          <w:p>
            <w:pPr>
              <w:pStyle w:val="TableContents"/>
              <w:spacing w:before="0" w:after="0"/>
              <w:ind w:left="0" w:right="0" w:hanging="0"/>
              <w:rPr/>
            </w:pPr>
            <w:bookmarkStart w:id="68" w:name="Temp"/>
            <w:bookmarkEnd w:id="68"/>
            <w:r>
              <w:rPr/>
              <w:t> </w:t>
            </w:r>
          </w:p>
        </w:tc>
        <w:tc>
          <w:tcPr>
            <w:tcW w:w="104" w:type="dxa"/>
            <w:tcBorders/>
            <w:shd w:fill="auto" w:val="clear"/>
            <w:vAlign w:val="bottom"/>
          </w:tcPr>
          <w:p>
            <w:pPr>
              <w:pStyle w:val="TableContents"/>
              <w:spacing w:before="0" w:after="0"/>
              <w:ind w:left="0" w:right="0" w:hanging="0"/>
              <w:jc w:val="center"/>
              <w:rPr/>
            </w:pPr>
            <w:r>
              <w:rPr/>
              <w:t> </w:t>
            </w:r>
          </w:p>
        </w:tc>
        <w:tc>
          <w:tcPr>
            <w:tcW w:w="857" w:type="dxa"/>
            <w:gridSpan w:val="2"/>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857" w:type="dxa"/>
            <w:gridSpan w:val="2"/>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800" w:type="dxa"/>
            <w:gridSpan w:val="2"/>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801" w:type="dxa"/>
            <w:gridSpan w:val="2"/>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801" w:type="dxa"/>
            <w:gridSpan w:val="2"/>
            <w:tcBorders/>
            <w:shd w:fill="auto" w:val="clear"/>
            <w:vAlign w:val="bottom"/>
          </w:tcPr>
          <w:p>
            <w:pPr>
              <w:pStyle w:val="TableContents"/>
              <w:spacing w:before="0" w:after="0"/>
              <w:ind w:left="0" w:right="0" w:hanging="0"/>
              <w:jc w:val="center"/>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9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 and</w:t>
            </w:r>
          </w:p>
        </w:tc>
        <w:tc>
          <w:tcPr>
            <w:tcW w:w="103" w:type="dxa"/>
            <w:tcBorders/>
            <w:shd w:fill="auto" w:val="clear"/>
            <w:vAlign w:val="bottom"/>
          </w:tcPr>
          <w:p>
            <w:pPr>
              <w:pStyle w:val="TableContents"/>
              <w:spacing w:before="0" w:after="0"/>
              <w:ind w:left="0" w:right="0" w:hanging="0"/>
              <w:jc w:val="center"/>
              <w:rPr/>
            </w:pPr>
            <w:r>
              <w:rPr/>
              <w:t> </w:t>
            </w:r>
          </w:p>
        </w:tc>
        <w:tc>
          <w:tcPr>
            <w:tcW w:w="857" w:type="dxa"/>
            <w:gridSpan w:val="2"/>
            <w:tcBorders/>
            <w:shd w:fill="auto" w:val="clear"/>
            <w:vAlign w:val="bottom"/>
          </w:tcPr>
          <w:p>
            <w:pPr>
              <w:pStyle w:val="TableContents"/>
              <w:spacing w:before="0" w:after="0"/>
              <w:ind w:left="0" w:right="0" w:hanging="0"/>
              <w:jc w:val="center"/>
              <w:rPr/>
            </w:pPr>
            <w:r>
              <w:rPr/>
              <w:t> </w:t>
            </w:r>
          </w:p>
        </w:tc>
        <w:tc>
          <w:tcPr>
            <w:tcW w:w="990" w:type="dxa"/>
            <w:tcBorders/>
            <w:shd w:fill="auto" w:val="clear"/>
            <w:vAlign w:val="bottom"/>
          </w:tcPr>
          <w:p>
            <w:pPr>
              <w:pStyle w:val="TableContents"/>
              <w:spacing w:before="0" w:after="0"/>
              <w:ind w:left="0" w:right="0" w:hanging="0"/>
              <w:jc w:val="center"/>
              <w:rPr/>
            </w:pPr>
            <w:r>
              <w:rPr/>
              <w:t> </w:t>
            </w:r>
          </w:p>
        </w:tc>
      </w:tr>
      <w:tr>
        <w:trPr/>
        <w:tc>
          <w:tcPr>
            <w:tcW w:w="261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As of September 30, 2010</w:t>
            </w:r>
          </w:p>
        </w:tc>
        <w:tc>
          <w:tcPr>
            <w:tcW w:w="104"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04"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4" w:type="dxa"/>
            <w:tcBorders/>
            <w:shd w:fill="auto" w:val="clear"/>
            <w:vAlign w:val="bottom"/>
          </w:tcPr>
          <w:p>
            <w:pPr>
              <w:pStyle w:val="TableContents"/>
              <w:spacing w:before="0" w:after="0"/>
              <w:ind w:left="0" w:right="0" w:hanging="0"/>
              <w:jc w:val="center"/>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4" w:type="dxa"/>
            <w:tcBorders/>
            <w:shd w:fill="auto" w:val="clear"/>
            <w:vAlign w:val="bottom"/>
          </w:tcPr>
          <w:p>
            <w:pPr>
              <w:pStyle w:val="TableContents"/>
              <w:spacing w:before="0" w:after="0"/>
              <w:ind w:left="0" w:right="0" w:hanging="0"/>
              <w:jc w:val="center"/>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4" w:type="dxa"/>
            <w:tcBorders/>
            <w:shd w:fill="auto" w:val="clear"/>
            <w:vAlign w:val="bottom"/>
          </w:tcPr>
          <w:p>
            <w:pPr>
              <w:pStyle w:val="TableContents"/>
              <w:spacing w:before="0" w:after="0"/>
              <w:ind w:left="0" w:right="0" w:hanging="0"/>
              <w:jc w:val="center"/>
              <w:rPr/>
            </w:pPr>
            <w:r>
              <w:rPr/>
              <w:t> </w:t>
            </w:r>
          </w:p>
        </w:tc>
        <w:tc>
          <w:tcPr>
            <w:tcW w:w="8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04" w:type="dxa"/>
            <w:tcBorders/>
            <w:shd w:fill="auto" w:val="clear"/>
            <w:vAlign w:val="bottom"/>
          </w:tcPr>
          <w:p>
            <w:pPr>
              <w:pStyle w:val="TableContents"/>
              <w:spacing w:before="0" w:after="0"/>
              <w:ind w:left="0" w:right="0" w:hanging="0"/>
              <w:jc w:val="center"/>
              <w:rPr/>
            </w:pPr>
            <w:r>
              <w:rPr/>
              <w:t> </w:t>
            </w:r>
          </w:p>
        </w:tc>
        <w:tc>
          <w:tcPr>
            <w:tcW w:w="9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03"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990" w:type="dxa"/>
            <w:tcBorders/>
            <w:shd w:fill="auto" w:val="clear"/>
            <w:vAlign w:val="bottom"/>
          </w:tcPr>
          <w:p>
            <w:pPr>
              <w:pStyle w:val="TableContents"/>
              <w:spacing w:before="0" w:after="0"/>
              <w:ind w:left="0" w:right="0" w:hanging="0"/>
              <w:jc w:val="center"/>
              <w:rPr/>
            </w:pPr>
            <w:r>
              <w:rPr/>
              <w:t> </w:t>
            </w:r>
          </w:p>
        </w:tc>
      </w:tr>
      <w:tr>
        <w:trPr/>
        <w:tc>
          <w:tcPr>
            <w:tcW w:w="2610" w:type="dxa"/>
            <w:tcBorders/>
            <w:shd w:fill="CCEEFF" w:val="clear"/>
          </w:tcPr>
          <w:p>
            <w:pPr>
              <w:pStyle w:val="TableContents"/>
              <w:spacing w:before="0" w:after="0"/>
              <w:ind w:left="0" w:right="0" w:hanging="0"/>
              <w:rPr/>
            </w:pPr>
            <w:r>
              <w:rPr>
                <w:rFonts w:ascii="Times New Roman" w:hAnsi="Times New Roman"/>
                <w:sz w:val="17"/>
              </w:rPr>
              <w:t xml:space="preserve">Long-term debt and interest payments </w:t>
            </w:r>
            <w:r>
              <w:rPr>
                <w:sz w:val="11"/>
              </w:rPr>
              <w:t>(1)</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04"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962</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04"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5,161</w:t>
            </w:r>
          </w:p>
        </w:tc>
        <w:tc>
          <w:tcPr>
            <w:tcW w:w="1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7,156</w:t>
            </w:r>
          </w:p>
        </w:tc>
        <w:tc>
          <w:tcPr>
            <w:tcW w:w="990" w:type="dxa"/>
            <w:tcBorders/>
            <w:shd w:fill="CCEEFF" w:val="clear"/>
            <w:vAlign w:val="bottom"/>
          </w:tcPr>
          <w:p>
            <w:pPr>
              <w:pStyle w:val="TableContents"/>
              <w:spacing w:before="0" w:after="0"/>
              <w:ind w:left="0" w:right="0" w:hanging="0"/>
              <w:rPr/>
            </w:pPr>
            <w:r>
              <w:rPr/>
              <w:t> </w:t>
            </w:r>
          </w:p>
        </w:tc>
      </w:tr>
      <w:tr>
        <w:trPr/>
        <w:tc>
          <w:tcPr>
            <w:tcW w:w="2610" w:type="dxa"/>
            <w:tcBorders/>
            <w:shd w:fill="auto" w:val="clear"/>
          </w:tcPr>
          <w:p>
            <w:pPr>
              <w:pStyle w:val="TableContents"/>
              <w:spacing w:before="0" w:after="0"/>
              <w:ind w:left="0" w:right="0" w:hanging="0"/>
              <w:rPr/>
            </w:pPr>
            <w:r>
              <w:rPr>
                <w:rFonts w:ascii="Times New Roman" w:hAnsi="Times New Roman"/>
                <w:sz w:val="17"/>
              </w:rPr>
              <w:t xml:space="preserve">Leases </w:t>
            </w:r>
            <w:r>
              <w:rPr>
                <w:sz w:val="11"/>
              </w:rPr>
              <w:t>(2)</w:t>
            </w:r>
          </w:p>
        </w:tc>
        <w:tc>
          <w:tcPr>
            <w:tcW w:w="10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0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4"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0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04"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04"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03"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990" w:type="dxa"/>
            <w:tcBorders/>
            <w:shd w:fill="auto" w:val="clear"/>
            <w:vAlign w:val="bottom"/>
          </w:tcPr>
          <w:p>
            <w:pPr>
              <w:pStyle w:val="TableContents"/>
              <w:spacing w:before="0" w:after="0"/>
              <w:ind w:left="0" w:right="0" w:hanging="0"/>
              <w:rPr/>
            </w:pPr>
            <w:r>
              <w:rPr/>
              <w:t> </w:t>
            </w:r>
          </w:p>
        </w:tc>
      </w:tr>
      <w:tr>
        <w:trPr/>
        <w:tc>
          <w:tcPr>
            <w:tcW w:w="2610" w:type="dxa"/>
            <w:tcBorders/>
            <w:shd w:fill="CCEEFF" w:val="clear"/>
          </w:tcPr>
          <w:p>
            <w:pPr>
              <w:pStyle w:val="TableContents"/>
              <w:spacing w:before="0" w:after="0"/>
              <w:ind w:left="0" w:right="0" w:hanging="0"/>
              <w:rPr/>
            </w:pPr>
            <w:r>
              <w:rPr>
                <w:rFonts w:ascii="Times New Roman" w:hAnsi="Times New Roman"/>
                <w:sz w:val="17"/>
              </w:rPr>
              <w:t xml:space="preserve">Crude oil, refined products and LPG purchases </w:t>
            </w:r>
            <w:r>
              <w:rPr>
                <w:sz w:val="11"/>
              </w:rPr>
              <w:t>(3)</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2,766</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1,162</w:t>
            </w:r>
          </w:p>
        </w:tc>
        <w:tc>
          <w:tcPr>
            <w:tcW w:w="104"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04"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04"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3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4,693</w:t>
            </w:r>
          </w:p>
        </w:tc>
        <w:tc>
          <w:tcPr>
            <w:tcW w:w="99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and the commitment fee on our revolving credit facility. Although there is an outstanding balance on our revolving credit facility at September 30, 2010,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storage, (ii) rights-of-way, (iii) office rent, (iv) pipeline assets and (v) trucks used in our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Amounts are based on estimated volumes and market prices based on average activity during September 2010.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Letters of Credit. </w:t>
      </w:r>
      <w:r>
        <w:rPr>
          <w:rFonts w:ascii="Times New Roman" w:hAnsi="Times New Roman"/>
          <w:sz w:val="17"/>
        </w:rPr>
        <w:t>In connection with our crude oil supply and logistics activities, we provide certain suppliers with irrevocable standby letters of credit to secure our obligations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September 30, 2010 and December 31, 2009, we had outstanding letters of credit of approximately $68 million and $76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69" w:name="PB_44_154705_7608"/>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significant off-balance sheet arrangements as defined by Item 307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2009 Annual Report on Form 10-K.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0" w:name="PB_45_154705_8146"/>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1" w:name="PB_46_154705_7091"/>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or factors that are unknown or unpredictable, could also have a material adverse effect on future results. Please read Risks Factors discussed in Item 1A of our 2009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 xml:space="preserve">QUANTITATIVE AND QUALITATIVE DISCLOSURES ABOUT MARKET RISK </w:t>
      </w:r>
      <w:bookmarkStart w:id="72" w:name="Item3_QuantitativeAndQualitativeD_132330"/>
      <w:bookmarkEnd w:id="7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should be read in conjunction with Quantitative and Qualitative Disclosures About Market Risk included under Item 7A in our 2009 Annual Report on Form 10-K. There have been no material changes in that information other than as discussed below. Also, see Note 9 to our Condensed Consolidated Financial Statements for additional discussion related to 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open derivatives with commodity price risk and the change in fair value that would be expected from a ten percent price decrease are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645"/>
        <w:gridCol w:w="217"/>
        <w:gridCol w:w="216"/>
        <w:gridCol w:w="1192"/>
        <w:gridCol w:w="230"/>
        <w:gridCol w:w="260"/>
        <w:gridCol w:w="1298"/>
        <w:gridCol w:w="147"/>
      </w:tblGrid>
      <w:tr>
        <w:trPr/>
        <w:tc>
          <w:tcPr>
            <w:tcW w:w="6645"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408" w:type="dxa"/>
            <w:gridSpan w:val="2"/>
            <w:tcBorders/>
            <w:shd w:fill="auto" w:val="clear"/>
            <w:vAlign w:val="bottom"/>
          </w:tcPr>
          <w:p>
            <w:pPr>
              <w:pStyle w:val="TableContents"/>
              <w:spacing w:before="0" w:after="0"/>
              <w:ind w:left="0" w:right="0" w:hanging="0"/>
              <w:jc w:val="center"/>
              <w:rPr/>
            </w:pPr>
            <w:r>
              <w:rPr/>
              <w:t> </w:t>
            </w:r>
          </w:p>
        </w:tc>
        <w:tc>
          <w:tcPr>
            <w:tcW w:w="230" w:type="dxa"/>
            <w:tcBorders/>
            <w:shd w:fill="auto" w:val="clear"/>
            <w:vAlign w:val="bottom"/>
          </w:tcPr>
          <w:p>
            <w:pPr>
              <w:pStyle w:val="TableContents"/>
              <w:spacing w:before="0" w:after="0"/>
              <w:ind w:left="0" w:right="0" w:hanging="0"/>
              <w:jc w:val="center"/>
              <w:rPr/>
            </w:pPr>
            <w:r>
              <w:rPr/>
              <w:t> </w:t>
            </w:r>
          </w:p>
        </w:tc>
        <w:tc>
          <w:tcPr>
            <w:tcW w:w="155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7" w:type="dxa"/>
            <w:tcBorders/>
            <w:shd w:fill="auto" w:val="clear"/>
            <w:vAlign w:val="bottom"/>
          </w:tcPr>
          <w:p>
            <w:pPr>
              <w:pStyle w:val="TableContents"/>
              <w:spacing w:before="0" w:after="0"/>
              <w:ind w:left="0" w:right="0" w:hanging="0"/>
              <w:jc w:val="center"/>
              <w:rPr/>
            </w:pPr>
            <w:r>
              <w:rPr/>
              <w:t> </w:t>
            </w:r>
          </w:p>
        </w:tc>
      </w:tr>
      <w:tr>
        <w:trPr/>
        <w:tc>
          <w:tcPr>
            <w:tcW w:w="6645"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30" w:type="dxa"/>
            <w:tcBorders/>
            <w:shd w:fill="auto" w:val="clear"/>
            <w:vAlign w:val="bottom"/>
          </w:tcPr>
          <w:p>
            <w:pPr>
              <w:pStyle w:val="TableContents"/>
              <w:spacing w:before="0" w:after="0"/>
              <w:ind w:left="0" w:right="0" w:hanging="0"/>
              <w:jc w:val="center"/>
              <w:rPr/>
            </w:pPr>
            <w:r>
              <w:rPr/>
              <w:t> </w:t>
            </w:r>
          </w:p>
        </w:tc>
        <w:tc>
          <w:tcPr>
            <w:tcW w:w="15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7" w:type="dxa"/>
            <w:tcBorders/>
            <w:shd w:fill="auto" w:val="clear"/>
            <w:vAlign w:val="bottom"/>
          </w:tcPr>
          <w:p>
            <w:pPr>
              <w:pStyle w:val="TableContents"/>
              <w:spacing w:before="0" w:after="0"/>
              <w:ind w:left="0" w:right="0" w:hanging="0"/>
              <w:jc w:val="center"/>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17"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558"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17"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47"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17"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45" w:type="dxa"/>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pPr>
            <w:r>
              <w:rPr/>
              <w:t> </w:t>
            </w:r>
          </w:p>
        </w:tc>
        <w:tc>
          <w:tcPr>
            <w:tcW w:w="230" w:type="dxa"/>
            <w:tcBorders/>
            <w:shd w:fill="auto" w:val="clear"/>
            <w:vAlign w:val="bottom"/>
          </w:tcPr>
          <w:p>
            <w:pPr>
              <w:pStyle w:val="TableContents"/>
              <w:spacing w:before="0" w:after="0"/>
              <w:ind w:left="0" w:right="0" w:hanging="0"/>
              <w:rPr/>
            </w:pPr>
            <w:r>
              <w:rPr/>
              <w:t> </w:t>
            </w:r>
          </w:p>
        </w:tc>
        <w:tc>
          <w:tcPr>
            <w:tcW w:w="1558"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and other:</w:t>
            </w:r>
          </w:p>
        </w:tc>
        <w:tc>
          <w:tcPr>
            <w:tcW w:w="217"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30" w:type="dxa"/>
            <w:tcBorders/>
            <w:shd w:fill="CCEEFF" w:val="clear"/>
            <w:vAlign w:val="bottom"/>
          </w:tcPr>
          <w:p>
            <w:pPr>
              <w:pStyle w:val="TableContents"/>
              <w:spacing w:before="0" w:after="0"/>
              <w:ind w:left="0" w:right="0" w:hanging="0"/>
              <w:rPr/>
            </w:pPr>
            <w:r>
              <w:rPr/>
              <w:t> </w:t>
            </w:r>
          </w:p>
        </w:tc>
        <w:tc>
          <w:tcPr>
            <w:tcW w:w="1558" w:type="dxa"/>
            <w:gridSpan w:val="2"/>
            <w:tcBorders/>
            <w:shd w:fill="CCEEFF" w:val="clear"/>
            <w:vAlign w:val="bottom"/>
          </w:tcPr>
          <w:p>
            <w:pPr>
              <w:pStyle w:val="TableContents"/>
              <w:spacing w:before="0" w:after="0"/>
              <w:ind w:left="0" w:right="0" w:hanging="0"/>
              <w:jc w:val="right"/>
              <w:rPr/>
            </w:pPr>
            <w:r>
              <w:rPr/>
              <w:t> </w:t>
            </w:r>
          </w:p>
        </w:tc>
        <w:tc>
          <w:tcPr>
            <w:tcW w:w="147"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17"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7" w:type="dxa"/>
            <w:tcBorders/>
            <w:shd w:fill="auto" w:val="clear"/>
            <w:vAlign w:val="bottom"/>
          </w:tcPr>
          <w:p>
            <w:pPr>
              <w:pStyle w:val="TableContents"/>
              <w:spacing w:before="0" w:after="0"/>
              <w:ind w:left="0" w:right="0" w:hanging="0"/>
              <w:rPr/>
            </w:pPr>
            <w:r>
              <w:rPr/>
              <w:t> </w:t>
            </w:r>
          </w:p>
        </w:tc>
      </w:tr>
      <w:tr>
        <w:trPr/>
        <w:tc>
          <w:tcPr>
            <w:tcW w:w="664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17" w:type="dxa"/>
            <w:tcBorders/>
            <w:shd w:fill="CCEEFF"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47" w:type="dxa"/>
            <w:tcBorders/>
            <w:shd w:fill="CCEEFF" w:val="clear"/>
            <w:vAlign w:val="bottom"/>
          </w:tcPr>
          <w:p>
            <w:pPr>
              <w:pStyle w:val="TableContents"/>
              <w:spacing w:before="0" w:after="0"/>
              <w:ind w:left="0" w:right="0" w:hanging="0"/>
              <w:rPr/>
            </w:pPr>
            <w:r>
              <w:rPr/>
              <w:t> </w:t>
            </w:r>
          </w:p>
        </w:tc>
      </w:tr>
      <w:tr>
        <w:trPr/>
        <w:tc>
          <w:tcPr>
            <w:tcW w:w="66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17" w:type="dxa"/>
            <w:tcBorders/>
            <w:shd w:fill="auto" w:val="clear"/>
            <w:vAlign w:val="bottom"/>
          </w:tcPr>
          <w:p>
            <w:pPr>
              <w:pStyle w:val="TableContents"/>
              <w:spacing w:before="0" w:after="0"/>
              <w:ind w:left="0" w:right="0" w:hanging="0"/>
              <w:rPr/>
            </w:pPr>
            <w:r>
              <w:rPr/>
              <w:t> </w:t>
            </w:r>
          </w:p>
        </w:tc>
        <w:tc>
          <w:tcPr>
            <w:tcW w:w="21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58"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CONTROLS AND PROCEDURES</w:t>
      </w:r>
      <w:bookmarkStart w:id="73" w:name="Item4_ControlsAndProcedures_132358"/>
      <w:bookmarkEnd w:id="73"/>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DCP. The purpose of our DCP is to provide reasonable assurance that (i) information is recorded, processed, summarized and reported in a manner that allows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4" w:name="PB_47_154705_455"/>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5" w:name="Partii_OtherInformation_132820"/>
      <w:bookmarkEnd w:id="75"/>
    </w:p>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76" w:name="Item1_LegalProceedings_132821"/>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10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77" w:name="Item1a_RiskFactors_132822"/>
      <w:bookmarkEnd w:id="7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2009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78" w:name="Item2_UnregisteredSalesOfEquitySe_132824"/>
      <w:bookmarkEnd w:id="78"/>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Repurchases of Equity Securities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611"/>
        <w:gridCol w:w="164"/>
        <w:gridCol w:w="1579"/>
        <w:gridCol w:w="201"/>
        <w:gridCol w:w="235"/>
        <w:gridCol w:w="1396"/>
        <w:gridCol w:w="164"/>
        <w:gridCol w:w="1758"/>
        <w:gridCol w:w="164"/>
        <w:gridCol w:w="1825"/>
        <w:gridCol w:w="108"/>
      </w:tblGrid>
      <w:tr>
        <w:trPr/>
        <w:tc>
          <w:tcPr>
            <w:tcW w:w="261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Period</w:t>
            </w:r>
          </w:p>
        </w:tc>
        <w:tc>
          <w:tcPr>
            <w:tcW w:w="164" w:type="dxa"/>
            <w:tcBorders/>
            <w:shd w:fill="auto" w:val="clear"/>
            <w:tcMar>
              <w:bottom w:w="0" w:type="dxa"/>
            </w:tcMar>
            <w:vAlign w:val="bottom"/>
          </w:tcPr>
          <w:p>
            <w:pPr>
              <w:pStyle w:val="TableContents"/>
              <w:spacing w:before="0" w:after="0"/>
              <w:ind w:left="0" w:right="0" w:hanging="0"/>
              <w:jc w:val="center"/>
              <w:rPr/>
            </w:pPr>
            <w:r>
              <w:rPr/>
              <w:t> </w:t>
            </w:r>
          </w:p>
        </w:tc>
        <w:tc>
          <w:tcPr>
            <w:tcW w:w="15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Number of</w:t>
              <w:br/>
              <w:t>Units Purchased</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1631"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Price Paid</w:t>
              <w:br/>
              <w:t>per Unit</w:t>
            </w:r>
          </w:p>
        </w:tc>
        <w:tc>
          <w:tcPr>
            <w:tcW w:w="164" w:type="dxa"/>
            <w:tcBorders/>
            <w:shd w:fill="auto" w:val="clear"/>
            <w:tcMar>
              <w:bottom w:w="0" w:type="dxa"/>
            </w:tcMar>
            <w:vAlign w:val="bottom"/>
          </w:tcPr>
          <w:p>
            <w:pPr>
              <w:pStyle w:val="TableContents"/>
              <w:spacing w:before="0" w:after="0"/>
              <w:ind w:left="0" w:right="0" w:hanging="0"/>
              <w:jc w:val="center"/>
              <w:rPr/>
            </w:pPr>
            <w:r>
              <w:rPr/>
              <w:t> </w:t>
            </w:r>
          </w:p>
        </w:tc>
        <w:tc>
          <w:tcPr>
            <w:tcW w:w="175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Number of </w:t>
              <w:br/>
              <w:t>Units Purchased as </w:t>
              <w:br/>
              <w:t>Party of Publicly </w:t>
              <w:br/>
              <w:t>Announced Plans or </w:t>
              <w:br/>
              <w:t>Programs</w:t>
            </w:r>
          </w:p>
        </w:tc>
        <w:tc>
          <w:tcPr>
            <w:tcW w:w="164" w:type="dxa"/>
            <w:tcBorders/>
            <w:shd w:fill="auto" w:val="clear"/>
            <w:tcMar>
              <w:bottom w:w="0" w:type="dxa"/>
            </w:tcMar>
            <w:vAlign w:val="bottom"/>
          </w:tcPr>
          <w:p>
            <w:pPr>
              <w:pStyle w:val="TableContents"/>
              <w:spacing w:before="0" w:after="0"/>
              <w:ind w:left="0" w:right="0" w:hanging="0"/>
              <w:jc w:val="center"/>
              <w:rPr/>
            </w:pPr>
            <w:r>
              <w:rPr/>
              <w:t> </w:t>
            </w:r>
          </w:p>
        </w:tc>
        <w:tc>
          <w:tcPr>
            <w:tcW w:w="182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 Number </w:t>
              <w:br/>
              <w:t>(or approximate </w:t>
              <w:br/>
              <w:t>dollar value) of Units </w:t>
              <w:br/>
              <w:t>that May Yet be </w:t>
              <w:br/>
              <w:t>Purchased Under the </w:t>
              <w:br/>
              <w:t>Plans or Programs</w:t>
            </w:r>
          </w:p>
        </w:tc>
        <w:tc>
          <w:tcPr>
            <w:tcW w:w="108" w:type="dxa"/>
            <w:tcBorders/>
            <w:shd w:fill="auto" w:val="clear"/>
            <w:tcMar>
              <w:bottom w:w="0" w:type="dxa"/>
            </w:tcMar>
            <w:vAlign w:val="bottom"/>
          </w:tcPr>
          <w:p>
            <w:pPr>
              <w:pStyle w:val="TableContents"/>
              <w:spacing w:before="0" w:after="0"/>
              <w:ind w:left="0" w:right="0" w:hanging="0"/>
              <w:jc w:val="center"/>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July 1, 2010 - July 31, 2010</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63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7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82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8"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August 1, 2010 - August 31, 2010</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57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20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3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61.01</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75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82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8"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September 1, 2010 - September 30, 2010</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579"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631"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7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4" w:type="dxa"/>
            <w:tcBorders/>
            <w:shd w:fill="CCEEFF" w:val="clear"/>
            <w:tcMar>
              <w:bottom w:w="0" w:type="dxa"/>
            </w:tcMar>
            <w:vAlign w:val="bottom"/>
          </w:tcPr>
          <w:p>
            <w:pPr>
              <w:pStyle w:val="TableContents"/>
              <w:spacing w:before="0" w:after="0"/>
              <w:ind w:left="0" w:right="0" w:hanging="0"/>
              <w:rPr/>
            </w:pPr>
            <w:r>
              <w:rPr/>
              <w:t> </w:t>
            </w:r>
          </w:p>
        </w:tc>
        <w:tc>
          <w:tcPr>
            <w:tcW w:w="182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8"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579" w:type="dxa"/>
            <w:tcBorders>
              <w:bottom w:val="double" w:sz="6"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201" w:type="dxa"/>
            <w:tcBorders/>
            <w:shd w:fill="auto" w:val="clear"/>
            <w:tcMar>
              <w:bottom w:w="0" w:type="dxa"/>
            </w:tcMar>
            <w:vAlign w:val="bottom"/>
          </w:tcPr>
          <w:p>
            <w:pPr>
              <w:pStyle w:val="TableContents"/>
              <w:spacing w:before="0" w:after="0"/>
              <w:ind w:left="0" w:right="0" w:hanging="0"/>
              <w:rPr/>
            </w:pPr>
            <w:r>
              <w:rPr/>
              <w:t> </w:t>
            </w:r>
          </w:p>
        </w:tc>
        <w:tc>
          <w:tcPr>
            <w:tcW w:w="1631" w:type="dxa"/>
            <w:gridSpan w:val="2"/>
            <w:tcBorders/>
            <w:shd w:fill="auto" w:val="clear"/>
            <w:tcMar>
              <w:bottom w:w="0" w:type="dxa"/>
            </w:tcMar>
            <w:vAlign w:val="bottom"/>
          </w:tcPr>
          <w:p>
            <w:pPr>
              <w:pStyle w:val="TableContents"/>
              <w:spacing w:before="0" w:after="0"/>
              <w:ind w:left="0" w:right="0" w:hanging="0"/>
              <w:jc w:val="right"/>
              <w:rPr/>
            </w:pPr>
            <w:r>
              <w:rPr/>
              <w:t> </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758" w:type="dxa"/>
            <w:tcBorders/>
            <w:shd w:fill="auto" w:val="clear"/>
            <w:tcMar>
              <w:bottom w:w="0" w:type="dxa"/>
            </w:tcMar>
            <w:vAlign w:val="bottom"/>
          </w:tcPr>
          <w:p>
            <w:pPr>
              <w:pStyle w:val="TableContents"/>
              <w:spacing w:before="0" w:after="0"/>
              <w:ind w:left="0" w:right="0" w:hanging="0"/>
              <w:jc w:val="right"/>
              <w:rPr/>
            </w:pPr>
            <w:r>
              <w:rPr/>
              <w:t> </w:t>
            </w:r>
          </w:p>
        </w:tc>
        <w:tc>
          <w:tcPr>
            <w:tcW w:w="164" w:type="dxa"/>
            <w:tcBorders/>
            <w:shd w:fill="auto" w:val="clear"/>
            <w:tcMar>
              <w:bottom w:w="0" w:type="dxa"/>
            </w:tcMar>
            <w:vAlign w:val="bottom"/>
          </w:tcPr>
          <w:p>
            <w:pPr>
              <w:pStyle w:val="TableContents"/>
              <w:spacing w:before="0" w:after="0"/>
              <w:ind w:left="0" w:right="0" w:hanging="0"/>
              <w:rPr/>
            </w:pPr>
            <w:r>
              <w:rPr/>
              <w:t> </w:t>
            </w:r>
          </w:p>
        </w:tc>
        <w:tc>
          <w:tcPr>
            <w:tcW w:w="1825" w:type="dxa"/>
            <w:tcBorders/>
            <w:shd w:fill="auto" w:val="clear"/>
            <w:tcMar>
              <w:bottom w:w="0" w:type="dxa"/>
            </w:tcMar>
            <w:vAlign w:val="bottom"/>
          </w:tcPr>
          <w:p>
            <w:pPr>
              <w:pStyle w:val="TableContents"/>
              <w:spacing w:before="0" w:after="0"/>
              <w:ind w:left="0" w:right="0" w:hanging="0"/>
              <w:jc w:val="right"/>
              <w:rPr/>
            </w:pPr>
            <w:r>
              <w:rPr/>
              <w:t> </w:t>
            </w:r>
          </w:p>
        </w:tc>
        <w:tc>
          <w:tcPr>
            <w:tcW w:w="108"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center"/>
          </w:tcPr>
          <w:p>
            <w:pPr>
              <w:pStyle w:val="TableContents"/>
              <w:spacing w:before="0" w:after="283"/>
              <w:rPr>
                <w:sz w:val="4"/>
                <w:szCs w:val="4"/>
              </w:rPr>
            </w:pPr>
            <w:r>
              <w:rPr>
                <w:sz w:val="4"/>
                <w:szCs w:val="4"/>
              </w:rPr>
            </w:r>
          </w:p>
        </w:tc>
        <w:tc>
          <w:tcPr>
            <w:tcW w:w="164" w:type="dxa"/>
            <w:tcBorders/>
            <w:shd w:fill="auto" w:val="clear"/>
            <w:tcMar>
              <w:bottom w:w="0" w:type="dxa"/>
            </w:tcMar>
            <w:vAlign w:val="center"/>
          </w:tcPr>
          <w:p>
            <w:pPr>
              <w:pStyle w:val="TableContents"/>
              <w:spacing w:before="0" w:after="283"/>
              <w:rPr>
                <w:sz w:val="4"/>
                <w:szCs w:val="4"/>
              </w:rPr>
            </w:pPr>
            <w:r>
              <w:rPr>
                <w:sz w:val="4"/>
                <w:szCs w:val="4"/>
              </w:rPr>
            </w:r>
          </w:p>
        </w:tc>
        <w:tc>
          <w:tcPr>
            <w:tcW w:w="1579"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235" w:type="dxa"/>
            <w:tcBorders/>
            <w:shd w:fill="auto" w:val="clear"/>
            <w:tcMar>
              <w:bottom w:w="0" w:type="dxa"/>
            </w:tcMar>
            <w:vAlign w:val="center"/>
          </w:tcPr>
          <w:p>
            <w:pPr>
              <w:pStyle w:val="TableContents"/>
              <w:spacing w:before="0" w:after="283"/>
              <w:rPr>
                <w:sz w:val="4"/>
                <w:szCs w:val="4"/>
              </w:rPr>
            </w:pPr>
            <w:r>
              <w:rPr>
                <w:sz w:val="4"/>
                <w:szCs w:val="4"/>
              </w:rPr>
            </w:r>
          </w:p>
        </w:tc>
        <w:tc>
          <w:tcPr>
            <w:tcW w:w="1396" w:type="dxa"/>
            <w:tcBorders/>
            <w:shd w:fill="auto" w:val="clear"/>
            <w:tcMar>
              <w:bottom w:w="0" w:type="dxa"/>
            </w:tcMar>
            <w:vAlign w:val="center"/>
          </w:tcPr>
          <w:p>
            <w:pPr>
              <w:pStyle w:val="TableContents"/>
              <w:spacing w:before="0" w:after="283"/>
              <w:rPr>
                <w:sz w:val="4"/>
                <w:szCs w:val="4"/>
              </w:rPr>
            </w:pPr>
            <w:r>
              <w:rPr>
                <w:sz w:val="4"/>
                <w:szCs w:val="4"/>
              </w:rPr>
            </w:r>
          </w:p>
        </w:tc>
        <w:tc>
          <w:tcPr>
            <w:tcW w:w="164" w:type="dxa"/>
            <w:tcBorders/>
            <w:shd w:fill="auto" w:val="clear"/>
            <w:tcMar>
              <w:bottom w:w="0" w:type="dxa"/>
            </w:tcMar>
            <w:vAlign w:val="center"/>
          </w:tcPr>
          <w:p>
            <w:pPr>
              <w:pStyle w:val="TableContents"/>
              <w:spacing w:before="0" w:after="283"/>
              <w:rPr>
                <w:sz w:val="4"/>
                <w:szCs w:val="4"/>
              </w:rPr>
            </w:pPr>
            <w:r>
              <w:rPr>
                <w:sz w:val="4"/>
                <w:szCs w:val="4"/>
              </w:rPr>
            </w:r>
          </w:p>
        </w:tc>
        <w:tc>
          <w:tcPr>
            <w:tcW w:w="1758" w:type="dxa"/>
            <w:tcBorders/>
            <w:shd w:fill="auto" w:val="clear"/>
            <w:tcMar>
              <w:bottom w:w="0" w:type="dxa"/>
            </w:tcMar>
            <w:vAlign w:val="center"/>
          </w:tcPr>
          <w:p>
            <w:pPr>
              <w:pStyle w:val="TableContents"/>
              <w:spacing w:before="0" w:after="283"/>
              <w:rPr>
                <w:sz w:val="4"/>
                <w:szCs w:val="4"/>
              </w:rPr>
            </w:pPr>
            <w:r>
              <w:rPr>
                <w:sz w:val="4"/>
                <w:szCs w:val="4"/>
              </w:rPr>
            </w:r>
          </w:p>
        </w:tc>
        <w:tc>
          <w:tcPr>
            <w:tcW w:w="164" w:type="dxa"/>
            <w:tcBorders/>
            <w:shd w:fill="auto" w:val="clear"/>
            <w:tcMar>
              <w:bottom w:w="0" w:type="dxa"/>
            </w:tcMar>
            <w:vAlign w:val="center"/>
          </w:tcPr>
          <w:p>
            <w:pPr>
              <w:pStyle w:val="TableContents"/>
              <w:spacing w:before="0" w:after="283"/>
              <w:rPr>
                <w:sz w:val="4"/>
                <w:szCs w:val="4"/>
              </w:rPr>
            </w:pPr>
            <w:r>
              <w:rPr>
                <w:sz w:val="4"/>
                <w:szCs w:val="4"/>
              </w:rPr>
            </w:r>
          </w:p>
        </w:tc>
        <w:tc>
          <w:tcPr>
            <w:tcW w:w="1825" w:type="dxa"/>
            <w:tcBorders/>
            <w:shd w:fill="auto" w:val="clear"/>
            <w:tcMar>
              <w:bottom w:w="0" w:type="dxa"/>
            </w:tcMar>
            <w:vAlign w:val="center"/>
          </w:tcPr>
          <w:p>
            <w:pPr>
              <w:pStyle w:val="TableContents"/>
              <w:spacing w:before="0" w:after="283"/>
              <w:rPr>
                <w:sz w:val="4"/>
                <w:szCs w:val="4"/>
              </w:rPr>
            </w:pPr>
            <w:r>
              <w:rPr>
                <w:sz w:val="4"/>
                <w:szCs w:val="4"/>
              </w:rPr>
            </w:r>
          </w:p>
        </w:tc>
        <w:tc>
          <w:tcPr>
            <w:tcW w:w="108"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August 2010, we purchased 9,375 common units from our general partner for an average price of $61.01 per unit. The common units were used to satisfy our obligations with respect to awards that vested under our LTIP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79" w:name="Item3_DefaultsUponSeniorSecuritie_132829"/>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[REMOVED AND RESERVED]</w:t>
      </w:r>
      <w:bookmarkStart w:id="80" w:name="Item4_removedAndReserved_132830"/>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1" w:name="Item5_OtherInformation_132831"/>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2" w:name="Item6_Exhibits_132832"/>
      <w:bookmarkEnd w:id="8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5"/>
        <w:gridCol w:w="205"/>
        <w:gridCol w:w="618"/>
        <w:gridCol w:w="102"/>
        <w:gridCol w:w="9075"/>
      </w:tblGrid>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83" w:name="PB_48_154846_8627"/>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05"/>
        <w:gridCol w:w="205"/>
        <w:gridCol w:w="618"/>
        <w:gridCol w:w="102"/>
        <w:gridCol w:w="9075"/>
      </w:tblGrid>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8-K filed August 22, 2007).</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3.1 to the Current Report on Form 8-K filed August 7, 2008).</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205"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pPr>
            <w:r>
              <w:rPr/>
              <w:t> </w:t>
            </w:r>
          </w:p>
        </w:tc>
      </w:tr>
      <w:tr>
        <w:trPr/>
        <w:tc>
          <w:tcPr>
            <w:tcW w:w="20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84" w:name="PB_49_154846_7906"/>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04"/>
        <w:gridCol w:w="205"/>
        <w:gridCol w:w="618"/>
        <w:gridCol w:w="102"/>
        <w:gridCol w:w="9076"/>
      </w:tblGrid>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.16</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204" w:type="dxa"/>
            <w:tcBorders/>
            <w:shd w:fill="auto" w:val="clear"/>
          </w:tcPr>
          <w:p>
            <w:pPr>
              <w:pStyle w:val="TableContents"/>
              <w:spacing w:before="0" w:after="0"/>
              <w:ind w:left="0" w:right="0" w:hanging="0"/>
              <w:jc w:val="right"/>
              <w:rPr/>
            </w:pPr>
            <w:r>
              <w:rPr/>
              <w:t> </w:t>
            </w:r>
          </w:p>
        </w:tc>
        <w:tc>
          <w:tcPr>
            <w:tcW w:w="20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jc w:val="right"/>
              <w:rPr/>
            </w:pPr>
            <w:r>
              <w:rPr/>
              <w:t> </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pPr>
            <w:r>
              <w:rPr/>
              <w:t> </w:t>
            </w:r>
          </w:p>
        </w:tc>
      </w:tr>
      <w:tr>
        <w:trPr/>
        <w:tc>
          <w:tcPr>
            <w:tcW w:w="20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.19</w:t>
            </w:r>
          </w:p>
        </w:tc>
        <w:tc>
          <w:tcPr>
            <w:tcW w:w="61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tcPr>
          <w:p>
            <w:pPr>
              <w:pStyle w:val="TableContents"/>
              <w:spacing w:before="0" w:after="0"/>
              <w:ind w:left="0" w:right="0" w:hanging="0"/>
              <w:rPr/>
            </w:pPr>
            <w:r>
              <w:rPr/>
              <w:t> </w:t>
            </w:r>
          </w:p>
        </w:tc>
        <w:tc>
          <w:tcPr>
            <w:tcW w:w="9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85" w:name="PB_50_154846_3736"/>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14"/>
        <w:gridCol w:w="215"/>
        <w:gridCol w:w="620"/>
        <w:gridCol w:w="105"/>
        <w:gridCol w:w="9051"/>
      </w:tblGrid>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on May 4, 2010).</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Omnibus Agreement dated May 5, 2010 by and among Plains All American GP LLC, Plains All American Pipeline, L.P., PNGS GP LLC and PAA Natural Gas Storage, L.P. (incorporated by reference to Exhibit 10.1 to PNGs Current Report on Form 8-K filed on May 11, 2010).</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tcPr>
          <w:p>
            <w:pPr>
              <w:pStyle w:val="TableContents"/>
              <w:spacing w:before="0" w:after="0"/>
              <w:ind w:left="0" w:right="0" w:hanging="0"/>
              <w:rPr/>
            </w:pPr>
            <w:r>
              <w:rPr>
                <w:rFonts w:ascii="Times New Roman" w:hAnsi="Times New Roman"/>
                <w:sz w:val="17"/>
              </w:rPr>
              <w:t>.3</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Transaction Grant Agreement.</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Amendment to Second Restated Credit Agreement dated as of October 25, 2010, by and among Plains Marketing, L.P., Bank of America, N.A., as Administrative Agent, and the Lenders party thereto (incorporated by reference to Exhibit 10.1 to the Current Report on Form 8-K filed October 28, 2010).</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tcPr>
          <w:p>
            <w:pPr>
              <w:pStyle w:val="TableContents"/>
              <w:spacing w:before="0" w:after="0"/>
              <w:ind w:left="0" w:right="0" w:hanging="0"/>
              <w:rPr/>
            </w:pPr>
            <w:r>
              <w:rPr>
                <w:rFonts w:ascii="Times New Roman" w:hAnsi="Times New Roman"/>
                <w:sz w:val="17"/>
              </w:rPr>
              <w:t>.1</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5" w:type="dxa"/>
            <w:tcBorders/>
            <w:shd w:fill="auto" w:val="clear"/>
          </w:tcPr>
          <w:p>
            <w:pPr>
              <w:pStyle w:val="TableContents"/>
              <w:spacing w:before="0" w:after="0"/>
              <w:ind w:left="0" w:right="0" w:hanging="0"/>
              <w:rPr/>
            </w:pPr>
            <w:r>
              <w:rPr>
                <w:rFonts w:ascii="Times New Roman" w:hAnsi="Times New Roman"/>
                <w:sz w:val="17"/>
              </w:rPr>
              <w:t>.1</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5" w:type="dxa"/>
            <w:tcBorders/>
            <w:shd w:fill="auto" w:val="clear"/>
          </w:tcPr>
          <w:p>
            <w:pPr>
              <w:pStyle w:val="TableContents"/>
              <w:spacing w:before="0" w:after="0"/>
              <w:ind w:left="0" w:right="0" w:hanging="0"/>
              <w:rPr/>
            </w:pPr>
            <w:r>
              <w:rPr>
                <w:rFonts w:ascii="Times New Roman" w:hAnsi="Times New Roman"/>
                <w:sz w:val="17"/>
              </w:rPr>
              <w:t>.2</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tcPr>
          <w:p>
            <w:pPr>
              <w:pStyle w:val="TableContents"/>
              <w:spacing w:before="0" w:after="0"/>
              <w:ind w:left="0" w:right="0" w:hanging="0"/>
              <w:rPr/>
            </w:pPr>
            <w:r>
              <w:rPr>
                <w:rFonts w:ascii="Times New Roman" w:hAnsi="Times New Roman"/>
                <w:sz w:val="17"/>
              </w:rPr>
              <w:t>.1</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2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5" w:type="dxa"/>
            <w:tcBorders/>
            <w:shd w:fill="auto" w:val="clear"/>
          </w:tcPr>
          <w:p>
            <w:pPr>
              <w:pStyle w:val="TableContents"/>
              <w:spacing w:before="0" w:after="0"/>
              <w:ind w:left="0" w:right="0" w:hanging="0"/>
              <w:rPr/>
            </w:pPr>
            <w:r>
              <w:rPr>
                <w:rFonts w:ascii="Times New Roman" w:hAnsi="Times New Roman"/>
                <w:sz w:val="17"/>
              </w:rPr>
              <w:t>.2</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214" w:type="dxa"/>
            <w:tcBorders/>
            <w:shd w:fill="auto" w:val="clear"/>
          </w:tcPr>
          <w:p>
            <w:pPr>
              <w:pStyle w:val="TableContents"/>
              <w:spacing w:before="0" w:after="0"/>
              <w:ind w:left="0" w:right="0" w:hanging="0"/>
              <w:jc w:val="right"/>
              <w:rPr/>
            </w:pPr>
            <w:r>
              <w:rPr/>
              <w:t> </w:t>
            </w:r>
          </w:p>
        </w:tc>
        <w:tc>
          <w:tcPr>
            <w:tcW w:w="215" w:type="dxa"/>
            <w:tcBorders/>
            <w:shd w:fill="auto" w:val="clear"/>
          </w:tcPr>
          <w:p>
            <w:pPr>
              <w:pStyle w:val="TableContents"/>
              <w:spacing w:before="0" w:after="0"/>
              <w:ind w:left="0" w:right="0" w:hanging="0"/>
              <w:rPr/>
            </w:pPr>
            <w:r>
              <w:rPr/>
              <w:t> </w:t>
            </w:r>
          </w:p>
        </w:tc>
        <w:tc>
          <w:tcPr>
            <w:tcW w:w="620" w:type="dxa"/>
            <w:tcBorders/>
            <w:shd w:fill="auto" w:val="clear"/>
          </w:tcPr>
          <w:p>
            <w:pPr>
              <w:pStyle w:val="TableContents"/>
              <w:spacing w:before="0" w:after="0"/>
              <w:ind w:left="0" w:right="0" w:hanging="0"/>
              <w:jc w:val="right"/>
              <w:rPr/>
            </w:pPr>
            <w:r>
              <w:rPr/>
              <w:t> </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pPr>
            <w:r>
              <w:rPr/>
              <w:t> </w:t>
            </w:r>
          </w:p>
        </w:tc>
      </w:tr>
      <w:tr>
        <w:trPr/>
        <w:tc>
          <w:tcPr>
            <w:tcW w:w="429" w:type="dxa"/>
            <w:gridSpan w:val="2"/>
            <w:tcBorders/>
            <w:shd w:fill="auto" w:val="clear"/>
          </w:tcPr>
          <w:p>
            <w:pPr>
              <w:pStyle w:val="TableContents"/>
              <w:spacing w:before="0" w:after="0"/>
              <w:ind w:left="0" w:right="0" w:hanging="0"/>
              <w:rPr/>
            </w:pPr>
            <w:r>
              <w:rPr/>
              <w:t> </w:t>
            </w:r>
            <w:r>
              <w:rPr>
                <w:sz w:val="17"/>
              </w:rPr>
              <w:t>101</w:t>
            </w:r>
            <w:r>
              <w:rPr>
                <w:sz w:val="11"/>
              </w:rPr>
              <w:t></w:t>
            </w:r>
          </w:p>
        </w:tc>
        <w:tc>
          <w:tcPr>
            <w:tcW w:w="6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shd w:fill="auto" w:val="clear"/>
          </w:tcPr>
          <w:p>
            <w:pPr>
              <w:pStyle w:val="TableContents"/>
              <w:spacing w:before="0" w:after="0"/>
              <w:ind w:left="0" w:right="0" w:hanging="0"/>
              <w:rPr/>
            </w:pPr>
            <w:r>
              <w:rPr/>
              <w:t> </w:t>
            </w:r>
          </w:p>
        </w:tc>
        <w:tc>
          <w:tcPr>
            <w:tcW w:w="90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quarterly report on Form 10-Q of Plains All American Pipeline, L.P. for the quarter ended September 30,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86" w:name="PB_51_154846_9621"/>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7" w:name="Signatures_134028"/>
      <w:bookmarkEnd w:id="8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5, 2010</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5, 2010</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Senior Vice President and</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8" w:name="PB_52_154846_8715"/>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2"/>
        <w:gridCol w:w="204"/>
        <w:gridCol w:w="306"/>
        <w:gridCol w:w="102"/>
        <w:gridCol w:w="8981"/>
      </w:tblGrid>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3.1 to the Current Report on Form 8-K filed August 7, 2008).</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3.13</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3.14</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612"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pPr>
            <w:r>
              <w:rPr/>
              <w:t> </w:t>
            </w:r>
          </w:p>
        </w:tc>
      </w:tr>
      <w:tr>
        <w:trPr/>
        <w:tc>
          <w:tcPr>
            <w:tcW w:w="6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89" w:name="PB_53_154846_563"/>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1"/>
        <w:gridCol w:w="204"/>
        <w:gridCol w:w="306"/>
        <w:gridCol w:w="101"/>
        <w:gridCol w:w="8983"/>
      </w:tblGrid>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89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Sixteenth Supplemental Indenture (4.25% Senior Notes due 2012) dated July 23, 2009 among Plains All American Pipeline, L.P., PAA Finance Corp., the Subsidiary Guarantors named therein and U.S. Bank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90" w:name="PB_54_154846_9497"/>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1"/>
        <w:gridCol w:w="204"/>
        <w:gridCol w:w="306"/>
        <w:gridCol w:w="102"/>
        <w:gridCol w:w="8982"/>
      </w:tblGrid>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National Association, as trustee (incorporated by reference to Exhibit 4.1 to the Current Report on Form 8-K filed July 23, 2009).</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4.19</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PNGs Current Report on Form 8-K filed on May 4, 2010).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Omnibus Agreement dated May 5, 2010 by and among Plains All American GP LLC, Plains All American Pipeline, L.P., PNGS GP LLC and PAA Natural Gas Storage, L.P. (incorporated by reference to Exhibit 10.1 to PNGs Current Report on Form 8-K filed on May 11, 2010).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10.3</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Transaction Grant Agreement.</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Amendment to Second Restated Credit Agreement dated as of October 25, 2010, by and among Plains Marketing, L.P., Bank of America, N.A., as Administrative Agent, and the Lenders party thereto (incorporated by reference to Exhibit 10.1 to the Current Report on Form 8-K filed October 28, 2010).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12.1</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31.1</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31.2</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32.1</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32.2</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611"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pPr>
            <w:r>
              <w:rPr/>
              <w:t> </w:t>
            </w:r>
          </w:p>
        </w:tc>
      </w:tr>
      <w:tr>
        <w:trPr/>
        <w:tc>
          <w:tcPr>
            <w:tcW w:w="611" w:type="dxa"/>
            <w:tcBorders/>
            <w:shd w:fill="auto" w:val="clear"/>
          </w:tcPr>
          <w:p>
            <w:pPr>
              <w:pStyle w:val="TableContents"/>
              <w:spacing w:before="0" w:after="0"/>
              <w:ind w:left="0" w:right="0" w:hanging="0"/>
              <w:rPr/>
            </w:pPr>
            <w:r>
              <w:rPr>
                <w:rFonts w:ascii="Times New Roman" w:hAnsi="Times New Roman"/>
                <w:sz w:val="17"/>
              </w:rPr>
              <w:t>101</w:t>
            </w:r>
            <w:r>
              <w:rPr>
                <w:sz w:val="11"/>
              </w:rPr>
              <w:t></w:t>
            </w:r>
          </w:p>
        </w:tc>
        <w:tc>
          <w:tcPr>
            <w:tcW w:w="204" w:type="dxa"/>
            <w:tcBorders/>
            <w:shd w:fill="auto" w:val="clear"/>
            <w:vAlign w:val="bottom"/>
          </w:tcPr>
          <w:p>
            <w:pPr>
              <w:pStyle w:val="TableContents"/>
              <w:spacing w:before="0" w:after="0"/>
              <w:ind w:left="0" w:right="0" w:hanging="0"/>
              <w:rPr/>
            </w:pPr>
            <w:r>
              <w:rPr/>
              <w:t> </w:t>
            </w:r>
          </w:p>
        </w:tc>
        <w:tc>
          <w:tcPr>
            <w:tcW w:w="30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c>
          <w:tcPr>
            <w:tcW w:w="8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quarterly report on Form 10-Q of Plains All American Pipeline, L.P. for the quarter ended September 30, 2010, formatted in XBRL (eXtensible Business Reporting Language): (i) Condensed Consolidated Statements of Operations, (ii) Condensed Consolidated Balance Sheets, (iii) Condensed Consolidated Statements of Cash Flows, (iv) Condensed Consolidated Statement of Partners Capital, (v) Condensed Consolidated Statements of Comprehensive Income, (vi) Condensed Consolidated Statement of Changes in Accumulated Other Comprehensive Income and (vii) Notes to the Condensed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91" w:name="PB_55_154846_3641"/>
      <w:bookmarkEnd w:id="9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2" w:name="a10-19173_1ex10d3.htm"/>
      <w:bookmarkStart w:id="93" w:name="ksa1019173_1ex10d3"/>
      <w:bookmarkEnd w:id="92"/>
      <w:bookmarkEnd w:id="93"/>
      <w:r>
        <w:rPr>
          <w:rFonts w:ascii="Times New Roman" w:hAnsi="Times New Roman"/>
          <w:b/>
          <w:sz w:val="17"/>
        </w:rPr>
        <w:t>Exhibit 10.3</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94"/>
        <w:gridCol w:w="206"/>
        <w:gridCol w:w="5105"/>
      </w:tblGrid>
      <w:tr>
        <w:trPr/>
        <w:tc>
          <w:tcPr>
            <w:tcW w:w="4894" w:type="dxa"/>
            <w:tcBorders/>
            <w:shd w:fill="auto" w:val="clear"/>
          </w:tcPr>
          <w:p>
            <w:pPr>
              <w:pStyle w:val="TableContents"/>
              <w:spacing w:before="0" w:after="0"/>
              <w:ind w:left="0" w:right="0" w:hanging="0"/>
              <w:jc w:val="right"/>
              <w:rPr/>
            </w:pPr>
            <w:r>
              <w:rPr/>
              <w:drawing>
                <wp:inline distT="0" distB="0" distL="0" distR="0">
                  <wp:extent cx="9144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723900"/>
                          </a:xfrm>
                          <a:prstGeom prst="rect">
                            <a:avLst/>
                          </a:prstGeom>
                        </pic:spPr>
                      </pic:pic>
                    </a:graphicData>
                  </a:graphic>
                </wp:inline>
              </w:drawing>
            </w:r>
          </w:p>
        </w:tc>
        <w:tc>
          <w:tcPr>
            <w:tcW w:w="206" w:type="dxa"/>
            <w:tcBorders/>
            <w:shd w:fill="auto" w:val="clear"/>
          </w:tcPr>
          <w:p>
            <w:pPr>
              <w:pStyle w:val="TableContents"/>
              <w:spacing w:before="0" w:after="0"/>
              <w:ind w:left="0" w:right="0" w:hanging="0"/>
              <w:rPr/>
            </w:pPr>
            <w:r>
              <w:rPr/>
              <w:t> </w:t>
            </w:r>
          </w:p>
        </w:tc>
        <w:tc>
          <w:tcPr>
            <w:tcW w:w="5105" w:type="dxa"/>
            <w:tcBorders/>
            <w:shd w:fill="auto" w:val="clear"/>
          </w:tcPr>
          <w:p>
            <w:pPr>
              <w:pStyle w:val="TableContents"/>
              <w:spacing w:before="0" w:after="0"/>
              <w:ind w:left="0" w:right="0" w:hanging="0"/>
              <w:rPr/>
            </w:pPr>
            <w:r>
              <w:rPr/>
              <w:t> </w:t>
            </w:r>
          </w:p>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 xml:space="preserve">PLAINS </w:t>
            </w:r>
          </w:p>
          <w:p>
            <w:pPr>
              <w:pStyle w:val="TableContents"/>
              <w:spacing w:before="0" w:after="0"/>
              <w:ind w:left="0" w:right="0" w:hanging="0"/>
              <w:rPr>
                <w:rFonts w:ascii="Times New Roman" w:hAnsi="Times New Roman"/>
                <w:b/>
                <w:sz w:val="17"/>
              </w:rPr>
            </w:pPr>
            <w:r>
              <w:rPr>
                <w:rFonts w:ascii="Times New Roman" w:hAnsi="Times New Roman"/>
                <w:b/>
                <w:sz w:val="17"/>
              </w:rPr>
              <w:t>ALL AMERICAN</w:t>
            </w:r>
          </w:p>
        </w:tc>
      </w:tr>
    </w:tbl>
    <w:p>
      <w:pPr>
        <w:pStyle w:val="TextBody"/>
        <w:spacing w:before="0" w:after="0"/>
        <w:ind w:left="0" w:right="0" w:hanging="0"/>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TRANSACTION GRANT AGREEMENT</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September 9,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[name and address]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  Grant of MLP Phantom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[name]: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am pleased to inform you that Plains All American Pipeline, L.P. (PAA or the Partnership) hereby grants to you a total of [amount] MLP Phantom Units, as described below, certain of which include tandem Distribution Equivalent Rights (DERs).  The MLP Phantom Units represent the right to receive, upon vesting as provided below, equity securities of PAA Natural Gas Storage, L.P. (the MLP).  Your MLP Phantom Units are denominated by reference to the currently outstanding series and classes of MLP equity,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[one-third amount] MLP Phantom Units shall be denominated in Common Units of the MLP (the Phantom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[one-third amount] MLP Phantom Units shall be denominated in Series A Subordinated Units of the MLP (the Phantom Series A Units);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[one-third amount] MLP Phantom Units shall be denominated in Series B Subordinated Units of the MLP (the Phantom Series B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DER is a right to receive a quarterly cash payment from PAA equal to the distributions made by the MLP with respect to a Common Unit or Series A Subordinated Unit until such time that the tandem Phantom Common Unit or Phantom Series A Unit is paid to you or forfeited.  No DERs are granted with respect to the Phantom Series B Units.  The terms of this grant are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Subject to the further vesting provisions below, the MLP Phantom Units will vest (become payable) and be subject to payment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50% of the Phantom Common Units will vest on May 5, 2011 and the remaining 50% on May 5, 2012, respectively, and be payable on or within 20 Business Days of the applicable vesting date, in Common Units equal in amount to the number of Phantom Common Units vesting.  Upon vesting and payment, the DERs associated with your Phantom Common Units will expire.  Notwithstanding the foregoing, you shall be entitled to receive a proportionate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94" w:name="PB_1_011423_7056"/>
      <w:bookmarkEnd w:id="9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share of the May 2011 and May 2012 distribution received by PAA with respect to the delivered units.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100% of the Phantom Series A Units will vest upon satisfaction of the requirements necessary to achieve conversion of the Series A Subordinated Units into Common Units as set forth in the MLP Partnership Agreement.  Because the Series A Subordinated Units will convert into Common Units on the first Business Day following the satisfaction of such requirements, upon vesting of the Phantom Series A Units, PAA will deliver Common Units in lieu of the Series A Subordinated Units underlying the Phantom Series A Units.  Any Phantom Series A Units that have not vested as of December 31, 2018 will be automatically cancelled on such date. DERs associated with the Phantom Series A Units will expire on the first Business Day following vesting or cancellation of such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Phantom Series B Units will vest as follows: (i) 20% of your Phantom Series B Units will vest upon satisfaction of the requirements necessary to achieve conversion of the First Tranche Series B Subordinated Units into Series A Subordinated Units or Common Units, as set forth in the MLP Partnership Agreement; (ii) 21% of your Phantom Series B Units will vest upon satisfaction of the requirements necessary to achieve conversion of the Second Tranche Series B Subordinated Units into Series A Subordinated Units or Common Units, as set forth in the MLP Partnership Agreement; (iii) 15% of your Phantom Series B Units will vest upon satisfaction of the requirements necessary to achieve conversion of the Third Tranche Series B Subordinated Units into Series A Subordinated Units or Common Units, as set forth in the MLP Partnership Agreement; (iv) 22% of your Phantom Series B Units will vest upon satisfaction of the requirements necessary to achieve conversion of the Fourth Tranche Series B Subordinated Units into Series A Subordinated Units or Common Units, as set forth in the MLP Partnership Agreement; and (v) 22% of your Phantom Series B Units will vest upon satisfaction of the requirements necessary to achieve conversion of the Fifth Tranche Series B Subordinated Units into Series A Subordinated Units or Common Units, as set forth in the MLP Partnership Agreement.  Upon vesting, the Phantom Series B Units will be payable by PAA in Series A Subordinated Units or in Common Units it receives upon conversion of the Series B Subordinated Units.  You shall be entitled to receive a proportionate share of any distribution payment received by PAA upon conversion of the Series B Subordinated Units pursuant to the terms of Section 5.12 of the MLP Partnership Agreement. Any Phantom Series B Units that have not vested as of December 31, 2018 will be automatically cancelled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Notwithstanding any other provision of this Agreement, all of your Phantom Series A Units and Phantom Series B Units will vest upon conversion of the Series A Subordinated Units and Series B Subordinated Units pursuant to the terms of Section 11.4 of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 xml:space="preserve">Subject to the exceptions below, in the event of the termination of your employment with the Company and its Affiliates, all of your then outstanding MLP Phantom Units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95" w:name="PB_2_011502_5335"/>
      <w:bookmarkEnd w:id="9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associated DERs shall automatically be forfeited as of the date of termination.  The exceptions are: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the Company or its Affiliates terminate your employment other than a Termination for Cause: (i) any unvested Phantom Common Units shall be deemed nonforfeitable on the date of termination, and shall be payable on the next following Distribution Date; and (ii) any DERs associated with the unvested, nonforfeitable Phantom Common Units described in clause (i) shall not be forfeited on the date of termination, but shall be payable and shall expire in accordance with paragraph 1(a);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your employment with the Company or its Affiliates is terminated by reason of your death or your disability (a physical or mental infirmity that impairs your ability substantially to perform your duties for a period of eighteen months or that the Company otherwise determines constitutes a disability) your then outstanding MLP Phantom Units and tandem DERs shall not be forfeited on such date and: (i) such MLP Phantom Units shall vest or be cancelled in accordance with paragraph 1 above; and (ii) such DERs shall be payable and shall expire in accordance with paragraphs 1(a) and 1(b) above;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of a Change in Status, all of your then outstanding MLP Phantom Units and tandem DERs shall be deemed 100% non-forfeitable on such date, and such MLP Phantom Units shall be payable on the next following Distribution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Notwithstanding anything herein to the contrary: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any vesting hereunder is generally coincident with the conversion of any tranche of the underlying denominated series or class of securities into a different series or class, PAA will satisfy its obligations hereunder by delivery of units of the class or series into which the underlying denominated series or class is converted.  PAA will deliver units in satisfaction of its obligations as soon as reasonably practicable, but not more than 20 Business Days following each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the event that any vesting hereunder or any actions associated with such vesting would create potential short-swing liability under Section 16 of the Securities Exchange Act, the Company in its sole discretion may postpone such vesting until such time as determined by the Company, but no later than March 13 of the year following the year in which the Phantom Units would otherwise have vested;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To the extent any of the rights accruing to you hereunder may constitute deferred compensation within the meaning of Section 409A of the I.R.C., it is the intention of the Company that the provisions of this agreement comply in all respects with Section 409A.  If the Company determines after the date hereof that an amendment hereto is necessary to ensure the foregoing, it may make such amendment effective as of the grant date or any later date, without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96" w:name="PB_3_011537_5796"/>
      <w:bookmarkEnd w:id="9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your consent (provided that any such amendment shall be narrowly tailored to achieve such compliance with as little deviation from the intent of this agreement as of the date hereof as is practicable).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Upon payment pursuant to a DER, you agree that PAA may withhold any taxes due from your compensation as required by law.  Upon vesting of an MLP Phantom Unit, you agree that PAA may withhold any taxes due from your compensation as required by law, which, in the sole discretion of PAA, may include withholding a number of Common Units or Series A Subordinated Units otherwise payable to you.</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herein, the phrase Distribution Date means the day in February, May, August or November in any year (as context dictates) that is 45 days after the end of the most recently completed calendar quarter (or, if not a Business Day, the closest previous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in Status means (A) the termination of your employment by the Company and its Affiliates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its Affiliates; provided, however, a termination by you under Clause (B) shall not be a Change in Status unless (1) you provide written notice to the Company of the condition in (B)(i), (ii) or (iii) that would constitute a Change in Status within 90 days of the initial existence of the condition, (2) the Company fails to remedy the condition (or cause it to be remedied) within the 30-day period following such notice and (3) you terminate your employment within 10 days of the end of the 30-day period. As used herein, a termination of your employment means a separation from service for purposes of Section 409A of the Internal Revenue Code of 1986, as amended (the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of Control means, and shall be deemed to have occurred upon the occurrence of, one or more of the following events:  (i) the Company ceasing to retain direct or indirect control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  Notwithstanding the foregoing, no Change of Control shall be deemed to have occurred in connection with a restructuring or reorganization related to a securitization and sale to the public of direct or indirect equity interests in the general partner if (x) the Company retains direct or indirect control over the general partner and (y) the Persons who own membership interests in the Company on the date hereof continue to beneficially own, directly or indirectly, more than 50% of the membership interest in the Company.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7" w:name="PB_4_011604_2897"/>
      <w:bookmarkEnd w:id="9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Company refers to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Terms used but not defined herein shall have the meanings set forth in the Second Amended and Restated Agreement of Limited Partnership of PAA Natural Gas Storage, L.P. (as amended, the MLP Partnership Agreement); </w:t>
      </w:r>
      <w:r>
        <w:rPr>
          <w:rFonts w:ascii="Times New Roman" w:hAnsi="Times New Roman"/>
          <w:i/>
          <w:sz w:val="17"/>
        </w:rPr>
        <w:t>provided, however,</w:t>
      </w:r>
      <w:r>
        <w:rPr>
          <w:rFonts w:ascii="Times New Roman" w:hAnsi="Times New Roman"/>
          <w:sz w:val="17"/>
        </w:rPr>
        <w:t xml:space="preserve"> that terms used but not defined in the definitions of Change in Status, Change of Control and Termination for Cause shall have the meanings set forth in the Third Amended and Restated Agreement of Limited Partnership of Plains All American Pipeline, L.P. (as amended, the Partnership Agreement).  Copies of the MLP Partnership Agreement and Partnership Agreement are available upon request.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for this grant to be effective, you must designate a beneficiary that will be entitled to receive any benefits payable under this grant in the event of your death.  Please execute and return a copy of this grant letter to me no later than 10 Business Days after your receipt, and retain a copy for your files.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98" w:name="PB_5_011719_3020"/>
      <w:bookmarkEnd w:id="98"/>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9" w:name="a10-19173_1ex12d1.htm"/>
      <w:bookmarkStart w:id="100" w:name="ksa1019173_1ex12d1"/>
      <w:bookmarkEnd w:id="99"/>
      <w:bookmarkEnd w:id="100"/>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47"/>
        <w:gridCol w:w="60"/>
        <w:gridCol w:w="211"/>
        <w:gridCol w:w="43"/>
        <w:gridCol w:w="768"/>
        <w:gridCol w:w="215"/>
        <w:gridCol w:w="110"/>
        <w:gridCol w:w="646"/>
        <w:gridCol w:w="215"/>
        <w:gridCol w:w="110"/>
        <w:gridCol w:w="646"/>
        <w:gridCol w:w="215"/>
        <w:gridCol w:w="109"/>
        <w:gridCol w:w="646"/>
        <w:gridCol w:w="215"/>
        <w:gridCol w:w="110"/>
        <w:gridCol w:w="646"/>
        <w:gridCol w:w="215"/>
        <w:gridCol w:w="110"/>
        <w:gridCol w:w="646"/>
        <w:gridCol w:w="122"/>
      </w:tblGrid>
      <w:tr>
        <w:trPr/>
        <w:tc>
          <w:tcPr>
            <w:tcW w:w="414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02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5"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414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02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5"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414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02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5" w:type="dxa"/>
            <w:tcBorders/>
            <w:shd w:fill="auto" w:val="clear"/>
            <w:vAlign w:val="bottom"/>
          </w:tcPr>
          <w:p>
            <w:pPr>
              <w:pStyle w:val="TableContents"/>
              <w:spacing w:before="0" w:after="0"/>
              <w:ind w:left="0" w:right="0" w:hanging="0"/>
              <w:jc w:val="center"/>
              <w:rPr/>
            </w:pPr>
            <w:r>
              <w:rPr/>
              <w:t> </w:t>
            </w:r>
          </w:p>
        </w:tc>
        <w:tc>
          <w:tcPr>
            <w:tcW w:w="4639"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414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02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5" w:type="dxa"/>
            <w:tcBorders/>
            <w:shd w:fill="auto" w:val="clear"/>
            <w:vAlign w:val="bottom"/>
          </w:tcPr>
          <w:p>
            <w:pPr>
              <w:pStyle w:val="TableContents"/>
              <w:spacing w:before="0" w:after="0"/>
              <w:ind w:left="0" w:right="0" w:hanging="0"/>
              <w:jc w:val="center"/>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2005</w:t>
            </w:r>
          </w:p>
        </w:tc>
        <w:tc>
          <w:tcPr>
            <w:tcW w:w="122" w:type="dxa"/>
            <w:tcBorders/>
            <w:shd w:fill="auto" w:val="clear"/>
            <w:vAlign w:val="bottom"/>
          </w:tcPr>
          <w:p>
            <w:pPr>
              <w:pStyle w:val="TableContents"/>
              <w:spacing w:before="0" w:after="0"/>
              <w:ind w:left="0" w:right="0" w:hanging="0"/>
              <w:jc w:val="center"/>
              <w:rPr/>
            </w:pPr>
            <w:r>
              <w:rPr/>
              <w:t> </w:t>
            </w:r>
          </w:p>
        </w:tc>
      </w:tr>
      <w:tr>
        <w:trPr/>
        <w:tc>
          <w:tcPr>
            <w:tcW w:w="4147" w:type="dxa"/>
            <w:tcBorders/>
            <w:shd w:fill="CCEEFF" w:val="clear"/>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60" w:type="dxa"/>
            <w:tcBorders/>
            <w:shd w:fill="auto" w:val="clear"/>
            <w:vAlign w:val="bottom"/>
          </w:tcPr>
          <w:p>
            <w:pPr>
              <w:pStyle w:val="TableContents"/>
              <w:spacing w:before="0" w:after="0"/>
              <w:ind w:left="0" w:right="0" w:hanging="0"/>
              <w:rPr/>
            </w:pPr>
            <w:r>
              <w:rPr/>
              <w:t> </w:t>
            </w:r>
          </w:p>
        </w:tc>
        <w:tc>
          <w:tcPr>
            <w:tcW w:w="25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15"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5"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Distributed income of equity investees</w:t>
            </w:r>
          </w:p>
        </w:tc>
        <w:tc>
          <w:tcPr>
            <w:tcW w:w="60" w:type="dxa"/>
            <w:tcBorders/>
            <w:shd w:fill="auto" w:val="clear"/>
            <w:vAlign w:val="bottom"/>
          </w:tcPr>
          <w:p>
            <w:pPr>
              <w:pStyle w:val="TableContents"/>
              <w:spacing w:before="0" w:after="0"/>
              <w:ind w:left="0" w:right="0" w:hanging="0"/>
              <w:rPr/>
            </w:pPr>
            <w:r>
              <w:rPr/>
              <w:t> </w:t>
            </w:r>
          </w:p>
        </w:tc>
        <w:tc>
          <w:tcPr>
            <w:tcW w:w="1022" w:type="dxa"/>
            <w:gridSpan w:val="3"/>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capitalized interest</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60" w:type="dxa"/>
            <w:tcBorders/>
            <w:shd w:fill="auto" w:val="clear"/>
            <w:vAlign w:val="bottom"/>
          </w:tcPr>
          <w:p>
            <w:pPr>
              <w:pStyle w:val="TableContents"/>
              <w:spacing w:before="0" w:after="0"/>
              <w:ind w:left="0" w:right="0" w:hanging="0"/>
              <w:rPr/>
            </w:pPr>
            <w:r>
              <w:rPr/>
              <w:t> </w:t>
            </w:r>
          </w:p>
        </w:tc>
        <w:tc>
          <w:tcPr>
            <w:tcW w:w="1022"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60" w:type="dxa"/>
            <w:tcBorders/>
            <w:shd w:fill="CCEEFF" w:val="clear"/>
            <w:vAlign w:val="bottom"/>
          </w:tcPr>
          <w:p>
            <w:pPr>
              <w:pStyle w:val="TableContents"/>
              <w:spacing w:before="0" w:after="0"/>
              <w:ind w:left="0" w:right="0" w:hanging="0"/>
              <w:rPr/>
            </w:pPr>
            <w:r>
              <w:rPr/>
              <w:t> </w:t>
            </w:r>
          </w:p>
        </w:tc>
        <w:tc>
          <w:tcPr>
            <w:tcW w:w="254"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592</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5" w:type="dxa"/>
            <w:tcBorders/>
            <w:shd w:fill="CCEEFF" w:val="clear"/>
            <w:vAlign w:val="bottom"/>
          </w:tcPr>
          <w:p>
            <w:pPr>
              <w:pStyle w:val="TableContents"/>
              <w:spacing w:before="0" w:after="0"/>
              <w:ind w:left="0" w:right="0" w:hanging="0"/>
              <w:rPr/>
            </w:pPr>
            <w:r>
              <w:rPr/>
              <w:t> </w:t>
            </w:r>
          </w:p>
        </w:tc>
        <w:tc>
          <w:tcPr>
            <w:tcW w:w="1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22" w:type="dxa"/>
            <w:gridSpan w:val="3"/>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pPr>
            <w:r>
              <w:rPr>
                <w:rFonts w:ascii="Times New Roman" w:hAnsi="Times New Roman"/>
                <w:sz w:val="17"/>
              </w:rPr>
              <w:t xml:space="preserve">Interest expensed and capitalized </w:t>
            </w:r>
            <w:r>
              <w:rPr>
                <w:sz w:val="11"/>
              </w:rPr>
              <w:t>(2)</w:t>
            </w:r>
          </w:p>
        </w:tc>
        <w:tc>
          <w:tcPr>
            <w:tcW w:w="60" w:type="dxa"/>
            <w:tcBorders/>
            <w:shd w:fill="auto" w:val="clear"/>
            <w:vAlign w:val="bottom"/>
          </w:tcPr>
          <w:p>
            <w:pPr>
              <w:pStyle w:val="TableContents"/>
              <w:spacing w:before="0" w:after="0"/>
              <w:ind w:left="0" w:right="0" w:hanging="0"/>
              <w:rPr/>
            </w:pPr>
            <w:r>
              <w:rPr/>
              <w:t> </w:t>
            </w:r>
          </w:p>
        </w:tc>
        <w:tc>
          <w:tcPr>
            <w:tcW w:w="25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5"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CCEEFF" w:val="clear"/>
            <w:vAlign w:val="bottom"/>
          </w:tcPr>
          <w:p>
            <w:pPr>
              <w:pStyle w:val="TableContents"/>
              <w:spacing w:before="0" w:after="0"/>
              <w:ind w:left="0" w:right="0" w:hanging="0"/>
              <w:rPr/>
            </w:pPr>
            <w:r>
              <w:rPr/>
              <w:t> </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60" w:type="dxa"/>
            <w:tcBorders/>
            <w:shd w:fill="auto" w:val="clear"/>
            <w:vAlign w:val="bottom"/>
          </w:tcPr>
          <w:p>
            <w:pPr>
              <w:pStyle w:val="TableContents"/>
              <w:spacing w:before="0" w:after="0"/>
              <w:ind w:left="0" w:right="0" w:hanging="0"/>
              <w:rPr/>
            </w:pPr>
            <w:r>
              <w:rPr/>
              <w:t> </w:t>
            </w:r>
          </w:p>
        </w:tc>
        <w:tc>
          <w:tcPr>
            <w:tcW w:w="1022" w:type="dxa"/>
            <w:gridSpan w:val="3"/>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5" w:type="dxa"/>
            <w:tcBorders/>
            <w:shd w:fill="auto" w:val="clear"/>
            <w:vAlign w:val="bottom"/>
          </w:tcPr>
          <w:p>
            <w:pPr>
              <w:pStyle w:val="TableContents"/>
              <w:spacing w:before="0" w:after="0"/>
              <w:ind w:left="0" w:right="0" w:hanging="0"/>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60" w:type="dxa"/>
            <w:tcBorders/>
            <w:shd w:fill="CCEEFF" w:val="clear"/>
            <w:vAlign w:val="bottom"/>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1" w:type="dxa"/>
            <w:gridSpan w:val="2"/>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5" w:type="dxa"/>
            <w:tcBorders/>
            <w:shd w:fill="CCEEFF" w:val="clear"/>
            <w:vAlign w:val="bottom"/>
          </w:tcPr>
          <w:p>
            <w:pPr>
              <w:pStyle w:val="TableContents"/>
              <w:spacing w:before="0" w:after="0"/>
              <w:ind w:left="0" w:right="0" w:hanging="0"/>
              <w:rPr/>
            </w:pPr>
            <w:r>
              <w:rPr/>
              <w:t> </w:t>
            </w:r>
          </w:p>
        </w:tc>
        <w:tc>
          <w:tcPr>
            <w:tcW w:w="1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2" w:type="dxa"/>
            <w:tcBorders/>
            <w:shd w:fill="CCEEFF" w:val="clear"/>
            <w:vAlign w:val="bottom"/>
          </w:tcPr>
          <w:p>
            <w:pPr>
              <w:pStyle w:val="TableContents"/>
              <w:spacing w:before="0" w:after="0"/>
              <w:ind w:left="0" w:right="0" w:hanging="0"/>
              <w:rPr/>
            </w:pPr>
            <w:r>
              <w:rPr/>
              <w:t> </w:t>
            </w:r>
          </w:p>
        </w:tc>
      </w:tr>
      <w:tr>
        <w:trPr/>
        <w:tc>
          <w:tcPr>
            <w:tcW w:w="4147"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22" w:type="dxa"/>
            <w:gridSpan w:val="3"/>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147" w:type="dxa"/>
            <w:tcBorders/>
            <w:shd w:fill="CCEEFF" w:val="clear"/>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60" w:type="dxa"/>
            <w:tcBorders/>
            <w:shd w:fill="CCEEFF" w:val="clear"/>
            <w:vAlign w:val="bottom"/>
          </w:tcPr>
          <w:p>
            <w:pPr>
              <w:pStyle w:val="TableContents"/>
              <w:spacing w:before="0" w:after="0"/>
              <w:ind w:left="0" w:right="0" w:hanging="0"/>
              <w:rPr/>
            </w:pPr>
            <w:r>
              <w:rPr/>
              <w:t> </w:t>
            </w:r>
          </w:p>
        </w:tc>
        <w:tc>
          <w:tcPr>
            <w:tcW w:w="1022" w:type="dxa"/>
            <w:gridSpan w:val="3"/>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r>
        <w:trPr/>
        <w:tc>
          <w:tcPr>
            <w:tcW w:w="4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9"/>
        <w:gridCol w:w="204"/>
        <w:gridCol w:w="9692"/>
      </w:tblGrid>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04" w:type="dxa"/>
            <w:tcBorders/>
            <w:shd w:fill="auto" w:val="clear"/>
            <w:vAlign w:val="bottom"/>
          </w:tcPr>
          <w:p>
            <w:pPr>
              <w:pStyle w:val="TableContents"/>
              <w:spacing w:before="0" w:after="0"/>
              <w:ind w:left="0" w:right="0" w:hanging="0"/>
              <w:rPr/>
            </w:pPr>
            <w:r>
              <w:rPr/>
              <w:t> </w:t>
            </w:r>
          </w:p>
        </w:tc>
        <w:tc>
          <w:tcPr>
            <w:tcW w:w="96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w:t>
            </w:r>
          </w:p>
        </w:tc>
      </w:tr>
      <w:tr>
        <w:trPr/>
        <w:tc>
          <w:tcPr>
            <w:tcW w:w="309"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9692" w:type="dxa"/>
            <w:tcBorders/>
            <w:shd w:fill="auto" w:val="clear"/>
          </w:tcPr>
          <w:p>
            <w:pPr>
              <w:pStyle w:val="TableContents"/>
              <w:spacing w:before="0" w:after="0"/>
              <w:ind w:left="0" w:right="0" w:hanging="0"/>
              <w:rPr/>
            </w:pPr>
            <w:r>
              <w:rPr/>
              <w:t> </w:t>
            </w:r>
          </w:p>
        </w:tc>
      </w:tr>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4" w:type="dxa"/>
            <w:tcBorders/>
            <w:shd w:fill="auto" w:val="clear"/>
            <w:vAlign w:val="bottom"/>
          </w:tcPr>
          <w:p>
            <w:pPr>
              <w:pStyle w:val="TableContents"/>
              <w:spacing w:before="0" w:after="0"/>
              <w:ind w:left="0" w:right="0" w:hanging="0"/>
              <w:rPr/>
            </w:pPr>
            <w:r>
              <w:rPr/>
              <w:t> </w:t>
            </w:r>
          </w:p>
        </w:tc>
        <w:tc>
          <w:tcPr>
            <w:tcW w:w="96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interest costs attributable to borrowings for inventory stored in a contango market of $13 million for the nine months ended September 30, 2010 and $11 million, $21 million, $44 million, $49 million and $24 million for each of the years ended December 31, 2009, 2008, 2007, 2006 and 2005, respectively.</w:t>
            </w:r>
          </w:p>
        </w:tc>
      </w:tr>
      <w:tr>
        <w:trPr/>
        <w:tc>
          <w:tcPr>
            <w:tcW w:w="309"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9692" w:type="dxa"/>
            <w:tcBorders/>
            <w:shd w:fill="auto" w:val="clear"/>
          </w:tcPr>
          <w:p>
            <w:pPr>
              <w:pStyle w:val="TableContents"/>
              <w:spacing w:before="0" w:after="0"/>
              <w:ind w:left="0" w:right="0" w:hanging="0"/>
              <w:rPr/>
            </w:pPr>
            <w:r>
              <w:rPr/>
              <w:t> </w:t>
            </w:r>
          </w:p>
        </w:tc>
      </w:tr>
      <w:tr>
        <w:trPr/>
        <w:tc>
          <w:tcPr>
            <w:tcW w:w="309"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04" w:type="dxa"/>
            <w:tcBorders/>
            <w:shd w:fill="auto" w:val="clear"/>
            <w:vAlign w:val="bottom"/>
          </w:tcPr>
          <w:p>
            <w:pPr>
              <w:pStyle w:val="TableContents"/>
              <w:spacing w:before="0" w:after="0"/>
              <w:ind w:left="0" w:right="0" w:hanging="0"/>
              <w:rPr/>
            </w:pPr>
            <w:r>
              <w:rPr/>
              <w:t> </w:t>
            </w:r>
          </w:p>
        </w:tc>
        <w:tc>
          <w:tcPr>
            <w:tcW w:w="969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Ratios may not recalculate due to rounding.</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1" w:name="a10-19173_1ex31d1.htm"/>
      <w:bookmarkStart w:id="102" w:name="ksa1019173_1ex31d1"/>
      <w:bookmarkEnd w:id="101"/>
      <w:bookmarkEnd w:id="102"/>
      <w:r>
        <w:rPr>
          <w:rFonts w:ascii="Times New Roman" w:hAnsi="Times New Roman"/>
          <w:b/>
          <w:sz w:val="17"/>
        </w:rPr>
        <w:t>EXHIBIT 31.1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5,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3" w:name="a10-19173_1ex31d2.htm"/>
      <w:bookmarkStart w:id="104" w:name="ksa1019173_1ex31d2"/>
      <w:bookmarkEnd w:id="103"/>
      <w:bookmarkEnd w:id="104"/>
      <w:r>
        <w:rPr>
          <w:rFonts w:ascii="Times New Roman" w:hAnsi="Times New Roman"/>
          <w:b/>
          <w:sz w:val="17"/>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5,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5" w:name="a10-19173_1ex32d1.htm"/>
      <w:bookmarkStart w:id="106" w:name="ksa1019173_1ex32d1"/>
      <w:bookmarkEnd w:id="105"/>
      <w:bookmarkEnd w:id="106"/>
      <w:r>
        <w:rPr>
          <w:rFonts w:ascii="Times New Roman" w:hAnsi="Times New Roman"/>
          <w:b/>
          <w:sz w:val="17"/>
        </w:rPr>
        <w:t>EXHIBIT 32.1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2010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5, 2010</w:t>
            </w:r>
          </w:p>
        </w:tc>
      </w:tr>
    </w:tbl>
    <w:p>
      <w:pPr>
        <w:pStyle w:val="TextBody"/>
        <w:spacing w:before="0" w:after="0"/>
        <w:ind w:left="0" w:right="0" w:hanging="0"/>
        <w:jc w:val="right"/>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pPr>
      <w:bookmarkStart w:id="107" w:name="a10-19173_1ex32d2.htm"/>
      <w:bookmarkStart w:id="108" w:name="ksa1019173_1ex32d2"/>
      <w:bookmarkEnd w:id="107"/>
      <w:bookmarkEnd w:id="108"/>
      <w:r>
        <w:rPr/>
        <w:t> </w:t>
      </w:r>
      <w:r>
        <w:rPr>
          <w:rFonts w:ascii="Times New Roman" w:hAnsi="Times New Roman"/>
          <w:b/>
          <w:sz w:val="17"/>
        </w:rPr>
        <w:t>EXHIBIT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2010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5, 2010</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65</Pages>
  <Words>32312</Words>
  <CharactersWithSpaces>200489</CharactersWithSpaces>
  <Paragraphs>12092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