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19547d8k.htm"/>
      <w:bookmarkStart w:id="1" w:name="ksd419547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October 1,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713-646-4100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spacing w:before="90" w:after="0"/>
        <w:rPr>
          <w:rFonts w:ascii="Times New Roman" w:hAnsi="Times New Roman"/>
          <w:sz w:val="20"/>
        </w:rPr>
      </w:pPr>
      <w:r>
        <w:rPr>
          <w:rFonts w:ascii="Times New Roman" w:hAnsi="Times New Roman"/>
          <w:sz w:val="20"/>
        </w:rPr>
        <w:t xml:space="preserve">On and effective as of October 1, 2012, the General Partner of Plains All American Pipeline, L.P. (the Partnership) amended the Fourth Amended and Restated Agreement of Limited Partnership of the Partnership by executing Amendment No. 1 thereto (Amendment No. 1), to modify certain definitions related to target distribution amounts and minimum distribution amounts in connection with the Partnerships two-for-one unit split, which was effected by a distribution on October 1, 2012 of one additional common unit for each common unit outstanding to unitholders of record as of September 17, 2012. A copy of Amendment No. 1 is filed as Exhibit 3.1 hereto and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8.01.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Events </w:t>
            </w:r>
          </w:p>
        </w:tc>
      </w:tr>
    </w:tbl>
    <w:p>
      <w:pPr>
        <w:pStyle w:val="TextBody"/>
        <w:spacing w:before="90" w:after="0"/>
        <w:rPr>
          <w:rFonts w:ascii="Times New Roman" w:hAnsi="Times New Roman"/>
          <w:sz w:val="20"/>
        </w:rPr>
      </w:pPr>
      <w:r>
        <w:rPr>
          <w:rFonts w:ascii="Times New Roman" w:hAnsi="Times New Roman"/>
          <w:sz w:val="20"/>
        </w:rPr>
        <w:t xml:space="preserve">On October 1, 2012, the Partnership issued a press release announcing the completion of its previously announced two-for-one split of the Partnerships common units. A copy of the press release is attached hereto as Exhibit 99.1.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(d)</w:t>
            </w:r>
          </w:p>
        </w:tc>
        <w:tc>
          <w:tcPr>
            <w:tcW w:w="938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tbl>
      <w:tblPr>
        <w:tblW w:w="4600" w:type="pct"/>
        <w:jc w:val="right"/>
        <w:tblInd w:w="0" w:type="dxa"/>
        <w:tblCellMar>
          <w:top w:w="0" w:type="dxa"/>
          <w:left w:w="0" w:type="dxa"/>
          <w:bottom w:w="0" w:type="dxa"/>
          <w:right w:w="0" w:type="dxa"/>
        </w:tblCellMar>
      </w:tblPr>
      <w:tblGrid>
        <w:gridCol w:w="1071"/>
        <w:gridCol w:w="295"/>
        <w:gridCol w:w="8022"/>
      </w:tblGrid>
      <w:tr>
        <w:trPr/>
        <w:tc>
          <w:tcPr>
            <w:tcW w:w="107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8022"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071" w:type="dxa"/>
            <w:tcBorders/>
            <w:shd w:fill="auto" w:val="clear"/>
            <w:vAlign w:val="center"/>
          </w:tcPr>
          <w:p>
            <w:pPr>
              <w:pStyle w:val="TableContents"/>
              <w:spacing w:before="0" w:after="283"/>
              <w:rPr>
                <w:sz w:val="4"/>
                <w:szCs w:val="4"/>
              </w:rPr>
            </w:pPr>
            <w:r>
              <w:rPr>
                <w:sz w:val="4"/>
                <w:szCs w:val="4"/>
              </w:rPr>
            </w:r>
          </w:p>
        </w:tc>
        <w:tc>
          <w:tcPr>
            <w:tcW w:w="8317" w:type="dxa"/>
            <w:gridSpan w:val="2"/>
            <w:tcBorders/>
            <w:shd w:fill="auto" w:val="clear"/>
            <w:vAlign w:val="center"/>
          </w:tcPr>
          <w:p>
            <w:pPr>
              <w:pStyle w:val="TableContents"/>
              <w:spacing w:before="0" w:after="283"/>
              <w:rPr>
                <w:sz w:val="4"/>
                <w:szCs w:val="4"/>
              </w:rPr>
            </w:pPr>
            <w:r>
              <w:rPr>
                <w:sz w:val="4"/>
                <w:szCs w:val="4"/>
              </w:rPr>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295" w:type="dxa"/>
            <w:tcBorders/>
            <w:shd w:fill="auto" w:val="clear"/>
            <w:vAlign w:val="bottom"/>
          </w:tcPr>
          <w:p>
            <w:pPr>
              <w:pStyle w:val="TableContents"/>
              <w:spacing w:before="0" w:after="283"/>
              <w:rPr/>
            </w:pPr>
            <w:r>
              <w:rPr/>
              <w:t>  </w:t>
            </w:r>
          </w:p>
        </w:tc>
        <w:tc>
          <w:tcPr>
            <w:tcW w:w="8022"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Fourth Amended and Restated Agreement of Limited Partnership of Plains All American Pipeline, L.P. dated October 1, 2012.</w:t>
            </w:r>
          </w:p>
        </w:tc>
      </w:tr>
      <w:tr>
        <w:trPr>
          <w:trHeight w:val="120" w:hRule="atLeast"/>
        </w:trPr>
        <w:tc>
          <w:tcPr>
            <w:tcW w:w="1071" w:type="dxa"/>
            <w:tcBorders/>
            <w:shd w:fill="auto" w:val="clear"/>
            <w:vAlign w:val="center"/>
          </w:tcPr>
          <w:p>
            <w:pPr>
              <w:pStyle w:val="TableContents"/>
              <w:spacing w:before="0" w:after="283"/>
              <w:rPr>
                <w:sz w:val="4"/>
                <w:szCs w:val="4"/>
              </w:rPr>
            </w:pPr>
            <w:r>
              <w:rPr>
                <w:sz w:val="4"/>
                <w:szCs w:val="4"/>
              </w:rPr>
            </w:r>
          </w:p>
        </w:tc>
        <w:tc>
          <w:tcPr>
            <w:tcW w:w="8317" w:type="dxa"/>
            <w:gridSpan w:val="2"/>
            <w:tcBorders/>
            <w:shd w:fill="auto" w:val="clear"/>
            <w:vAlign w:val="center"/>
          </w:tcPr>
          <w:p>
            <w:pPr>
              <w:pStyle w:val="TableContents"/>
              <w:spacing w:before="0" w:after="283"/>
              <w:rPr>
                <w:sz w:val="4"/>
                <w:szCs w:val="4"/>
              </w:rPr>
            </w:pPr>
            <w:r>
              <w:rPr>
                <w:sz w:val="4"/>
                <w:szCs w:val="4"/>
              </w:rPr>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Exhibit 99.1</w:t>
            </w:r>
          </w:p>
        </w:tc>
        <w:tc>
          <w:tcPr>
            <w:tcW w:w="295" w:type="dxa"/>
            <w:tcBorders/>
            <w:shd w:fill="auto" w:val="clear"/>
            <w:vAlign w:val="bottom"/>
          </w:tcPr>
          <w:p>
            <w:pPr>
              <w:pStyle w:val="TableContents"/>
              <w:spacing w:before="0" w:after="283"/>
              <w:rPr/>
            </w:pPr>
            <w:r>
              <w:rPr/>
              <w:t>  </w:t>
            </w:r>
          </w:p>
        </w:tc>
        <w:tc>
          <w:tcPr>
            <w:tcW w:w="8022"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October 1, 2012.</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03"/>
        <w:gridCol w:w="114"/>
        <w:gridCol w:w="268"/>
        <w:gridCol w:w="114"/>
        <w:gridCol w:w="4906"/>
      </w:tblGrid>
      <w:tr>
        <w:trPr/>
        <w:tc>
          <w:tcPr>
            <w:tcW w:w="480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906" w:type="dxa"/>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528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803"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20" w:type="dxa"/>
            <w:gridSpan w:val="2"/>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tcPr>
          <w:p>
            <w:pPr>
              <w:pStyle w:val="TableContents"/>
              <w:spacing w:before="0" w:after="283"/>
              <w:rPr>
                <w:rFonts w:ascii="Times New Roman" w:hAnsi="Times New Roman"/>
                <w:sz w:val="20"/>
              </w:rPr>
            </w:pPr>
            <w:r>
              <w:rPr>
                <w:rFonts w:ascii="Times New Roman" w:hAnsi="Times New Roman"/>
                <w:sz w:val="20"/>
              </w:rPr>
              <w:t>Date: October 2, 2012</w:t>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803"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20" w:type="dxa"/>
            <w:gridSpan w:val="2"/>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McGee</w:t>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4"/>
        <w:gridCol w:w="526"/>
        <w:gridCol w:w="9205"/>
      </w:tblGrid>
      <w:tr>
        <w:trPr/>
        <w:tc>
          <w:tcPr>
            <w:tcW w:w="47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9205" w:type="dxa"/>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No.</w:t>
            </w:r>
          </w:p>
        </w:tc>
        <w:tc>
          <w:tcPr>
            <w:tcW w:w="526" w:type="dxa"/>
            <w:tcBorders/>
            <w:shd w:fill="auto" w:val="clear"/>
            <w:vAlign w:val="bottom"/>
          </w:tcPr>
          <w:p>
            <w:pPr>
              <w:pStyle w:val="TableContents"/>
              <w:spacing w:before="0" w:after="283"/>
              <w:rPr/>
            </w:pPr>
            <w:r>
              <w:rPr/>
              <w:t>  </w:t>
            </w:r>
          </w:p>
        </w:tc>
        <w:tc>
          <w:tcPr>
            <w:tcW w:w="9205"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Description</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Fourth Amended and Restated Agreement of Limited Partnership of Plains All American Pipeline, L.P. dated October 1, 2012.</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October 1, 2012.</w:t>
            </w:r>
          </w:p>
        </w:tc>
      </w:tr>
    </w:tbl>
    <w:p>
      <w:pPr>
        <w:pStyle w:val="TextBody"/>
        <w:spacing w:before="180" w:after="0"/>
        <w:jc w:val="right"/>
        <w:rPr>
          <w:rFonts w:ascii="Times New Roman" w:hAnsi="Times New Roman"/>
          <w:b/>
          <w:sz w:val="20"/>
        </w:rPr>
      </w:pPr>
      <w:r>
        <w:br w:type="page"/>
      </w:r>
      <w:bookmarkStart w:id="2" w:name="d419547dex31.htm"/>
      <w:bookmarkStart w:id="3" w:name="ksd419547dex31"/>
      <w:bookmarkEnd w:id="2"/>
      <w:bookmarkEnd w:id="3"/>
      <w:r>
        <w:rPr>
          <w:rFonts w:ascii="Times New Roman" w:hAnsi="Times New Roman"/>
          <w:b/>
          <w:sz w:val="20"/>
        </w:rPr>
        <w:t xml:space="preserve">Exhibit 3.1 </w:t>
      </w:r>
    </w:p>
    <w:p>
      <w:pPr>
        <w:pStyle w:val="TextBody"/>
        <w:spacing w:before="360" w:after="0"/>
        <w:jc w:val="center"/>
        <w:rPr>
          <w:rFonts w:ascii="Times New Roman" w:hAnsi="Times New Roman"/>
          <w:b/>
          <w:sz w:val="20"/>
        </w:rPr>
      </w:pPr>
      <w:r>
        <w:rPr>
          <w:rFonts w:ascii="Times New Roman" w:hAnsi="Times New Roman"/>
          <w:b/>
          <w:sz w:val="20"/>
        </w:rPr>
        <w:t xml:space="preserve">AMENDMENT NO. 1 TO FOURTH AMENDED AND RESTATED </w:t>
      </w:r>
    </w:p>
    <w:p>
      <w:pPr>
        <w:pStyle w:val="TextBody"/>
        <w:spacing w:before="0" w:after="0"/>
        <w:jc w:val="center"/>
        <w:rPr>
          <w:rFonts w:ascii="Times New Roman" w:hAnsi="Times New Roman"/>
          <w:b/>
          <w:sz w:val="20"/>
        </w:rPr>
      </w:pPr>
      <w:r>
        <w:rPr>
          <w:rFonts w:ascii="Times New Roman" w:hAnsi="Times New Roman"/>
          <w:b/>
          <w:sz w:val="20"/>
        </w:rPr>
        <w:t xml:space="preserve">AGREEMENT OF LIMITED PARTNERSHIP OF </w:t>
      </w:r>
    </w:p>
    <w:p>
      <w:pPr>
        <w:pStyle w:val="TextBody"/>
        <w:spacing w:before="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rPr>
          <w:rFonts w:ascii="Times New Roman" w:hAnsi="Times New Roman"/>
          <w:sz w:val="20"/>
        </w:rPr>
      </w:pPr>
      <w:r>
        <w:rPr>
          <w:rFonts w:ascii="Times New Roman" w:hAnsi="Times New Roman"/>
          <w:sz w:val="20"/>
        </w:rPr>
        <w:t>This Amendment No. 1 (this </w:t>
      </w:r>
      <w:r>
        <w:rPr>
          <w:rFonts w:ascii="Times New Roman" w:hAnsi="Times New Roman"/>
          <w:i/>
          <w:sz w:val="20"/>
          <w:u w:val="single"/>
        </w:rPr>
        <w:t>Amendment</w:t>
      </w:r>
      <w:r>
        <w:rPr>
          <w:rFonts w:ascii="Times New Roman" w:hAnsi="Times New Roman"/>
          <w:sz w:val="20"/>
        </w:rPr>
        <w:t>) to the Fourth Amended and Restated Agreement of Limited Partnership of Plains All American Pipeline, L.P., a Delaware limited partnership (the </w:t>
      </w:r>
      <w:r>
        <w:rPr>
          <w:rFonts w:ascii="Times New Roman" w:hAnsi="Times New Roman"/>
          <w:i/>
          <w:sz w:val="20"/>
          <w:u w:val="single"/>
        </w:rPr>
        <w:t>Partnership</w:t>
      </w:r>
      <w:r>
        <w:rPr>
          <w:rFonts w:ascii="Times New Roman" w:hAnsi="Times New Roman"/>
          <w:sz w:val="20"/>
        </w:rPr>
        <w:t>), is entered into as of October 1, 2012, by PAA GP LLC, a Delaware limited liability company (the </w:t>
      </w:r>
      <w:r>
        <w:rPr>
          <w:rFonts w:ascii="Times New Roman" w:hAnsi="Times New Roman"/>
          <w:i/>
          <w:sz w:val="20"/>
          <w:u w:val="single"/>
        </w:rPr>
        <w:t>General Partner</w:t>
      </w:r>
      <w:r>
        <w:rPr>
          <w:rFonts w:ascii="Times New Roman" w:hAnsi="Times New Roman"/>
          <w:sz w:val="20"/>
        </w:rPr>
        <w:t xml:space="preserve">), as general partner of the Partnership. Capitalized terms used but not defined herein have the meaning given such terms in the Partnership Agreement. </w:t>
      </w:r>
    </w:p>
    <w:p>
      <w:pPr>
        <w:pStyle w:val="TextBody"/>
        <w:spacing w:before="180" w:after="0"/>
        <w:rPr>
          <w:rFonts w:ascii="Times New Roman" w:hAnsi="Times New Roman"/>
          <w:sz w:val="20"/>
        </w:rPr>
      </w:pPr>
      <w:r>
        <w:rPr>
          <w:rFonts w:ascii="Times New Roman" w:hAnsi="Times New Roman"/>
          <w:sz w:val="20"/>
        </w:rPr>
        <w:t>WHEREAS, the General Partner and the Limited Partners of the Partnership entered into that certain Fourth Amended and Restated Agreement of Limited Partnership of the Partnership dated as of May 17, 2012 (the </w:t>
      </w:r>
      <w:r>
        <w:rPr>
          <w:rFonts w:ascii="Times New Roman" w:hAnsi="Times New Roman"/>
          <w:i/>
          <w:sz w:val="20"/>
          <w:u w:val="single"/>
        </w:rPr>
        <w:t>Partnership Agreement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WHEREAS, Section 5.10 of the Partnership Agreement provides that the Partnership may make a Pro Rata distribution of Partnership Securities to all Record Holders or may effect a subdivision or combination of Partnership Securities; </w:t>
      </w:r>
    </w:p>
    <w:p>
      <w:pPr>
        <w:pStyle w:val="TextBody"/>
        <w:spacing w:before="180" w:after="0"/>
        <w:rPr>
          <w:rFonts w:ascii="Times New Roman" w:hAnsi="Times New Roman"/>
          <w:sz w:val="20"/>
        </w:rPr>
      </w:pPr>
      <w:r>
        <w:rPr>
          <w:rFonts w:ascii="Times New Roman" w:hAnsi="Times New Roman"/>
          <w:sz w:val="20"/>
        </w:rPr>
        <w:t>WHEREAS, the General Partner, on behalf of the Partnership, has previously authorized a two-for-one split for each Common Unit (the </w:t>
      </w:r>
      <w:r>
        <w:rPr>
          <w:rFonts w:ascii="Times New Roman" w:hAnsi="Times New Roman"/>
          <w:i/>
          <w:sz w:val="20"/>
          <w:u w:val="single"/>
        </w:rPr>
        <w:t>Unit Split</w:t>
      </w:r>
      <w:r>
        <w:rPr>
          <w:rFonts w:ascii="Times New Roman" w:hAnsi="Times New Roman"/>
          <w:sz w:val="20"/>
        </w:rPr>
        <w:t>), and in accordance with Section 5.10(b) of the Partnership Agreement, has set September 17, 2012 as the Record Date for such Unit Split and has provided notice to the Partnerships Record Holders of such Unit Split and of the distribution of the additional Partnership Securities on October 1, 2012 (the </w:t>
      </w:r>
      <w:r>
        <w:rPr>
          <w:rFonts w:ascii="Times New Roman" w:hAnsi="Times New Roman"/>
          <w:i/>
          <w:sz w:val="20"/>
          <w:u w:val="single"/>
        </w:rPr>
        <w:t>Split Date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WHEREAS, Section 6.6(a) of the Partnership Agreement provides that the Minimum Quarterly Distribution, First Target Distribution and Second Target Distribution shall each be proportionately adjusted in the event of a distribution, combination or subdivision of Units; </w:t>
      </w:r>
    </w:p>
    <w:p>
      <w:pPr>
        <w:pStyle w:val="TextBody"/>
        <w:spacing w:before="180" w:after="0"/>
        <w:rPr>
          <w:rFonts w:ascii="Times New Roman" w:hAnsi="Times New Roman"/>
          <w:sz w:val="20"/>
        </w:rPr>
      </w:pPr>
      <w:r>
        <w:rPr>
          <w:rFonts w:ascii="Times New Roman" w:hAnsi="Times New Roman"/>
          <w:sz w:val="20"/>
        </w:rPr>
        <w:t xml:space="preserve">WHEREAS, Section 13.1(d)(iii) of the Partnership Agreement provides that the General Partner, without the approval of any Partner or Assignee, may amend any provision of the Partnership Agreement and execute, swear to, acknowledge, deliver, file and record whatever documents may be required in connection therewith, to reflect a change that is necessary or advisable in connection with action taken by the General Partner pursuant to Section 5.10; </w:t>
      </w:r>
    </w:p>
    <w:p>
      <w:pPr>
        <w:pStyle w:val="TextBody"/>
        <w:spacing w:before="180" w:after="0"/>
        <w:rPr>
          <w:rFonts w:ascii="Times New Roman" w:hAnsi="Times New Roman"/>
          <w:sz w:val="20"/>
        </w:rPr>
      </w:pPr>
      <w:r>
        <w:rPr>
          <w:rFonts w:ascii="Times New Roman" w:hAnsi="Times New Roman"/>
          <w:sz w:val="20"/>
        </w:rPr>
        <w:t xml:space="preserve">WHEREAS, the Board, for and on behalf of the General Partner, deems it in the best interests of the Partnership to adopt this Amendment in order to make such changes as are necessary and appropriate in connection with the Unit Split. </w:t>
      </w:r>
    </w:p>
    <w:p>
      <w:pPr>
        <w:pStyle w:val="TextBody"/>
        <w:spacing w:before="180" w:after="0"/>
        <w:rPr>
          <w:rFonts w:ascii="Times New Roman" w:hAnsi="Times New Roman"/>
          <w:sz w:val="20"/>
        </w:rPr>
      </w:pPr>
      <w:r>
        <w:rPr>
          <w:rFonts w:ascii="Times New Roman" w:hAnsi="Times New Roman"/>
          <w:sz w:val="20"/>
        </w:rPr>
        <w:t xml:space="preserve">NOW, THEREFORE, pursuant to Section 13.1(d) of the Partnership Agreement, the Partnership Agreement is hereby amended as follows: </w:t>
      </w:r>
    </w:p>
    <w:p>
      <w:pPr>
        <w:pStyle w:val="TextBody"/>
        <w:spacing w:before="18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 xml:space="preserve">Amendments. The following amendments shall take effect as of the date hereof: </w:t>
      </w:r>
    </w:p>
    <w:p>
      <w:pPr>
        <w:pStyle w:val="TextBody"/>
        <w:spacing w:before="90" w:after="0"/>
        <w:rPr>
          <w:rFonts w:ascii="Times New Roman" w:hAnsi="Times New Roman"/>
          <w:sz w:val="20"/>
        </w:rPr>
      </w:pPr>
      <w:r>
        <w:rPr>
          <w:rFonts w:ascii="Times New Roman" w:hAnsi="Times New Roman"/>
          <w:sz w:val="20"/>
        </w:rPr>
        <w:t xml:space="preserve">(a) Section 1.1 of the Partnership Agreement is hereby amended by adding the following definitions in appropriate alphabetical order: </w:t>
      </w:r>
      <w:r>
        <w:br w:type="page"/>
      </w:r>
    </w:p>
    <w:p>
      <w:pPr>
        <w:pStyle w:val="HorizontalLine"/>
        <w:pBdr>
          <w:bottom w:val="double" w:sz="6" w:space="0" w:color="808080"/>
        </w:pBdr>
        <w:rPr/>
      </w:pPr>
      <w:r>
        <w:rPr/>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2012 Unit Split</w:t>
      </w:r>
      <w:r>
        <w:rPr>
          <w:rFonts w:ascii="Times New Roman" w:hAnsi="Times New Roman"/>
          <w:sz w:val="20"/>
        </w:rPr>
        <w:t xml:space="preserve"> means the two-for-one split of the Common Units effected on October 1, 2012 by way of a dividend and distribution of one Common Unit for each Common Unit outstanding to Record Holders as of September 17, 2012.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Split Date</w:t>
      </w:r>
      <w:r>
        <w:rPr>
          <w:rFonts w:ascii="Times New Roman" w:hAnsi="Times New Roman"/>
          <w:sz w:val="20"/>
        </w:rPr>
        <w:t xml:space="preserve"> means October 1, 2012. </w:t>
      </w:r>
    </w:p>
    <w:p>
      <w:pPr>
        <w:pStyle w:val="TextBody"/>
        <w:spacing w:before="180" w:after="0"/>
        <w:rPr>
          <w:rFonts w:ascii="Times New Roman" w:hAnsi="Times New Roman"/>
          <w:sz w:val="20"/>
        </w:rPr>
      </w:pPr>
      <w:r>
        <w:rPr>
          <w:rFonts w:ascii="Times New Roman" w:hAnsi="Times New Roman"/>
          <w:sz w:val="20"/>
        </w:rPr>
        <w:t xml:space="preserve">(b) Section 1.1 of the Partnership Agreement is hereby amended by deleting the definitions of First Target Distribution, Initial Unit Price, Minimum Quarterly Distribution, Second Target Distribution and Unrecovered Capital contained therein and inserting in lieu thereof the following definitions, respectively: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First Target Distribution</w:t>
      </w:r>
      <w:r>
        <w:rPr>
          <w:rFonts w:ascii="Times New Roman" w:hAnsi="Times New Roman"/>
          <w:sz w:val="20"/>
        </w:rPr>
        <w:t xml:space="preserve"> means $0.2475 per Unit per Quarter (or, with respect to the period commencing on the Closing Date and ending on December 31, 1998, it means the product of $0.2475 multiplied by a fraction of which the numerator is the number of days in such period, and of which the denominator is 91), subject to adjustment in accordance with Sections 6.6 and 6.9.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Initial Unit Price</w:t>
      </w:r>
      <w:r>
        <w:rPr>
          <w:rFonts w:ascii="Times New Roman" w:hAnsi="Times New Roman"/>
          <w:sz w:val="20"/>
        </w:rPr>
        <w:t xml:space="preserve"> means (a) $20.00 or (b) with respect to any other class or series of Units, the price per Unit at which such class or series of Units is initially sold by the Partnership, as determined by the General Partner, in each case adjusted as the General Partner determines to be appropriate to give effect to any distribution, subdivision or combination of Units; </w:t>
      </w:r>
      <w:r>
        <w:rPr>
          <w:rFonts w:ascii="Times New Roman" w:hAnsi="Times New Roman"/>
          <w:i/>
          <w:sz w:val="20"/>
        </w:rPr>
        <w:t>provided</w:t>
      </w:r>
      <w:r>
        <w:rPr>
          <w:rFonts w:ascii="Times New Roman" w:hAnsi="Times New Roman"/>
          <w:sz w:val="20"/>
        </w:rPr>
        <w:t xml:space="preserve">, with respect to Common Units, upon the Split Date each such price shall be reduced by one-half to give effect to the 2012 Unit Split.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Minimum Quarterly Distribution</w:t>
      </w:r>
      <w:r>
        <w:rPr>
          <w:rFonts w:ascii="Times New Roman" w:hAnsi="Times New Roman"/>
          <w:sz w:val="20"/>
        </w:rPr>
        <w:t xml:space="preserve"> means $0.225 per Unit per Quarter (or, with respect to the period commencing on the Closing Date and ending on December 31, 1998, it means the product of $0.225 multiplied by a fraction of which the numerator is equal to the number of days in such period and of which the denominator is 91), subject to adjustment in accordance with Sections 6.6 and 6.9.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Second Target Distribution</w:t>
      </w:r>
      <w:r>
        <w:rPr>
          <w:rFonts w:ascii="Times New Roman" w:hAnsi="Times New Roman"/>
          <w:sz w:val="20"/>
        </w:rPr>
        <w:t xml:space="preserve"> means $0.3375 per Unit per Quarter (or, with respect to the period commencing on the Closing Date and ending on December 31, 1998, it means the product of $0.3375 multiplied by a fraction of which the numerator is equal to the number of days in such period and of which the denominator is 91), subject to adjustment in accordance with Sections 6.6 and 6.9.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Unrecovered Capital</w:t>
      </w:r>
      <w:r>
        <w:rPr>
          <w:rFonts w:ascii="Times New Roman" w:hAnsi="Times New Roman"/>
          <w:sz w:val="20"/>
        </w:rPr>
        <w:t xml:space="preserve"> means at any time, with respect to a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General Partner determines to be appropriate to give effect to any distribution, subdivision or combination of such Units; </w:t>
      </w:r>
      <w:r>
        <w:rPr>
          <w:rFonts w:ascii="Times New Roman" w:hAnsi="Times New Roman"/>
          <w:i/>
          <w:sz w:val="20"/>
        </w:rPr>
        <w:t>provided</w:t>
      </w:r>
      <w:r>
        <w:rPr>
          <w:rFonts w:ascii="Times New Roman" w:hAnsi="Times New Roman"/>
          <w:sz w:val="20"/>
        </w:rPr>
        <w:t xml:space="preserve">, with respect to Common Units, upon the Split Date such value shall be reduced by one-half to give effect to the 2012 Unit Split. </w:t>
      </w:r>
    </w:p>
    <w:p>
      <w:pPr>
        <w:pStyle w:val="TextBody"/>
        <w:spacing w:before="18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Governing Law</w:t>
      </w:r>
      <w:r>
        <w:rPr>
          <w:rFonts w:ascii="Times New Roman" w:hAnsi="Times New Roman"/>
          <w:sz w:val="20"/>
        </w:rPr>
        <w:t xml:space="preserve">. This Amendment shall be construed in accordance with and governed by the laws of the State of Delaware, without regard to principles of conflicts of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18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Invalidity of Provisions</w:t>
      </w:r>
      <w:r>
        <w:rPr>
          <w:rFonts w:ascii="Times New Roman" w:hAnsi="Times New Roman"/>
          <w:sz w:val="20"/>
        </w:rPr>
        <w:t xml:space="preserve">. If any provision of this Amendment is or becomes invalid, illegal or unenforceable in any respect, the validity, legality and enforceability of the remaining provisions contained herein shall not be effected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180" w:after="0"/>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General Partner has executed this Amendment No. 1 as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1"/>
        <w:gridCol w:w="60"/>
        <w:gridCol w:w="3401"/>
      </w:tblGrid>
      <w:tr>
        <w:trPr/>
        <w:tc>
          <w:tcPr>
            <w:tcW w:w="6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GENERAL PARTNER: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62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62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General Counsel and Secretary</w:t>
            </w:r>
          </w:p>
        </w:tc>
      </w:tr>
    </w:tbl>
    <w:p>
      <w:pPr>
        <w:pStyle w:val="TextBody"/>
        <w:spacing w:before="180" w:after="0"/>
        <w:jc w:val="center"/>
        <w:rPr>
          <w:rFonts w:ascii="Times New Roman" w:hAnsi="Times New Roman"/>
          <w:b/>
          <w:sz w:val="20"/>
        </w:rPr>
      </w:pPr>
      <w:r>
        <w:rPr>
          <w:rFonts w:ascii="Times New Roman" w:hAnsi="Times New Roman"/>
          <w:b/>
          <w:sz w:val="20"/>
        </w:rPr>
        <w:t>A</w:t>
      </w:r>
      <w:r>
        <w:rPr>
          <w:rFonts w:ascii="Times New Roman" w:hAnsi="Times New Roman"/>
          <w:b/>
          <w:sz w:val="14"/>
        </w:rPr>
        <w:t>MENDMENT</w:t>
      </w:r>
      <w:r>
        <w:rPr>
          <w:rFonts w:ascii="Times New Roman" w:hAnsi="Times New Roman"/>
          <w:b/>
          <w:sz w:val="20"/>
        </w:rPr>
        <w:t xml:space="preserve"> N</w:t>
      </w:r>
      <w:r>
        <w:rPr>
          <w:rFonts w:ascii="Times New Roman" w:hAnsi="Times New Roman"/>
          <w:b/>
          <w:sz w:val="14"/>
        </w:rPr>
        <w:t>O</w:t>
      </w:r>
      <w:r>
        <w:rPr>
          <w:rFonts w:ascii="Times New Roman" w:hAnsi="Times New Roman"/>
          <w:b/>
          <w:sz w:val="20"/>
        </w:rPr>
        <w:t xml:space="preserve">. 1 </w:t>
      </w:r>
      <w:r>
        <w:rPr>
          <w:rFonts w:ascii="Times New Roman" w:hAnsi="Times New Roman"/>
          <w:b/>
          <w:sz w:val="14"/>
        </w:rPr>
        <w:t>TO</w:t>
      </w:r>
      <w:r>
        <w:rPr>
          <w:rFonts w:ascii="Times New Roman" w:hAnsi="Times New Roman"/>
          <w:b/>
          <w:sz w:val="20"/>
        </w:rPr>
        <w:t xml:space="preserve"> F</w:t>
      </w:r>
      <w:r>
        <w:rPr>
          <w:rFonts w:ascii="Times New Roman" w:hAnsi="Times New Roman"/>
          <w:b/>
          <w:sz w:val="14"/>
        </w:rPr>
        <w:t>OURTH</w:t>
      </w:r>
      <w:r>
        <w:rPr>
          <w:rFonts w:ascii="Times New Roman" w:hAnsi="Times New Roman"/>
          <w:b/>
          <w:sz w:val="20"/>
        </w:rPr>
        <w:t xml:space="preserve"> A</w:t>
      </w:r>
      <w:r>
        <w:rPr>
          <w:rFonts w:ascii="Times New Roman" w:hAnsi="Times New Roman"/>
          <w:b/>
          <w:sz w:val="14"/>
        </w:rPr>
        <w:t>MENDED</w:t>
      </w:r>
      <w:r>
        <w:rPr>
          <w:rFonts w:ascii="Times New Roman" w:hAnsi="Times New Roman"/>
          <w:b/>
          <w:sz w:val="20"/>
        </w:rPr>
        <w:t xml:space="preserve"> </w:t>
      </w:r>
      <w:r>
        <w:rPr>
          <w:rFonts w:ascii="Times New Roman" w:hAnsi="Times New Roman"/>
          <w:b/>
          <w:sz w:val="14"/>
        </w:rPr>
        <w:t>AND</w:t>
      </w:r>
      <w:r>
        <w:rPr>
          <w:rFonts w:ascii="Times New Roman" w:hAnsi="Times New Roman"/>
          <w:b/>
          <w:sz w:val="20"/>
        </w:rPr>
        <w:t xml:space="preserve"> R</w:t>
      </w:r>
      <w:r>
        <w:rPr>
          <w:rFonts w:ascii="Times New Roman" w:hAnsi="Times New Roman"/>
          <w:b/>
          <w:sz w:val="14"/>
        </w:rPr>
        <w:t>ESTATED</w:t>
      </w:r>
      <w:r>
        <w:rPr>
          <w:rFonts w:ascii="Times New Roman" w:hAnsi="Times New Roman"/>
          <w:b/>
          <w:sz w:val="20"/>
        </w:rPr>
        <w:t xml:space="preserve"> A</w:t>
      </w:r>
      <w:r>
        <w:rPr>
          <w:rFonts w:ascii="Times New Roman" w:hAnsi="Times New Roman"/>
          <w:b/>
          <w:sz w:val="14"/>
        </w:rPr>
        <w:t>GREEMENT</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14"/>
        </w:rPr>
        <w:t>OF</w:t>
      </w:r>
      <w:r>
        <w:rPr>
          <w:rFonts w:ascii="Times New Roman" w:hAnsi="Times New Roman"/>
          <w:b/>
          <w:sz w:val="20"/>
        </w:rPr>
        <w:t xml:space="preserve"> L</w:t>
      </w:r>
      <w:r>
        <w:rPr>
          <w:rFonts w:ascii="Times New Roman" w:hAnsi="Times New Roman"/>
          <w:b/>
          <w:sz w:val="14"/>
        </w:rPr>
        <w:t>IMITED</w:t>
      </w:r>
      <w:r>
        <w:rPr>
          <w:rFonts w:ascii="Times New Roman" w:hAnsi="Times New Roman"/>
          <w:b/>
          <w:sz w:val="20"/>
        </w:rPr>
        <w:t xml:space="preserve"> P</w:t>
      </w:r>
      <w:r>
        <w:rPr>
          <w:rFonts w:ascii="Times New Roman" w:hAnsi="Times New Roman"/>
          <w:b/>
          <w:sz w:val="14"/>
        </w:rPr>
        <w:t>ARTNERSHIP</w:t>
      </w:r>
      <w:r>
        <w:rPr>
          <w:rFonts w:ascii="Times New Roman" w:hAnsi="Times New Roman"/>
          <w:b/>
          <w:sz w:val="20"/>
        </w:rPr>
        <w:t xml:space="preserve"> </w:t>
      </w:r>
      <w:r>
        <w:rPr>
          <w:rFonts w:ascii="Times New Roman" w:hAnsi="Times New Roman"/>
          <w:b/>
          <w:sz w:val="14"/>
        </w:rPr>
        <w:t>OF</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P</w:t>
      </w:r>
      <w:r>
        <w:rPr>
          <w:rFonts w:ascii="Times New Roman" w:hAnsi="Times New Roman"/>
          <w:b/>
          <w:sz w:val="14"/>
        </w:rPr>
        <w:t>LAINS</w:t>
      </w:r>
      <w:r>
        <w:rPr>
          <w:rFonts w:ascii="Times New Roman" w:hAnsi="Times New Roman"/>
          <w:b/>
          <w:sz w:val="20"/>
        </w:rPr>
        <w:t xml:space="preserve"> A</w:t>
      </w:r>
      <w:r>
        <w:rPr>
          <w:rFonts w:ascii="Times New Roman" w:hAnsi="Times New Roman"/>
          <w:b/>
          <w:sz w:val="14"/>
        </w:rPr>
        <w:t>LL</w:t>
      </w:r>
      <w:r>
        <w:rPr>
          <w:rFonts w:ascii="Times New Roman" w:hAnsi="Times New Roman"/>
          <w:b/>
          <w:sz w:val="20"/>
        </w:rPr>
        <w:t xml:space="preserve"> A</w:t>
      </w:r>
      <w:r>
        <w:rPr>
          <w:rFonts w:ascii="Times New Roman" w:hAnsi="Times New Roman"/>
          <w:b/>
          <w:sz w:val="14"/>
        </w:rPr>
        <w:t>MERICAN</w:t>
      </w:r>
      <w:r>
        <w:rPr>
          <w:rFonts w:ascii="Times New Roman" w:hAnsi="Times New Roman"/>
          <w:b/>
          <w:sz w:val="20"/>
        </w:rPr>
        <w:t xml:space="preserve"> P</w:t>
      </w:r>
      <w:r>
        <w:rPr>
          <w:rFonts w:ascii="Times New Roman" w:hAnsi="Times New Roman"/>
          <w:b/>
          <w:sz w:val="14"/>
        </w:rPr>
        <w:t>IPELINE</w:t>
      </w:r>
      <w:r>
        <w:rPr>
          <w:rFonts w:ascii="Times New Roman" w:hAnsi="Times New Roman"/>
          <w:b/>
          <w:sz w:val="20"/>
        </w:rPr>
        <w:t xml:space="preserve">, L.P. </w:t>
      </w:r>
      <w:r>
        <w:br w:type="page"/>
      </w:r>
    </w:p>
    <w:p>
      <w:pPr>
        <w:pStyle w:val="TextBody"/>
        <w:spacing w:before="0" w:after="0"/>
        <w:jc w:val="right"/>
        <w:rPr>
          <w:rFonts w:ascii="Times New Roman" w:hAnsi="Times New Roman"/>
          <w:b/>
          <w:sz w:val="20"/>
        </w:rPr>
      </w:pPr>
      <w:bookmarkStart w:id="4" w:name="d419547dex991.htm"/>
      <w:bookmarkStart w:id="5" w:name="ksd419547dex991"/>
      <w:bookmarkEnd w:id="4"/>
      <w:bookmarkEnd w:id="5"/>
      <w:r>
        <w:rPr>
          <w:rFonts w:ascii="Times New Roman" w:hAnsi="Times New Roman"/>
          <w:b/>
          <w:sz w:val="20"/>
        </w:rPr>
        <w:t xml:space="preserve">Exhibit 99.1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drawing>
                <wp:inline distT="0" distB="0" distL="0" distR="0">
                  <wp:extent cx="789305" cy="2406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9305" cy="24066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drawing>
                <wp:inline distT="0" distB="0" distL="0" distR="0">
                  <wp:extent cx="831850" cy="2622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1850" cy="262255"/>
                          </a:xfrm>
                          <a:prstGeom prst="rect">
                            <a:avLst/>
                          </a:prstGeom>
                        </pic:spPr>
                      </pic:pic>
                    </a:graphicData>
                  </a:graphic>
                </wp:inline>
              </w:drawing>
            </w:r>
            <w:r>
              <w:rPr/>
              <w:t xml:space="preserve"> </w:t>
            </w:r>
          </w:p>
        </w:tc>
      </w:tr>
    </w:tbl>
    <w:p>
      <w:pPr>
        <w:pStyle w:val="TextBody"/>
        <w:spacing w:before="180" w:after="0"/>
        <w:rPr>
          <w:rFonts w:ascii="Times New Roman" w:hAnsi="Times New Roman"/>
          <w:b/>
          <w:sz w:val="20"/>
          <w:u w:val="single"/>
        </w:rPr>
      </w:pPr>
      <w:r>
        <w:rPr>
          <w:rFonts w:ascii="Times New Roman" w:hAnsi="Times New Roman"/>
          <w:b/>
          <w:sz w:val="20"/>
          <w:u w:val="single"/>
        </w:rPr>
        <w:t xml:space="preserve">FOR IMMEDIATE RELEASE </w:t>
      </w:r>
    </w:p>
    <w:p>
      <w:pPr>
        <w:pStyle w:val="TextBody"/>
        <w:spacing w:before="210" w:after="0"/>
        <w:jc w:val="center"/>
        <w:rPr>
          <w:rFonts w:ascii="Times New Roman" w:hAnsi="Times New Roman"/>
          <w:b/>
          <w:sz w:val="20"/>
        </w:rPr>
      </w:pPr>
      <w:r>
        <w:rPr>
          <w:rFonts w:ascii="Times New Roman" w:hAnsi="Times New Roman"/>
          <w:b/>
          <w:sz w:val="20"/>
        </w:rPr>
        <w:t xml:space="preserve">PLAINS ALL AMERICAN PIPELINE COMPLETES </w:t>
      </w:r>
    </w:p>
    <w:p>
      <w:pPr>
        <w:pStyle w:val="TextBody"/>
        <w:spacing w:before="0" w:after="0"/>
        <w:jc w:val="center"/>
        <w:rPr>
          <w:rFonts w:ascii="Times New Roman" w:hAnsi="Times New Roman"/>
          <w:b/>
          <w:sz w:val="20"/>
        </w:rPr>
      </w:pPr>
      <w:r>
        <w:rPr>
          <w:rFonts w:ascii="Times New Roman" w:hAnsi="Times New Roman"/>
          <w:b/>
          <w:sz w:val="20"/>
        </w:rPr>
        <w:t xml:space="preserve">TWO-FOR-ONE UNIT SPLIT </w:t>
      </w:r>
    </w:p>
    <w:p>
      <w:pPr>
        <w:pStyle w:val="TextBody"/>
        <w:spacing w:before="180" w:after="0"/>
        <w:rPr>
          <w:rFonts w:ascii="Times New Roman" w:hAnsi="Times New Roman"/>
          <w:sz w:val="20"/>
        </w:rPr>
      </w:pPr>
      <w:r>
        <w:rPr>
          <w:rFonts w:ascii="Times New Roman" w:hAnsi="Times New Roman"/>
          <w:sz w:val="20"/>
        </w:rPr>
        <w:t xml:space="preserve">HOUSTON, TEXAS  October 1, 2012  Plains All American Pipeline, L.P. (NYSE: PAA) today announced that it has completed its previously announced two-for-one split of the Partnerships common units. </w:t>
      </w:r>
    </w:p>
    <w:p>
      <w:pPr>
        <w:pStyle w:val="TextBody"/>
        <w:spacing w:before="180" w:after="0"/>
        <w:rPr>
          <w:rFonts w:ascii="Times New Roman" w:hAnsi="Times New Roman"/>
          <w:sz w:val="20"/>
        </w:rPr>
      </w:pPr>
      <w:r>
        <w:rPr>
          <w:rFonts w:ascii="Times New Roman" w:hAnsi="Times New Roman"/>
          <w:sz w:val="20"/>
        </w:rPr>
        <w:t xml:space="preserve">The two-for-one split was effected by a distribution of one additional common unit for each common unit outstanding and held by unitholders of record at the close of business on September 17, 2012. The Partnerships common units will trade on a post-split basis on the New York Stock Exchange beginning at the opening of trading on October 2, 2012. Based on the number of units outstanding today, the Partnership will have approximately 331.7 million units outstanding as a result of the two-for-one unit split.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(NYSE:PNG), PAA owns and operates natural gas storage facilities. PAA is headquartered in Houston, Texas.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4"/>
        <w:gridCol w:w="214"/>
        <w:gridCol w:w="9307"/>
      </w:tblGrid>
      <w:tr>
        <w:trPr/>
        <w:tc>
          <w:tcPr>
            <w:tcW w:w="68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9307" w:type="dxa"/>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tcPr>
          <w:p>
            <w:pPr>
              <w:pStyle w:val="TableContents"/>
              <w:spacing w:before="0" w:after="283"/>
              <w:rPr>
                <w:rFonts w:ascii="Times New Roman" w:hAnsi="Times New Roman"/>
                <w:sz w:val="20"/>
              </w:rPr>
            </w:pPr>
            <w:r>
              <w:rPr>
                <w:rFonts w:ascii="Times New Roman" w:hAnsi="Times New Roman"/>
                <w:sz w:val="20"/>
                <w:u w:val="single"/>
              </w:rPr>
              <w:t>Contact</w:t>
            </w:r>
            <w:r>
              <w:rPr>
                <w:rFonts w:ascii="Times New Roman" w:hAnsi="Times New Roman"/>
                <w:sz w:val="20"/>
              </w:rPr>
              <w:t>:</w:t>
            </w:r>
          </w:p>
        </w:tc>
        <w:tc>
          <w:tcPr>
            <w:tcW w:w="214" w:type="dxa"/>
            <w:tcBorders/>
            <w:shd w:fill="auto" w:val="clear"/>
            <w:vAlign w:val="bottom"/>
          </w:tcPr>
          <w:p>
            <w:pPr>
              <w:pStyle w:val="TableContents"/>
              <w:spacing w:before="0" w:after="283"/>
              <w:rPr/>
            </w:pPr>
            <w:r>
              <w:rPr/>
              <w:t>  </w:t>
            </w:r>
          </w:p>
        </w:tc>
        <w:tc>
          <w:tcPr>
            <w:tcW w:w="9307" w:type="dxa"/>
            <w:tcBorders/>
            <w:shd w:fill="auto" w:val="clear"/>
          </w:tcPr>
          <w:p>
            <w:pPr>
              <w:pStyle w:val="TableContents"/>
              <w:spacing w:before="0" w:after="283"/>
              <w:rPr>
                <w:rFonts w:ascii="Times New Roman" w:hAnsi="Times New Roman"/>
                <w:sz w:val="20"/>
              </w:rPr>
            </w:pPr>
            <w:r>
              <w:rPr>
                <w:rFonts w:ascii="Times New Roman" w:hAnsi="Times New Roman"/>
                <w:sz w:val="20"/>
              </w:rPr>
              <w:t>Roy I. Lamoreaux</w:t>
            </w:r>
          </w:p>
        </w:tc>
      </w:tr>
      <w:tr>
        <w:trPr/>
        <w:tc>
          <w:tcPr>
            <w:tcW w:w="684" w:type="dxa"/>
            <w:tcBorders/>
            <w:shd w:fill="auto" w:val="clea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9307" w:type="dxa"/>
            <w:tcBorders/>
            <w:shd w:fill="auto" w:val="clear"/>
          </w:tcPr>
          <w:p>
            <w:pPr>
              <w:pStyle w:val="TableContents"/>
              <w:spacing w:before="0" w:after="283"/>
              <w:rPr>
                <w:rFonts w:ascii="Times New Roman" w:hAnsi="Times New Roman"/>
                <w:sz w:val="20"/>
              </w:rPr>
            </w:pPr>
            <w:r>
              <w:rPr>
                <w:rFonts w:ascii="Times New Roman" w:hAnsi="Times New Roman"/>
                <w:sz w:val="20"/>
              </w:rPr>
              <w:t>Director, Investor Relations</w:t>
            </w:r>
          </w:p>
        </w:tc>
      </w:tr>
      <w:tr>
        <w:trPr/>
        <w:tc>
          <w:tcPr>
            <w:tcW w:w="684" w:type="dxa"/>
            <w:tcBorders/>
            <w:shd w:fill="auto" w:val="clea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9307" w:type="dxa"/>
            <w:tcBorders/>
            <w:shd w:fill="auto" w:val="clear"/>
          </w:tcPr>
          <w:p>
            <w:pPr>
              <w:pStyle w:val="TableContents"/>
              <w:spacing w:before="0" w:after="283"/>
              <w:rPr>
                <w:rFonts w:ascii="Times New Roman" w:hAnsi="Times New Roman"/>
                <w:sz w:val="20"/>
              </w:rPr>
            </w:pPr>
            <w:r>
              <w:rPr>
                <w:rFonts w:ascii="Times New Roman" w:hAnsi="Times New Roman"/>
                <w:sz w:val="20"/>
              </w:rPr>
              <w:t>713/646-4222  800/564-3036</w:t>
            </w:r>
          </w:p>
        </w:tc>
      </w:tr>
    </w:tbl>
    <w:p>
      <w:pPr>
        <w:pStyle w:val="TextBody"/>
        <w:spacing w:before="18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1823</Words>
  <CharactersWithSpaces>11293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dated October 1, 2012</dc:title>
</cp:coreProperties>
</file>