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4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-186690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54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4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42"/>
              <w:spacing w:after="0" w:line="173"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vMerge w:val="restart"/>
          </w:tcPr>
          <w:p>
            <w:pPr>
              <w:jc w:val="center"/>
              <w:ind w:right="54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5293360</wp:posOffset>
            </wp:positionH>
            <wp:positionV relativeFrom="paragraph">
              <wp:posOffset>-582295</wp:posOffset>
            </wp:positionV>
            <wp:extent cx="55880"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563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-582295</wp:posOffset>
            </wp:positionV>
            <wp:extent cx="55880"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563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-1906905</wp:posOffset>
            </wp:positionH>
            <wp:positionV relativeFrom="paragraph">
              <wp:posOffset>13970</wp:posOffset>
            </wp:positionV>
            <wp:extent cx="7330440" cy="713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0440" cy="7135495"/>
                    </a:xfrm>
                    <a:prstGeom prst="rect">
                      <a:avLst/>
                    </a:prstGeom>
                    <a:noFill/>
                  </pic:spPr>
                </pic:pic>
              </a:graphicData>
            </a:graphic>
          </wp:anchor>
        </w:drawing>
      </w:r>
    </w:p>
    <w:p>
      <w:pPr>
        <w:spacing w:after="0" w:line="39" w:lineRule="exact"/>
        <w:rPr>
          <w:sz w:val="24"/>
          <w:szCs w:val="24"/>
          <w:color w:val="auto"/>
        </w:rPr>
      </w:pPr>
    </w:p>
    <w:p>
      <w:pPr>
        <w:sectPr>
          <w:pgSz w:w="11900" w:h="16902" w:orient="portrait"/>
          <w:cols w:equalWidth="0" w:num="2">
            <w:col w:w="2280" w:space="700"/>
            <w:col w:w="8540"/>
          </w:cols>
          <w:pgMar w:left="240" w:top="216" w:right="139" w:bottom="0" w:gutter="0" w:footer="0" w:header="0"/>
        </w:sectPr>
      </w:pPr>
    </w:p>
    <w:tbl>
      <w:tblPr>
        <w:tblLayout w:type="fixed"/>
        <w:tblInd w:w="60" w:type="dxa"/>
        <w:tblCellMar>
          <w:top w:w="0" w:type="dxa"/>
          <w:left w:w="0" w:type="dxa"/>
          <w:bottom w:w="0" w:type="dxa"/>
          <w:right w:w="0" w:type="dxa"/>
        </w:tblCellMar>
      </w:tblPr>
      <w:tr>
        <w:trPr>
          <w:trHeight w:val="218"/>
        </w:trPr>
        <w:tc>
          <w:tcPr>
            <w:tcW w:w="2460" w:type="dxa"/>
            <w:vAlign w:val="bottom"/>
            <w:gridSpan w:val="3"/>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0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40" w:type="dxa"/>
            <w:vAlign w:val="bottom"/>
            <w:vMerge w:val="restart"/>
          </w:tcPr>
          <w:p>
            <w:pPr>
              <w:spacing w:after="0"/>
              <w:rPr>
                <w:rFonts w:ascii="Arial" w:cs="Arial" w:eastAsia="Arial" w:hAnsi="Arial"/>
                <w:sz w:val="19"/>
                <w:szCs w:val="19"/>
                <w:color w:val="0000EE"/>
                <w:w w:val="91"/>
              </w:rPr>
            </w:pPr>
            <w:hyperlink r:id="rId12">
              <w:r>
                <w:rPr>
                  <w:rFonts w:ascii="Arial" w:cs="Arial" w:eastAsia="Arial" w:hAnsi="Arial"/>
                  <w:sz w:val="19"/>
                  <w:szCs w:val="19"/>
                  <w:color w:val="0000EE"/>
                  <w:w w:val="91"/>
                </w:rPr>
                <w:t>Swanson Al</w:t>
              </w:r>
            </w:hyperlink>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4"/>
          </w:tcPr>
          <w:p>
            <w:pPr>
              <w:ind w:left="60"/>
              <w:spacing w:after="0" w:line="168"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940" w:type="dxa"/>
            <w:vAlign w:val="bottom"/>
            <w:tcBorders>
              <w:bottom w:val="single" w:sz="8" w:color="0000EE"/>
            </w:tcBorders>
            <w:vMerge w:val="continue"/>
          </w:tcPr>
          <w:p>
            <w:pPr>
              <w:spacing w:after="0"/>
              <w:rPr>
                <w:sz w:val="4"/>
                <w:szCs w:val="4"/>
                <w:color w:val="auto"/>
              </w:rPr>
            </w:pPr>
          </w:p>
        </w:tc>
        <w:tc>
          <w:tcPr>
            <w:tcW w:w="14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9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480" w:type="dxa"/>
            <w:vAlign w:val="bottom"/>
            <w:vMerge w:val="restart"/>
          </w:tcPr>
          <w:p>
            <w:pPr>
              <w:ind w:left="340"/>
              <w:spacing w:after="0"/>
              <w:rPr>
                <w:sz w:val="20"/>
                <w:szCs w:val="20"/>
                <w:color w:val="auto"/>
              </w:rPr>
            </w:pPr>
            <w:r>
              <w:rPr>
                <w:rFonts w:ascii="Arial" w:cs="Arial" w:eastAsia="Arial" w:hAnsi="Arial"/>
                <w:sz w:val="12"/>
                <w:szCs w:val="12"/>
                <w:color w:val="auto"/>
              </w:rPr>
              <w:t>(First)</w:t>
            </w:r>
          </w:p>
        </w:tc>
        <w:tc>
          <w:tcPr>
            <w:tcW w:w="140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3.</w:t>
            </w:r>
          </w:p>
        </w:tc>
        <w:tc>
          <w:tcPr>
            <w:tcW w:w="380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Arial" w:cs="Arial" w:eastAsia="Arial" w:hAnsi="Arial"/>
                <w:sz w:val="16"/>
                <w:szCs w:val="16"/>
                <w:color w:val="0000FF"/>
              </w:rPr>
              <w:t>333 CLAY ST., # 1600</w:t>
            </w:r>
          </w:p>
        </w:tc>
        <w:tc>
          <w:tcPr>
            <w:tcW w:w="1400" w:type="dxa"/>
            <w:vAlign w:val="bottom"/>
          </w:tcPr>
          <w:p>
            <w:pPr>
              <w:spacing w:after="0"/>
              <w:rPr>
                <w:sz w:val="21"/>
                <w:szCs w:val="21"/>
                <w:color w:val="auto"/>
              </w:rPr>
            </w:pPr>
          </w:p>
        </w:tc>
        <w:tc>
          <w:tcPr>
            <w:tcW w:w="2400" w:type="dxa"/>
            <w:vAlign w:val="bottom"/>
            <w:gridSpan w:val="4"/>
          </w:tcPr>
          <w:p>
            <w:pPr>
              <w:ind w:left="140"/>
              <w:spacing w:after="0"/>
              <w:rPr>
                <w:sz w:val="20"/>
                <w:szCs w:val="20"/>
                <w:color w:val="auto"/>
              </w:rPr>
            </w:pPr>
            <w:r>
              <w:rPr>
                <w:rFonts w:ascii="Arial" w:cs="Arial" w:eastAsia="Arial" w:hAnsi="Arial"/>
                <w:sz w:val="16"/>
                <w:szCs w:val="16"/>
                <w:color w:val="0000FF"/>
              </w:rPr>
              <w:t>01/05/2016</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960" w:firstLine="3"/>
        <w:spacing w:after="0"/>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3" w:lineRule="exact"/>
        <w:rPr>
          <w:sz w:val="20"/>
          <w:szCs w:val="20"/>
          <w:color w:val="auto"/>
        </w:rPr>
      </w:pPr>
    </w:p>
    <w:tbl>
      <w:tblPr>
        <w:tblLayout w:type="fixed"/>
        <w:tblInd w:w="217"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136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4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40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4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163"/>
        <w:spacing w:after="0"/>
        <w:rPr>
          <w:sz w:val="20"/>
          <w:szCs w:val="20"/>
          <w:color w:val="auto"/>
        </w:rPr>
      </w:pPr>
      <w:r>
        <w:rPr>
          <w:rFonts w:ascii="Arial" w:cs="Arial" w:eastAsia="Arial" w:hAnsi="Arial"/>
          <w:sz w:val="16"/>
          <w:szCs w:val="16"/>
          <w:color w:val="0000FF"/>
        </w:rPr>
        <w:t>Executive VP &amp; CFO</w:t>
      </w:r>
    </w:p>
    <w:p>
      <w:pPr>
        <w:spacing w:after="0" w:line="334" w:lineRule="exact"/>
        <w:rPr>
          <w:sz w:val="20"/>
          <w:szCs w:val="20"/>
          <w:color w:val="auto"/>
        </w:rPr>
      </w:pPr>
    </w:p>
    <w:p>
      <w:pPr>
        <w:sectPr>
          <w:pgSz w:w="11900" w:h="16902" w:orient="portrait"/>
          <w:cols w:equalWidth="0" w:num="2">
            <w:col w:w="7980" w:space="63"/>
            <w:col w:w="3477"/>
          </w:cols>
          <w:pgMar w:left="240" w:top="216" w:right="139" w:bottom="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4"/>
                <w:szCs w:val="14"/>
                <w:color w:val="auto"/>
              </w:rPr>
            </w:pPr>
          </w:p>
        </w:tc>
        <w:tc>
          <w:tcPr>
            <w:tcW w:w="3860" w:type="dxa"/>
            <w:vAlign w:val="bottom"/>
            <w:tcBorders>
              <w:top w:val="single" w:sz="8" w:color="2C2C2C"/>
            </w:tcBorders>
            <w:gridSpan w:val="9"/>
            <w:vMerge w:val="restart"/>
          </w:tcPr>
          <w:p>
            <w:pPr>
              <w:ind w:left="4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300" w:type="dxa"/>
            <w:vAlign w:val="bottom"/>
          </w:tcPr>
          <w:p>
            <w:pPr>
              <w:spacing w:after="0"/>
              <w:rPr>
                <w:sz w:val="4"/>
                <w:szCs w:val="4"/>
                <w:color w:val="auto"/>
              </w:rPr>
            </w:pPr>
          </w:p>
        </w:tc>
        <w:tc>
          <w:tcPr>
            <w:tcW w:w="1060" w:type="dxa"/>
            <w:vAlign w:val="bottom"/>
            <w:vMerge w:val="restart"/>
          </w:tcPr>
          <w:p>
            <w:pPr>
              <w:jc w:val="right"/>
              <w:ind w:right="780"/>
              <w:spacing w:after="0"/>
              <w:rPr>
                <w:sz w:val="20"/>
                <w:szCs w:val="20"/>
                <w:color w:val="auto"/>
              </w:rPr>
            </w:pPr>
            <w:r>
              <w:rPr>
                <w:rFonts w:ascii="Arial" w:cs="Arial" w:eastAsia="Arial" w:hAnsi="Arial"/>
                <w:sz w:val="16"/>
                <w:szCs w:val="16"/>
                <w:color w:val="0000FF"/>
                <w:w w:val="97"/>
              </w:rPr>
              <w:t>TX</w:t>
            </w:r>
          </w:p>
        </w:tc>
        <w:tc>
          <w:tcPr>
            <w:tcW w:w="1020" w:type="dxa"/>
            <w:vAlign w:val="bottom"/>
            <w:vMerge w:val="restart"/>
          </w:tcPr>
          <w:p>
            <w:pPr>
              <w:ind w:left="220"/>
              <w:spacing w:after="0"/>
              <w:rPr>
                <w:sz w:val="20"/>
                <w:szCs w:val="20"/>
                <w:color w:val="auto"/>
              </w:rPr>
            </w:pPr>
            <w:r>
              <w:rPr>
                <w:rFonts w:ascii="Arial" w:cs="Arial" w:eastAsia="Arial" w:hAnsi="Arial"/>
                <w:sz w:val="16"/>
                <w:szCs w:val="16"/>
                <w:color w:val="0000FF"/>
              </w:rPr>
              <w:t>77002</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386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6"/>
                <w:szCs w:val="16"/>
                <w:color w:val="0000FF"/>
                <w:w w:val="93"/>
              </w:rPr>
              <w:t>X</w:t>
            </w:r>
          </w:p>
        </w:tc>
        <w:tc>
          <w:tcPr>
            <w:tcW w:w="140" w:type="dxa"/>
            <w:vAlign w:val="bottom"/>
          </w:tcPr>
          <w:p>
            <w:pPr>
              <w:spacing w:after="0"/>
              <w:rPr>
                <w:sz w:val="18"/>
                <w:szCs w:val="18"/>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color w:val="auto"/>
                <w:w w:val="98"/>
              </w:rPr>
              <w:t>Form filed by One Reporting Person</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30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640"/>
              <w:spacing w:after="0"/>
              <w:rPr>
                <w:sz w:val="20"/>
                <w:szCs w:val="20"/>
                <w:color w:val="auto"/>
              </w:rPr>
            </w:pPr>
            <w:r>
              <w:rPr>
                <w:rFonts w:ascii="Arial" w:cs="Arial" w:eastAsia="Arial" w:hAnsi="Arial"/>
                <w:sz w:val="12"/>
                <w:szCs w:val="12"/>
                <w:color w:val="auto"/>
                <w:w w:val="94"/>
              </w:rPr>
              <w:t>(State)</w:t>
            </w:r>
          </w:p>
        </w:tc>
        <w:tc>
          <w:tcPr>
            <w:tcW w:w="1020" w:type="dxa"/>
            <w:vAlign w:val="bottom"/>
            <w:vMerge w:val="restart"/>
          </w:tcPr>
          <w:p>
            <w:pPr>
              <w:ind w:left="22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ind w:lef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4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5"/>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tcPr>
          <w:p>
            <w:pPr>
              <w:ind w:left="80"/>
              <w:spacing w:after="0" w:line="118"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6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6"/>
              </w:rPr>
              <w:t>Transaction</w:t>
            </w:r>
          </w:p>
        </w:tc>
        <w:tc>
          <w:tcPr>
            <w:tcW w:w="2200" w:type="dxa"/>
            <w:vAlign w:val="bottom"/>
            <w:gridSpan w:val="5"/>
          </w:tcPr>
          <w:p>
            <w:pPr>
              <w:ind w:left="180"/>
              <w:spacing w:after="0" w:line="118"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0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Form: Direct (D)</w:t>
            </w:r>
          </w:p>
        </w:tc>
        <w:tc>
          <w:tcPr>
            <w:tcW w:w="100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Indirect (I)</w:t>
            </w:r>
          </w:p>
        </w:tc>
        <w:tc>
          <w:tcPr>
            <w:tcW w:w="10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10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 (Instr.</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3 and 4)</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3460" w:type="dxa"/>
            <w:vAlign w:val="bottom"/>
            <w:tcBorders>
              <w:bottom w:val="single" w:sz="8" w:color="2C2C2C"/>
            </w:tcBorders>
            <w:gridSpan w:val="6"/>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w w:val="92"/>
              </w:rPr>
              <w:t>Class A Shares representing limited partner interest</w:t>
            </w:r>
          </w:p>
        </w:tc>
        <w:tc>
          <w:tcPr>
            <w:tcW w:w="1020" w:type="dxa"/>
            <w:vAlign w:val="bottom"/>
            <w:tcBorders>
              <w:bottom w:val="single" w:sz="8" w:color="2C2C2C"/>
            </w:tcBorders>
            <w:gridSpan w:val="4"/>
          </w:tcPr>
          <w:p>
            <w:pPr>
              <w:ind w:left="160"/>
              <w:spacing w:after="0"/>
              <w:rPr>
                <w:sz w:val="20"/>
                <w:szCs w:val="20"/>
                <w:color w:val="auto"/>
              </w:rPr>
            </w:pPr>
            <w:r>
              <w:rPr>
                <w:rFonts w:ascii="Arial" w:cs="Arial" w:eastAsia="Arial" w:hAnsi="Arial"/>
                <w:sz w:val="16"/>
                <w:szCs w:val="16"/>
                <w:color w:val="0000FF"/>
              </w:rPr>
              <w:t>01/07/2016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(1)(2)</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1,000,000</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A</w:t>
            </w:r>
          </w:p>
        </w:tc>
        <w:tc>
          <w:tcPr>
            <w:tcW w:w="780" w:type="dxa"/>
            <w:vAlign w:val="bottom"/>
            <w:tcBorders>
              <w:bottom w:val="single" w:sz="8" w:color="2C2C2C"/>
            </w:tcBorders>
          </w:tcPr>
          <w:p>
            <w:pPr>
              <w:jc w:val="right"/>
              <w:ind w:right="1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7"/>
              </w:rPr>
              <w:t>1,000,000</w:t>
            </w:r>
          </w:p>
        </w:tc>
        <w:tc>
          <w:tcPr>
            <w:tcW w:w="1000" w:type="dxa"/>
            <w:vAlign w:val="bottom"/>
            <w:tcBorders>
              <w:bottom w:val="single" w:sz="8" w:color="2C2C2C"/>
            </w:tcBorders>
            <w:gridSpan w:val="2"/>
          </w:tcPr>
          <w:p>
            <w:pPr>
              <w:ind w:left="440"/>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gridSpan w:val="6"/>
            <w:vMerge w:val="restart"/>
          </w:tcPr>
          <w:p>
            <w:pPr>
              <w:ind w:left="60"/>
              <w:spacing w:after="0"/>
              <w:rPr>
                <w:sz w:val="20"/>
                <w:szCs w:val="20"/>
                <w:color w:val="auto"/>
              </w:rPr>
            </w:pPr>
            <w:r>
              <w:rPr>
                <w:rFonts w:ascii="Arial" w:cs="Arial" w:eastAsia="Arial" w:hAnsi="Arial"/>
                <w:sz w:val="16"/>
                <w:szCs w:val="16"/>
                <w:color w:val="0000FF"/>
                <w:w w:val="90"/>
              </w:rPr>
              <w:t>Class B Shares representing limited partner interests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1,154,716</w:t>
            </w:r>
            <w:r>
              <w:rPr>
                <w:rFonts w:ascii="Arial" w:cs="Arial" w:eastAsia="Arial" w:hAnsi="Arial"/>
                <w:sz w:val="19"/>
                <w:szCs w:val="19"/>
                <w:color w:val="008000"/>
                <w:w w:val="84"/>
                <w:vertAlign w:val="superscript"/>
              </w:rPr>
              <w:t>(3)(4)</w:t>
            </w:r>
          </w:p>
        </w:tc>
        <w:tc>
          <w:tcPr>
            <w:tcW w:w="460" w:type="dxa"/>
            <w:vAlign w:val="bottom"/>
          </w:tcPr>
          <w:p>
            <w:pPr>
              <w:spacing w:after="0"/>
              <w:rPr>
                <w:sz w:val="20"/>
                <w:szCs w:val="20"/>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0000FF"/>
              </w:rPr>
              <w:t>I</w:t>
            </w:r>
          </w:p>
        </w:tc>
        <w:tc>
          <w:tcPr>
            <w:tcW w:w="240" w:type="dxa"/>
            <w:vAlign w:val="bottom"/>
          </w:tcPr>
          <w:p>
            <w:pPr>
              <w:ind w:left="20"/>
              <w:spacing w:after="0"/>
              <w:rPr>
                <w:sz w:val="20"/>
                <w:szCs w:val="20"/>
                <w:color w:val="auto"/>
              </w:rPr>
            </w:pPr>
            <w:r>
              <w:rPr>
                <w:rFonts w:ascii="Arial" w:cs="Arial" w:eastAsia="Arial" w:hAnsi="Arial"/>
                <w:sz w:val="16"/>
                <w:szCs w:val="16"/>
                <w:color w:val="0000FF"/>
                <w:w w:val="77"/>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19"/>
                <w:szCs w:val="19"/>
                <w:color w:val="008000"/>
                <w:w w:val="99"/>
                <w:vertAlign w:val="superscript"/>
              </w:rPr>
              <w:t>(3)(4)</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Units in PAA GP Holdings LLC</w:t>
            </w:r>
          </w:p>
        </w:tc>
        <w:tc>
          <w:tcPr>
            <w:tcW w:w="10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6"/>
                <w:szCs w:val="16"/>
                <w:color w:val="0000FF"/>
                <w:w w:val="84"/>
              </w:rPr>
              <w:t>1,154,716</w:t>
            </w:r>
            <w:r>
              <w:rPr>
                <w:rFonts w:ascii="Arial" w:cs="Arial" w:eastAsia="Arial" w:hAnsi="Arial"/>
                <w:sz w:val="19"/>
                <w:szCs w:val="19"/>
                <w:color w:val="008000"/>
                <w:w w:val="84"/>
                <w:vertAlign w:val="superscript"/>
              </w:rPr>
              <w:t>(3)(4)</w:t>
            </w:r>
          </w:p>
        </w:tc>
        <w:tc>
          <w:tcPr>
            <w:tcW w:w="4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vMerge w:val="restart"/>
          </w:tcPr>
          <w:p>
            <w:pPr>
              <w:spacing w:after="0"/>
              <w:rPr>
                <w:sz w:val="20"/>
                <w:szCs w:val="20"/>
                <w:color w:val="auto"/>
              </w:rPr>
            </w:pPr>
            <w:r>
              <w:rPr>
                <w:rFonts w:ascii="Arial" w:cs="Arial" w:eastAsia="Arial" w:hAnsi="Arial"/>
                <w:sz w:val="16"/>
                <w:szCs w:val="16"/>
                <w:color w:val="0000FF"/>
              </w:rPr>
              <w:t>I</w:t>
            </w:r>
          </w:p>
        </w:tc>
        <w:tc>
          <w:tcPr>
            <w:tcW w:w="24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19"/>
                <w:szCs w:val="19"/>
                <w:color w:val="008000"/>
                <w:w w:val="99"/>
                <w:vertAlign w:val="superscript"/>
              </w:rPr>
              <w:t>(3)(4)</w:t>
            </w:r>
          </w:p>
        </w:tc>
        <w:tc>
          <w:tcPr>
            <w:tcW w:w="0" w:type="dxa"/>
            <w:vAlign w:val="bottom"/>
          </w:tcPr>
          <w:p>
            <w:pPr>
              <w:spacing w:after="0"/>
              <w:rPr>
                <w:sz w:val="1"/>
                <w:szCs w:val="1"/>
                <w:color w:val="auto"/>
              </w:rPr>
            </w:pPr>
          </w:p>
        </w:tc>
      </w:tr>
      <w:tr>
        <w:trPr>
          <w:trHeight w:val="140"/>
        </w:trPr>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720" w:type="dxa"/>
            <w:vAlign w:val="bottom"/>
            <w:gridSpan w:val="15"/>
          </w:tcPr>
          <w:p>
            <w:pPr>
              <w:ind w:left="5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920" w:type="dxa"/>
            <w:vAlign w:val="bottom"/>
            <w:gridSpan w:val="12"/>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1060" w:type="dxa"/>
            <w:vAlign w:val="bottom"/>
          </w:tcPr>
          <w:p>
            <w:pPr>
              <w:jc w:val="right"/>
              <w:ind w:right="1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jc w:val="right"/>
              <w:ind w:right="64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3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and 4)</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20"/>
              <w:spacing w:after="0" w:line="120"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6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center"/>
              <w:ind w:left="122"/>
              <w:spacing w:after="0"/>
              <w:rPr>
                <w:sz w:val="20"/>
                <w:szCs w:val="20"/>
                <w:color w:val="auto"/>
              </w:rPr>
            </w:pPr>
            <w:r>
              <w:rPr>
                <w:rFonts w:ascii="Arial" w:cs="Arial" w:eastAsia="Arial" w:hAnsi="Arial"/>
                <w:sz w:val="12"/>
                <w:szCs w:val="12"/>
                <w:color w:val="0000FF"/>
                <w:w w:val="91"/>
              </w:rPr>
              <w:t>Class B</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86"/>
              </w:rPr>
              <w:t>Shares/Class</w:t>
            </w: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restart"/>
          </w:tcPr>
          <w:p>
            <w:pPr>
              <w:ind w:left="80"/>
              <w:spacing w:after="0" w:line="203"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76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2,445,189</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line="132" w:lineRule="exact"/>
              <w:rPr>
                <w:sz w:val="20"/>
                <w:szCs w:val="20"/>
                <w:color w:val="auto"/>
              </w:rPr>
            </w:pPr>
            <w:r>
              <w:rPr>
                <w:rFonts w:ascii="Arial" w:cs="Arial" w:eastAsia="Arial" w:hAnsi="Arial"/>
                <w:sz w:val="12"/>
                <w:szCs w:val="12"/>
                <w:color w:val="0000FF"/>
                <w:w w:val="89"/>
              </w:rPr>
              <w:t>01/05/2016</w:t>
            </w: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ind w:left="380"/>
              <w:spacing w:after="0" w:line="132" w:lineRule="exact"/>
              <w:rPr>
                <w:sz w:val="20"/>
                <w:szCs w:val="20"/>
                <w:color w:val="auto"/>
              </w:rPr>
            </w:pPr>
            <w:r>
              <w:rPr>
                <w:rFonts w:ascii="Arial" w:cs="Arial" w:eastAsia="Arial" w:hAnsi="Arial"/>
                <w:sz w:val="12"/>
                <w:szCs w:val="12"/>
                <w:color w:val="0000FF"/>
              </w:rPr>
              <w:t>2,606,448</w:t>
            </w:r>
          </w:p>
        </w:tc>
        <w:tc>
          <w:tcPr>
            <w:tcW w:w="740" w:type="dxa"/>
            <w:vAlign w:val="bottom"/>
            <w:gridSpan w:val="2"/>
            <w:vMerge w:val="restart"/>
          </w:tcPr>
          <w:p>
            <w:pPr>
              <w:jc w:val="center"/>
              <w:ind w:right="27"/>
              <w:spacing w:after="0" w:line="132" w:lineRule="exact"/>
              <w:rPr>
                <w:sz w:val="20"/>
                <w:szCs w:val="20"/>
                <w:color w:val="auto"/>
              </w:rPr>
            </w:pPr>
            <w:r>
              <w:rPr>
                <w:rFonts w:ascii="Arial" w:cs="Arial" w:eastAsia="Arial" w:hAnsi="Arial"/>
                <w:sz w:val="12"/>
                <w:szCs w:val="12"/>
                <w:color w:val="0000FF"/>
                <w:w w:val="89"/>
              </w:rPr>
              <w:t>12/31/2015</w:t>
            </w:r>
          </w:p>
        </w:tc>
        <w:tc>
          <w:tcPr>
            <w:tcW w:w="620" w:type="dxa"/>
            <w:vAlign w:val="bottom"/>
            <w:vMerge w:val="continue"/>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6"/>
              </w:rPr>
              <w:t>A Units of</w:t>
            </w:r>
          </w:p>
        </w:tc>
        <w:tc>
          <w:tcPr>
            <w:tcW w:w="820" w:type="dxa"/>
            <w:vAlign w:val="bottom"/>
            <w:gridSpan w:val="2"/>
            <w:vMerge w:val="continue"/>
          </w:tcPr>
          <w:p>
            <w:pPr>
              <w:spacing w:after="0"/>
              <w:rPr>
                <w:sz w:val="5"/>
                <w:szCs w:val="5"/>
                <w:color w:val="auto"/>
              </w:rPr>
            </w:pP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360" w:type="dxa"/>
            <w:vAlign w:val="bottom"/>
          </w:tcPr>
          <w:p>
            <w:pPr>
              <w:spacing w:after="0"/>
              <w:rPr>
                <w:sz w:val="5"/>
                <w:szCs w:val="5"/>
                <w:color w:val="auto"/>
              </w:rPr>
            </w:pPr>
          </w:p>
        </w:tc>
        <w:tc>
          <w:tcPr>
            <w:tcW w:w="460" w:type="dxa"/>
            <w:vAlign w:val="bottom"/>
            <w:vMerge w:val="restart"/>
          </w:tcPr>
          <w:p>
            <w:pPr>
              <w:jc w:val="center"/>
              <w:ind w:right="221"/>
              <w:spacing w:after="0" w:line="132" w:lineRule="exact"/>
              <w:rPr>
                <w:sz w:val="20"/>
                <w:szCs w:val="20"/>
                <w:color w:val="auto"/>
              </w:rPr>
            </w:pPr>
            <w:r>
              <w:rPr>
                <w:rFonts w:ascii="Arial" w:cs="Arial" w:eastAsia="Arial" w:hAnsi="Arial"/>
                <w:sz w:val="12"/>
                <w:szCs w:val="12"/>
                <w:color w:val="0000FF"/>
                <w:w w:val="89"/>
              </w:rPr>
              <w:t>0</w:t>
            </w:r>
          </w:p>
        </w:tc>
        <w:tc>
          <w:tcPr>
            <w:tcW w:w="540" w:type="dxa"/>
            <w:vAlign w:val="bottom"/>
            <w:vMerge w:val="restart"/>
          </w:tcPr>
          <w:p>
            <w:pPr>
              <w:jc w:val="center"/>
              <w:ind w:left="180"/>
              <w:spacing w:after="0" w:line="132" w:lineRule="exact"/>
              <w:rPr>
                <w:sz w:val="20"/>
                <w:szCs w:val="20"/>
                <w:color w:val="auto"/>
              </w:rPr>
            </w:pPr>
            <w:r>
              <w:rPr>
                <w:rFonts w:ascii="Arial" w:cs="Arial" w:eastAsia="Arial" w:hAnsi="Arial"/>
                <w:sz w:val="12"/>
                <w:szCs w:val="12"/>
                <w:color w:val="0000FF"/>
              </w:rPr>
              <w:t>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1"/>
              </w:rPr>
              <w:t>Plains AAP,</w:t>
            </w: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vMerge w:val="restart"/>
          </w:tcPr>
          <w:p>
            <w:pPr>
              <w:jc w:val="center"/>
              <w:ind w:left="122"/>
              <w:spacing w:after="0"/>
              <w:rPr>
                <w:sz w:val="20"/>
                <w:szCs w:val="20"/>
                <w:color w:val="auto"/>
              </w:rPr>
            </w:pPr>
            <w:r>
              <w:rPr>
                <w:rFonts w:ascii="Arial" w:cs="Arial" w:eastAsia="Arial" w:hAnsi="Arial"/>
                <w:sz w:val="12"/>
                <w:szCs w:val="12"/>
                <w:color w:val="0000FF"/>
                <w:w w:val="84"/>
              </w:rPr>
              <w:t>L.P.</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01/05/2016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0000FF"/>
              </w:rPr>
              <w:t>2,445,189</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2,445,189</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9"/>
              </w:rPr>
              <w:t>2,445,189</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Shares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w w:val="95"/>
              </w:rPr>
              <w:t>representing</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01/05/2016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0000FF"/>
              </w:rPr>
              <w:t>2,445,189</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2,445,189</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9"/>
              </w:rPr>
              <w:t>2,445,189</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limited</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partner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01/07/2016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220" w:type="dxa"/>
            <w:vAlign w:val="bottom"/>
          </w:tcPr>
          <w:p>
            <w:pPr>
              <w:spacing w:after="0"/>
              <w:rPr>
                <w:sz w:val="11"/>
                <w:szCs w:val="11"/>
                <w:color w:val="auto"/>
              </w:rPr>
            </w:pPr>
          </w:p>
        </w:tc>
        <w:tc>
          <w:tcPr>
            <w:tcW w:w="960" w:type="dxa"/>
            <w:vAlign w:val="bottom"/>
            <w:vMerge w:val="restart"/>
          </w:tcPr>
          <w:p>
            <w:pPr>
              <w:ind w:left="380"/>
              <w:spacing w:after="0"/>
              <w:rPr>
                <w:sz w:val="20"/>
                <w:szCs w:val="20"/>
                <w:color w:val="auto"/>
              </w:rPr>
            </w:pPr>
            <w:r>
              <w:rPr>
                <w:rFonts w:ascii="Arial" w:cs="Arial" w:eastAsia="Arial" w:hAnsi="Arial"/>
                <w:sz w:val="12"/>
                <w:szCs w:val="12"/>
                <w:color w:val="0000FF"/>
              </w:rPr>
              <w:t>1,000,000</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1,000,000</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9"/>
              </w:rPr>
              <w:t>1,445,189</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Shares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w w:val="95"/>
              </w:rPr>
              <w:t>representing</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01/07/2016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220" w:type="dxa"/>
            <w:vAlign w:val="bottom"/>
          </w:tcPr>
          <w:p>
            <w:pPr>
              <w:spacing w:after="0"/>
              <w:rPr>
                <w:sz w:val="11"/>
                <w:szCs w:val="11"/>
                <w:color w:val="auto"/>
              </w:rPr>
            </w:pPr>
          </w:p>
        </w:tc>
        <w:tc>
          <w:tcPr>
            <w:tcW w:w="960" w:type="dxa"/>
            <w:vAlign w:val="bottom"/>
            <w:vMerge w:val="restart"/>
          </w:tcPr>
          <w:p>
            <w:pPr>
              <w:ind w:left="380"/>
              <w:spacing w:after="0"/>
              <w:rPr>
                <w:sz w:val="20"/>
                <w:szCs w:val="20"/>
                <w:color w:val="auto"/>
              </w:rPr>
            </w:pPr>
            <w:r>
              <w:rPr>
                <w:rFonts w:ascii="Arial" w:cs="Arial" w:eastAsia="Arial" w:hAnsi="Arial"/>
                <w:sz w:val="12"/>
                <w:szCs w:val="12"/>
                <w:color w:val="0000FF"/>
              </w:rPr>
              <w:t>1,000,000</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1,000,000</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9"/>
              </w:rPr>
              <w:t>1,445,189</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limited</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partner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17"/>
        </w:trPr>
        <w:tc>
          <w:tcPr>
            <w:tcW w:w="720" w:type="dxa"/>
            <w:vAlign w:val="bottom"/>
            <w:gridSpan w:val="2"/>
          </w:tcPr>
          <w:p>
            <w:pPr>
              <w:ind w:left="60"/>
              <w:spacing w:after="0" w:line="117"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vMerge w:val="restart"/>
          </w:tcPr>
          <w:p>
            <w:pPr>
              <w:jc w:val="center"/>
              <w:ind w:right="7"/>
              <w:spacing w:after="0"/>
              <w:rPr>
                <w:sz w:val="20"/>
                <w:szCs w:val="20"/>
                <w:color w:val="auto"/>
              </w:rPr>
            </w:pPr>
            <w:r>
              <w:rPr>
                <w:rFonts w:ascii="Arial" w:cs="Arial" w:eastAsia="Arial" w:hAnsi="Arial"/>
                <w:sz w:val="10"/>
                <w:szCs w:val="10"/>
                <w:color w:val="008000"/>
                <w:w w:val="97"/>
              </w:rPr>
              <w:t>(3)(4)</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560" w:type="dxa"/>
            <w:vAlign w:val="bottom"/>
          </w:tcPr>
          <w:p>
            <w:pPr>
              <w:jc w:val="center"/>
              <w:ind w:left="122"/>
              <w:spacing w:after="0" w:line="117"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0"/>
                <w:szCs w:val="10"/>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1,154,716</w:t>
            </w:r>
            <w:r>
              <w:rPr>
                <w:rFonts w:ascii="Arial" w:cs="Arial" w:eastAsia="Arial" w:hAnsi="Arial"/>
                <w:sz w:val="19"/>
                <w:szCs w:val="19"/>
                <w:color w:val="008000"/>
                <w:w w:val="84"/>
                <w:vertAlign w:val="superscript"/>
              </w:rPr>
              <w:t>(3)(4)</w:t>
            </w:r>
          </w:p>
        </w:tc>
        <w:tc>
          <w:tcPr>
            <w:tcW w:w="640" w:type="dxa"/>
            <w:vAlign w:val="bottom"/>
          </w:tcPr>
          <w:p>
            <w:pPr>
              <w:spacing w:after="0"/>
              <w:rPr>
                <w:sz w:val="10"/>
                <w:szCs w:val="10"/>
                <w:color w:val="auto"/>
              </w:rPr>
            </w:pPr>
          </w:p>
        </w:tc>
        <w:tc>
          <w:tcPr>
            <w:tcW w:w="820" w:type="dxa"/>
            <w:vAlign w:val="bottom"/>
            <w:gridSpan w:val="2"/>
            <w:vMerge w:val="restart"/>
          </w:tcPr>
          <w:p>
            <w:pPr>
              <w:jc w:val="center"/>
              <w:ind w:left="4"/>
              <w:spacing w:after="0"/>
              <w:rPr>
                <w:sz w:val="20"/>
                <w:szCs w:val="20"/>
                <w:color w:val="auto"/>
              </w:rPr>
            </w:pPr>
            <w:r>
              <w:rPr>
                <w:rFonts w:ascii="Arial" w:cs="Arial" w:eastAsia="Arial" w:hAnsi="Arial"/>
                <w:sz w:val="12"/>
                <w:szCs w:val="12"/>
                <w:color w:val="0000FF"/>
                <w:w w:val="85"/>
              </w:rPr>
              <w:t>1,154,716</w:t>
            </w:r>
            <w:r>
              <w:rPr>
                <w:rFonts w:ascii="Arial" w:cs="Arial" w:eastAsia="Arial" w:hAnsi="Arial"/>
                <w:sz w:val="19"/>
                <w:szCs w:val="19"/>
                <w:color w:val="008000"/>
                <w:w w:val="85"/>
                <w:vertAlign w:val="superscript"/>
              </w:rPr>
              <w:t>(3)(4)</w:t>
            </w:r>
          </w:p>
        </w:tc>
        <w:tc>
          <w:tcPr>
            <w:tcW w:w="540" w:type="dxa"/>
            <w:vAlign w:val="bottom"/>
            <w:vMerge w:val="restart"/>
          </w:tcPr>
          <w:p>
            <w:pPr>
              <w:jc w:val="center"/>
              <w:ind w:left="20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tcPr>
          <w:p>
            <w:pPr>
              <w:jc w:val="center"/>
              <w:ind w:left="102"/>
              <w:spacing w:after="0"/>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ind w:left="20"/>
              <w:spacing w:after="0" w:line="157" w:lineRule="exact"/>
              <w:rPr>
                <w:sz w:val="20"/>
                <w:szCs w:val="20"/>
                <w:color w:val="auto"/>
              </w:rPr>
            </w:pPr>
            <w:r>
              <w:rPr>
                <w:rFonts w:ascii="Arial" w:cs="Arial" w:eastAsia="Arial" w:hAnsi="Arial"/>
                <w:sz w:val="11"/>
                <w:szCs w:val="11"/>
                <w:color w:val="0000FF"/>
                <w:w w:val="96"/>
              </w:rPr>
              <w:t>footnotes</w:t>
            </w:r>
            <w:r>
              <w:rPr>
                <w:rFonts w:ascii="Arial" w:cs="Arial" w:eastAsia="Arial" w:hAnsi="Arial"/>
                <w:sz w:val="18"/>
                <w:szCs w:val="18"/>
                <w:color w:val="008000"/>
                <w:w w:val="96"/>
                <w:vertAlign w:val="superscript"/>
              </w:rPr>
              <w:t>(3)(4)</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L.P.</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200" w:hanging="8"/>
        <w:spacing w:after="0" w:line="241"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On 1/5/2016 the Reporting Person exercised his right to convert 2,606,448 Class B Units into 2,445,189 Class A Units and 2,445,189 Class B shares, at the current conversion ratio of 0.938.</w:t>
      </w:r>
    </w:p>
    <w:p>
      <w:pPr>
        <w:spacing w:after="0" w:line="27" w:lineRule="exact"/>
        <w:rPr>
          <w:rFonts w:ascii="Arial" w:cs="Arial" w:eastAsia="Arial" w:hAnsi="Arial"/>
          <w:sz w:val="12"/>
          <w:szCs w:val="12"/>
          <w:color w:val="008000"/>
        </w:rPr>
      </w:pPr>
    </w:p>
    <w:p>
      <w:pPr>
        <w:ind w:left="40" w:right="400" w:hanging="8"/>
        <w:spacing w:after="0" w:line="295" w:lineRule="auto"/>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limited partnership agreement of AAP, upon conversion of Class B Units into Class A Units and Class B shares, the Class A Units and Class B shares are then together exchangeable for an equal number of Class A shares of the Issuer (the "Class A shares"). On 1/7/2016, the Reporting Person elected to exchange 1,000,000 Class A Units and 1,000,000 Class B shares for 1,000,000 Class A shares.</w:t>
      </w:r>
    </w:p>
    <w:p>
      <w:pPr>
        <w:ind w:left="40" w:right="160" w:hanging="8"/>
        <w:spacing w:after="0" w:line="238"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7" w:lineRule="exact"/>
        <w:rPr>
          <w:rFonts w:ascii="Arial" w:cs="Arial" w:eastAsia="Arial" w:hAnsi="Arial"/>
          <w:sz w:val="12"/>
          <w:szCs w:val="12"/>
          <w:color w:val="008000"/>
        </w:rPr>
      </w:pPr>
    </w:p>
    <w:p>
      <w:pPr>
        <w:ind w:left="40" w:right="180" w:hanging="8"/>
        <w:spacing w:after="0" w:line="241"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7" w:lineRule="exact"/>
        <w:rPr>
          <w:rFonts w:ascii="Arial" w:cs="Arial" w:eastAsia="Arial" w:hAnsi="Arial"/>
          <w:sz w:val="12"/>
          <w:szCs w:val="12"/>
          <w:color w:val="008000"/>
        </w:rPr>
      </w:pPr>
    </w:p>
    <w:p>
      <w:pPr>
        <w:ind w:left="40" w:right="200" w:hanging="8"/>
        <w:spacing w:after="0" w:line="254"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rights to (a) convert Class B Units into Class A Units and Class B shares and (b) exchange Class A Units and Class B shares (acquired in a conversion from Class B Units) for Class A shares do not expire.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6"/>
                <w:szCs w:val="16"/>
                <w:color w:val="0000FF"/>
                <w:w w:val="88"/>
              </w:rPr>
              <w:t>/s/ Al Swanson</w:t>
            </w:r>
          </w:p>
        </w:tc>
        <w:tc>
          <w:tcPr>
            <w:tcW w:w="106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Arial" w:cs="Arial" w:eastAsia="Arial" w:hAnsi="Arial"/>
                <w:sz w:val="16"/>
                <w:szCs w:val="16"/>
                <w:color w:val="0000FF"/>
                <w:w w:val="84"/>
              </w:rPr>
              <w:t>01/07/2016</w:t>
            </w:r>
          </w:p>
        </w:tc>
      </w:tr>
      <w:tr>
        <w:trPr>
          <w:trHeight w:val="20"/>
        </w:trPr>
        <w:tc>
          <w:tcPr>
            <w:tcW w:w="6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8"/>
        </w:trPr>
        <w:tc>
          <w:tcPr>
            <w:tcW w:w="68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80"/>
              <w:spacing w:after="0"/>
              <w:rPr>
                <w:sz w:val="20"/>
                <w:szCs w:val="20"/>
                <w:color w:val="auto"/>
              </w:rPr>
            </w:pPr>
            <w:r>
              <w:rPr>
                <w:rFonts w:ascii="Arial" w:cs="Arial" w:eastAsia="Arial" w:hAnsi="Arial"/>
                <w:sz w:val="12"/>
                <w:szCs w:val="12"/>
                <w:color w:val="auto"/>
              </w:rPr>
              <w:t>Date</w:t>
            </w: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ectPr>
          <w:pgSz w:w="11900" w:h="16902" w:orient="portrait"/>
          <w:cols w:equalWidth="0" w:num="1">
            <w:col w:w="11520"/>
          </w:cols>
          <w:pgMar w:left="240" w:top="21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2020-01-19T05:20:58Z</dcterms:created>
  <dcterms:modified xsi:type="dcterms:W3CDTF">2020-01-19T05:20:58Z</dcterms:modified>
</cp:coreProperties>
</file>