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283"/>
        <w:jc w:val="right"/>
        <w:rPr>
          <w:rFonts w:ascii="Times New Roman;Times;serif" w:hAnsi="Times New Roman;Times;serif"/>
          <w:sz w:val="17"/>
        </w:rPr>
      </w:pPr>
      <w:bookmarkStart w:id="0" w:name="h78654fwfwp.htm"/>
      <w:bookmarkStart w:id="1" w:name="ksh78654fwfwp"/>
      <w:bookmarkEnd w:id="0"/>
      <w:bookmarkEnd w:id="1"/>
      <w:r>
        <w:rPr>
          <w:rFonts w:ascii="Times New Roman;Times;serif" w:hAnsi="Times New Roman;Times;serif"/>
          <w:sz w:val="17"/>
        </w:rPr>
        <w:t>Filed Pursuant to Rule 433</w:t>
        <w:br/>
        <w:t>Registration No. 333-162475</w:t>
        <w:br/>
        <w:t xml:space="preserve">January 5, 2011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Final Term Sheet</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$600,000,000 5.000% Senior Notes due 2021</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121"/>
        <w:gridCol w:w="302"/>
        <w:gridCol w:w="1225"/>
        <w:gridCol w:w="4557"/>
      </w:tblGrid>
      <w:tr>
        <w:trPr/>
        <w:tc>
          <w:tcPr>
            <w:tcW w:w="4121"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4557" w:type="dxa"/>
            <w:tcBorders/>
            <w:shd w:fill="auto" w:val="clear"/>
            <w:vAlign w:val="bottom"/>
          </w:tcPr>
          <w:p>
            <w:pPr>
              <w:pStyle w:val="TableContents"/>
              <w:spacing w:before="0" w:after="283"/>
              <w:rPr/>
            </w:pPr>
            <w:r>
              <w:rPr/>
              <w:t> </w:t>
            </w:r>
          </w:p>
        </w:tc>
      </w:tr>
      <w:tr>
        <w:trPr/>
        <w:tc>
          <w:tcPr>
            <w:tcW w:w="4121" w:type="dxa"/>
            <w:tcBorders/>
            <w:shd w:fill="CCEEFF" w:val="clear"/>
          </w:tcPr>
          <w:p>
            <w:pPr>
              <w:pStyle w:val="TableContents"/>
              <w:spacing w:before="0" w:after="283"/>
              <w:jc w:val="left"/>
              <w:rPr/>
            </w:pPr>
            <w:r>
              <w:rPr/>
              <w:t>Issuers:</w:t>
            </w:r>
          </w:p>
        </w:tc>
        <w:tc>
          <w:tcPr>
            <w:tcW w:w="302" w:type="dxa"/>
            <w:tcBorders/>
            <w:shd w:fill="CCEEFF" w:val="clear"/>
            <w:vAlign w:val="bottom"/>
          </w:tcPr>
          <w:p>
            <w:pPr>
              <w:pStyle w:val="TableContents"/>
              <w:spacing w:before="0" w:after="283"/>
              <w:rPr/>
            </w:pPr>
            <w:r>
              <w:rPr/>
              <w:t> </w:t>
            </w:r>
          </w:p>
        </w:tc>
        <w:tc>
          <w:tcPr>
            <w:tcW w:w="5782" w:type="dxa"/>
            <w:gridSpan w:val="2"/>
            <w:tcBorders/>
            <w:shd w:fill="CCEEFF" w:val="clear"/>
            <w:vAlign w:val="bottom"/>
          </w:tcPr>
          <w:p>
            <w:pPr>
              <w:pStyle w:val="TableContents"/>
              <w:spacing w:before="0" w:after="0"/>
              <w:ind w:left="0" w:right="0" w:hanging="0"/>
              <w:rPr/>
            </w:pPr>
            <w:r>
              <w:rPr/>
              <w:t>Plains All American Pipeline, L.P. and PAA Finance Corp.</w:t>
            </w:r>
          </w:p>
        </w:tc>
      </w:tr>
      <w:tr>
        <w:trPr/>
        <w:tc>
          <w:tcPr>
            <w:tcW w:w="4121" w:type="dxa"/>
            <w:tcBorders/>
            <w:shd w:fill="auto" w:val="clear"/>
          </w:tcPr>
          <w:p>
            <w:pPr>
              <w:pStyle w:val="TableContents"/>
              <w:spacing w:before="0" w:after="283"/>
              <w:jc w:val="left"/>
              <w:rPr/>
            </w:pPr>
            <w:r>
              <w:rPr/>
              <w:t>Guarantee:</w:t>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Unconditionally guaranteed by certain subsidiaries of Plains All American Pipeline, L.P.</w:t>
            </w:r>
          </w:p>
        </w:tc>
      </w:tr>
      <w:tr>
        <w:trPr/>
        <w:tc>
          <w:tcPr>
            <w:tcW w:w="4121" w:type="dxa"/>
            <w:tcBorders/>
            <w:shd w:fill="CCEEFF" w:val="clear"/>
          </w:tcPr>
          <w:p>
            <w:pPr>
              <w:pStyle w:val="TableContents"/>
              <w:spacing w:before="0" w:after="283"/>
              <w:jc w:val="left"/>
              <w:rPr/>
            </w:pPr>
            <w:r>
              <w:rPr/>
              <w:t>Security Type:</w:t>
            </w:r>
          </w:p>
        </w:tc>
        <w:tc>
          <w:tcPr>
            <w:tcW w:w="302" w:type="dxa"/>
            <w:tcBorders/>
            <w:shd w:fill="CCEEFF" w:val="clear"/>
            <w:vAlign w:val="bottom"/>
          </w:tcPr>
          <w:p>
            <w:pPr>
              <w:pStyle w:val="TableContents"/>
              <w:spacing w:before="0" w:after="283"/>
              <w:rPr/>
            </w:pPr>
            <w:r>
              <w:rPr/>
              <w:t> </w:t>
            </w:r>
          </w:p>
        </w:tc>
        <w:tc>
          <w:tcPr>
            <w:tcW w:w="5782" w:type="dxa"/>
            <w:gridSpan w:val="2"/>
            <w:tcBorders/>
            <w:shd w:fill="CCEEFF" w:val="clear"/>
            <w:vAlign w:val="bottom"/>
          </w:tcPr>
          <w:p>
            <w:pPr>
              <w:pStyle w:val="TableContents"/>
              <w:spacing w:before="0" w:after="0"/>
              <w:ind w:left="0" w:right="0" w:hanging="0"/>
              <w:rPr/>
            </w:pPr>
            <w:r>
              <w:rPr/>
              <w:t>Senior Unsecured Notes</w:t>
            </w:r>
          </w:p>
        </w:tc>
      </w:tr>
      <w:tr>
        <w:trPr/>
        <w:tc>
          <w:tcPr>
            <w:tcW w:w="4121" w:type="dxa"/>
            <w:tcBorders/>
            <w:shd w:fill="auto" w:val="clear"/>
          </w:tcPr>
          <w:p>
            <w:pPr>
              <w:pStyle w:val="TableContents"/>
              <w:spacing w:before="0" w:after="283"/>
              <w:jc w:val="left"/>
              <w:rPr/>
            </w:pPr>
            <w:r>
              <w:rPr/>
              <w:t>Legal Format:</w:t>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SEC Registered Notes</w:t>
            </w:r>
          </w:p>
        </w:tc>
      </w:tr>
      <w:tr>
        <w:trPr/>
        <w:tc>
          <w:tcPr>
            <w:tcW w:w="4121" w:type="dxa"/>
            <w:tcBorders/>
            <w:shd w:fill="CCEEFF" w:val="clear"/>
          </w:tcPr>
          <w:p>
            <w:pPr>
              <w:pStyle w:val="TableContents"/>
              <w:spacing w:before="0" w:after="283"/>
              <w:jc w:val="left"/>
              <w:rPr/>
            </w:pPr>
            <w:r>
              <w:rPr/>
              <w:t>Ratings (Moodys / S&amp;P)*:</w:t>
            </w:r>
          </w:p>
        </w:tc>
        <w:tc>
          <w:tcPr>
            <w:tcW w:w="302" w:type="dxa"/>
            <w:tcBorders/>
            <w:shd w:fill="CCEEFF" w:val="clear"/>
            <w:vAlign w:val="bottom"/>
          </w:tcPr>
          <w:p>
            <w:pPr>
              <w:pStyle w:val="TableContents"/>
              <w:spacing w:before="0" w:after="283"/>
              <w:rPr/>
            </w:pPr>
            <w:r>
              <w:rPr/>
              <w:t> </w:t>
            </w:r>
          </w:p>
        </w:tc>
        <w:tc>
          <w:tcPr>
            <w:tcW w:w="5782" w:type="dxa"/>
            <w:gridSpan w:val="2"/>
            <w:tcBorders/>
            <w:shd w:fill="CCEEFF" w:val="clear"/>
            <w:vAlign w:val="bottom"/>
          </w:tcPr>
          <w:p>
            <w:pPr>
              <w:pStyle w:val="TableContents"/>
              <w:spacing w:before="0" w:after="0"/>
              <w:ind w:left="0" w:right="0" w:hanging="0"/>
              <w:rPr/>
            </w:pPr>
            <w:r>
              <w:rPr/>
              <w:t>Baa3 (Stable) / BBB- (Stable)</w:t>
            </w:r>
          </w:p>
        </w:tc>
      </w:tr>
      <w:tr>
        <w:trPr/>
        <w:tc>
          <w:tcPr>
            <w:tcW w:w="4121" w:type="dxa"/>
            <w:tcBorders/>
            <w:shd w:fill="auto" w:val="clear"/>
          </w:tcPr>
          <w:p>
            <w:pPr>
              <w:pStyle w:val="TableContents"/>
              <w:spacing w:before="0" w:after="283"/>
              <w:jc w:val="left"/>
              <w:rPr/>
            </w:pPr>
            <w:r>
              <w:rPr/>
              <w:t>Pricing Date:</w:t>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January 5, 2011</w:t>
            </w:r>
          </w:p>
        </w:tc>
      </w:tr>
      <w:tr>
        <w:trPr/>
        <w:tc>
          <w:tcPr>
            <w:tcW w:w="4121" w:type="dxa"/>
            <w:tcBorders/>
            <w:shd w:fill="CCEEFF" w:val="clear"/>
          </w:tcPr>
          <w:p>
            <w:pPr>
              <w:pStyle w:val="TableContents"/>
              <w:spacing w:before="0" w:after="283"/>
              <w:jc w:val="left"/>
              <w:rPr/>
            </w:pPr>
            <w:r>
              <w:rPr/>
              <w:t>Settlement Date (T+7):</w:t>
            </w:r>
          </w:p>
        </w:tc>
        <w:tc>
          <w:tcPr>
            <w:tcW w:w="302" w:type="dxa"/>
            <w:tcBorders/>
            <w:shd w:fill="CCEEFF" w:val="clear"/>
            <w:vAlign w:val="bottom"/>
          </w:tcPr>
          <w:p>
            <w:pPr>
              <w:pStyle w:val="TableContents"/>
              <w:spacing w:before="0" w:after="283"/>
              <w:rPr/>
            </w:pPr>
            <w:r>
              <w:rPr/>
              <w:t> </w:t>
            </w:r>
          </w:p>
        </w:tc>
        <w:tc>
          <w:tcPr>
            <w:tcW w:w="5782" w:type="dxa"/>
            <w:gridSpan w:val="2"/>
            <w:tcBorders/>
            <w:shd w:fill="CCEEFF" w:val="clear"/>
            <w:vAlign w:val="bottom"/>
          </w:tcPr>
          <w:p>
            <w:pPr>
              <w:pStyle w:val="TableContents"/>
              <w:spacing w:before="0" w:after="0"/>
              <w:ind w:left="0" w:right="0" w:hanging="0"/>
              <w:rPr/>
            </w:pPr>
            <w:r>
              <w:rPr/>
              <w:t>January 14, 2011</w:t>
            </w:r>
          </w:p>
        </w:tc>
      </w:tr>
      <w:tr>
        <w:trPr/>
        <w:tc>
          <w:tcPr>
            <w:tcW w:w="4121" w:type="dxa"/>
            <w:tcBorders/>
            <w:shd w:fill="auto" w:val="clear"/>
          </w:tcPr>
          <w:p>
            <w:pPr>
              <w:pStyle w:val="TableContents"/>
              <w:spacing w:before="0" w:after="283"/>
              <w:jc w:val="left"/>
              <w:rPr/>
            </w:pPr>
            <w:r>
              <w:rPr/>
              <w:t>Maturity Date:</w:t>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February 1, 2021</w:t>
            </w:r>
          </w:p>
        </w:tc>
      </w:tr>
      <w:tr>
        <w:trPr/>
        <w:tc>
          <w:tcPr>
            <w:tcW w:w="4121" w:type="dxa"/>
            <w:tcBorders/>
            <w:shd w:fill="CCEEFF" w:val="clear"/>
          </w:tcPr>
          <w:p>
            <w:pPr>
              <w:pStyle w:val="TableContents"/>
              <w:spacing w:before="0" w:after="283"/>
              <w:jc w:val="left"/>
              <w:rPr/>
            </w:pPr>
            <w:r>
              <w:rPr/>
              <w:t>Principal Amount:</w:t>
            </w:r>
          </w:p>
        </w:tc>
        <w:tc>
          <w:tcPr>
            <w:tcW w:w="302" w:type="dxa"/>
            <w:tcBorders/>
            <w:shd w:fill="CCEEFF" w:val="clear"/>
            <w:vAlign w:val="bottom"/>
          </w:tcPr>
          <w:p>
            <w:pPr>
              <w:pStyle w:val="TableContents"/>
              <w:spacing w:before="0" w:after="283"/>
              <w:rPr/>
            </w:pPr>
            <w:r>
              <w:rPr/>
              <w:t> </w:t>
            </w:r>
          </w:p>
        </w:tc>
        <w:tc>
          <w:tcPr>
            <w:tcW w:w="5782" w:type="dxa"/>
            <w:gridSpan w:val="2"/>
            <w:tcBorders/>
            <w:shd w:fill="CCEEFF" w:val="clear"/>
            <w:vAlign w:val="bottom"/>
          </w:tcPr>
          <w:p>
            <w:pPr>
              <w:pStyle w:val="TableContents"/>
              <w:spacing w:before="0" w:after="0"/>
              <w:ind w:left="0" w:right="0" w:hanging="0"/>
              <w:rPr/>
            </w:pPr>
            <w:r>
              <w:rPr/>
              <w:t>$600,000,000</w:t>
            </w:r>
          </w:p>
        </w:tc>
      </w:tr>
      <w:tr>
        <w:trPr/>
        <w:tc>
          <w:tcPr>
            <w:tcW w:w="4121" w:type="dxa"/>
            <w:tcBorders/>
            <w:shd w:fill="auto" w:val="clear"/>
          </w:tcPr>
          <w:p>
            <w:pPr>
              <w:pStyle w:val="TableContents"/>
              <w:spacing w:before="0" w:after="283"/>
              <w:jc w:val="left"/>
              <w:rPr/>
            </w:pPr>
            <w:r>
              <w:rPr/>
              <w:t>Benchmark:</w:t>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UST 2.625% due November 15, 2020</w:t>
            </w:r>
          </w:p>
        </w:tc>
      </w:tr>
      <w:tr>
        <w:trPr/>
        <w:tc>
          <w:tcPr>
            <w:tcW w:w="4121" w:type="dxa"/>
            <w:tcBorders/>
            <w:shd w:fill="CCEEFF" w:val="clear"/>
          </w:tcPr>
          <w:p>
            <w:pPr>
              <w:pStyle w:val="TableContents"/>
              <w:spacing w:before="0" w:after="283"/>
              <w:jc w:val="left"/>
              <w:rPr/>
            </w:pPr>
            <w:r>
              <w:rPr/>
              <w:t>Benchmark Price / Yield:</w:t>
            </w:r>
          </w:p>
        </w:tc>
        <w:tc>
          <w:tcPr>
            <w:tcW w:w="302" w:type="dxa"/>
            <w:tcBorders/>
            <w:shd w:fill="CCEEFF" w:val="clear"/>
            <w:vAlign w:val="bottom"/>
          </w:tcPr>
          <w:p>
            <w:pPr>
              <w:pStyle w:val="TableContents"/>
              <w:spacing w:before="0" w:after="283"/>
              <w:rPr/>
            </w:pPr>
            <w:r>
              <w:rPr/>
              <w:t> </w:t>
            </w:r>
          </w:p>
        </w:tc>
        <w:tc>
          <w:tcPr>
            <w:tcW w:w="5782" w:type="dxa"/>
            <w:gridSpan w:val="2"/>
            <w:tcBorders/>
            <w:shd w:fill="CCEEFF" w:val="clear"/>
            <w:vAlign w:val="bottom"/>
          </w:tcPr>
          <w:p>
            <w:pPr>
              <w:pStyle w:val="TableContents"/>
              <w:spacing w:before="0" w:after="0"/>
              <w:ind w:left="0" w:right="0" w:hanging="0"/>
              <w:rPr/>
            </w:pPr>
            <w:r>
              <w:rPr/>
              <w:t>93-02 / 3.461%</w:t>
            </w:r>
          </w:p>
        </w:tc>
      </w:tr>
      <w:tr>
        <w:trPr/>
        <w:tc>
          <w:tcPr>
            <w:tcW w:w="4121" w:type="dxa"/>
            <w:tcBorders/>
            <w:shd w:fill="auto" w:val="clear"/>
          </w:tcPr>
          <w:p>
            <w:pPr>
              <w:pStyle w:val="TableContents"/>
              <w:spacing w:before="0" w:after="283"/>
              <w:jc w:val="left"/>
              <w:rPr/>
            </w:pPr>
            <w:r>
              <w:rPr/>
              <w:t>Spread to Benchmark:</w:t>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+ 160 bps</w:t>
            </w:r>
          </w:p>
        </w:tc>
      </w:tr>
      <w:tr>
        <w:trPr/>
        <w:tc>
          <w:tcPr>
            <w:tcW w:w="4121" w:type="dxa"/>
            <w:tcBorders/>
            <w:shd w:fill="CCEEFF" w:val="clear"/>
          </w:tcPr>
          <w:p>
            <w:pPr>
              <w:pStyle w:val="TableContents"/>
              <w:spacing w:before="0" w:after="283"/>
              <w:jc w:val="left"/>
              <w:rPr/>
            </w:pPr>
            <w:r>
              <w:rPr/>
              <w:t>Yield to Maturity:</w:t>
            </w:r>
          </w:p>
        </w:tc>
        <w:tc>
          <w:tcPr>
            <w:tcW w:w="302" w:type="dxa"/>
            <w:tcBorders/>
            <w:shd w:fill="CCEEFF" w:val="clear"/>
            <w:vAlign w:val="bottom"/>
          </w:tcPr>
          <w:p>
            <w:pPr>
              <w:pStyle w:val="TableContents"/>
              <w:spacing w:before="0" w:after="283"/>
              <w:rPr/>
            </w:pPr>
            <w:r>
              <w:rPr/>
              <w:t> </w:t>
            </w:r>
          </w:p>
        </w:tc>
        <w:tc>
          <w:tcPr>
            <w:tcW w:w="5782" w:type="dxa"/>
            <w:gridSpan w:val="2"/>
            <w:tcBorders/>
            <w:shd w:fill="CCEEFF" w:val="clear"/>
            <w:vAlign w:val="bottom"/>
          </w:tcPr>
          <w:p>
            <w:pPr>
              <w:pStyle w:val="TableContents"/>
              <w:spacing w:before="0" w:after="0"/>
              <w:ind w:left="0" w:right="0" w:hanging="0"/>
              <w:rPr/>
            </w:pPr>
            <w:r>
              <w:rPr/>
              <w:t>5.061%</w:t>
            </w:r>
          </w:p>
        </w:tc>
      </w:tr>
      <w:tr>
        <w:trPr/>
        <w:tc>
          <w:tcPr>
            <w:tcW w:w="4121" w:type="dxa"/>
            <w:tcBorders/>
            <w:shd w:fill="auto" w:val="clear"/>
          </w:tcPr>
          <w:p>
            <w:pPr>
              <w:pStyle w:val="TableContents"/>
              <w:spacing w:before="0" w:after="283"/>
              <w:jc w:val="left"/>
              <w:rPr/>
            </w:pPr>
            <w:r>
              <w:rPr/>
              <w:t>Coupon:</w:t>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5.000%</w:t>
            </w:r>
          </w:p>
        </w:tc>
      </w:tr>
      <w:tr>
        <w:trPr/>
        <w:tc>
          <w:tcPr>
            <w:tcW w:w="4121" w:type="dxa"/>
            <w:tcBorders/>
            <w:shd w:fill="CCEEFF" w:val="clear"/>
          </w:tcPr>
          <w:p>
            <w:pPr>
              <w:pStyle w:val="TableContents"/>
              <w:spacing w:before="0" w:after="283"/>
              <w:jc w:val="left"/>
              <w:rPr/>
            </w:pPr>
            <w:r>
              <w:rPr/>
              <w:t>Public Offering Price:</w:t>
            </w:r>
          </w:p>
        </w:tc>
        <w:tc>
          <w:tcPr>
            <w:tcW w:w="302" w:type="dxa"/>
            <w:tcBorders/>
            <w:shd w:fill="CCEEFF" w:val="clear"/>
            <w:vAlign w:val="bottom"/>
          </w:tcPr>
          <w:p>
            <w:pPr>
              <w:pStyle w:val="TableContents"/>
              <w:spacing w:before="0" w:after="283"/>
              <w:rPr/>
            </w:pPr>
            <w:r>
              <w:rPr/>
              <w:t> </w:t>
            </w:r>
          </w:p>
        </w:tc>
        <w:tc>
          <w:tcPr>
            <w:tcW w:w="5782" w:type="dxa"/>
            <w:gridSpan w:val="2"/>
            <w:tcBorders/>
            <w:shd w:fill="CCEEFF" w:val="clear"/>
            <w:vAlign w:val="bottom"/>
          </w:tcPr>
          <w:p>
            <w:pPr>
              <w:pStyle w:val="TableContents"/>
              <w:spacing w:before="0" w:after="0"/>
              <w:ind w:left="0" w:right="0" w:hanging="0"/>
              <w:rPr/>
            </w:pPr>
            <w:r>
              <w:rPr/>
              <w:t>99.521%</w:t>
            </w:r>
          </w:p>
        </w:tc>
      </w:tr>
      <w:tr>
        <w:trPr/>
        <w:tc>
          <w:tcPr>
            <w:tcW w:w="4121" w:type="dxa"/>
            <w:tcBorders/>
            <w:shd w:fill="auto" w:val="clear"/>
          </w:tcPr>
          <w:p>
            <w:pPr>
              <w:pStyle w:val="TableContents"/>
              <w:spacing w:before="0" w:after="283"/>
              <w:jc w:val="left"/>
              <w:rPr/>
            </w:pPr>
            <w:r>
              <w:rPr/>
              <w:t>Net Proceeds (after estimated expenses) to Company:</w:t>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$592 million</w:t>
            </w:r>
          </w:p>
        </w:tc>
      </w:tr>
      <w:tr>
        <w:trPr/>
        <w:tc>
          <w:tcPr>
            <w:tcW w:w="4121" w:type="dxa"/>
            <w:tcBorders/>
            <w:shd w:fill="CCEEFF" w:val="clear"/>
          </w:tcPr>
          <w:p>
            <w:pPr>
              <w:pStyle w:val="TableContents"/>
              <w:spacing w:before="0" w:after="283"/>
              <w:jc w:val="left"/>
              <w:rPr/>
            </w:pPr>
            <w:r>
              <w:rPr/>
              <w:t>Optional Redemption:</w:t>
            </w:r>
          </w:p>
        </w:tc>
        <w:tc>
          <w:tcPr>
            <w:tcW w:w="302" w:type="dxa"/>
            <w:tcBorders/>
            <w:shd w:fill="CCEEFF" w:val="clear"/>
            <w:vAlign w:val="bottom"/>
          </w:tcPr>
          <w:p>
            <w:pPr>
              <w:pStyle w:val="TableContents"/>
              <w:spacing w:before="0" w:after="283"/>
              <w:rPr/>
            </w:pPr>
            <w:r>
              <w:rPr/>
              <w:t> </w:t>
            </w:r>
          </w:p>
        </w:tc>
        <w:tc>
          <w:tcPr>
            <w:tcW w:w="5782" w:type="dxa"/>
            <w:gridSpan w:val="2"/>
            <w:tcBorders/>
            <w:shd w:fill="CCEEFF" w:val="clear"/>
            <w:vAlign w:val="bottom"/>
          </w:tcPr>
          <w:p>
            <w:pPr>
              <w:pStyle w:val="TableContents"/>
              <w:spacing w:before="0" w:after="0"/>
              <w:ind w:left="0" w:right="0" w:hanging="0"/>
              <w:rPr/>
            </w:pPr>
            <w:r>
              <w:rPr/>
              <w:t xml:space="preserve">We may redeem the Notes, in whole or in part, at any time and from time to time prior to maturity. If we redeem the Notes before a date that is 90 days prior to their maturity date, the Notes may be redeemed at a price equal to the greater of (i) 100% of the principal amount of the Notes to be redeemed or (ii) the sum of the present values of the remaining scheduled payments of principal of and interest on the Notes to be redeemed, discounted to the redemption date on a semiannual basis at the Adjusted Treasury Rate (as defined in the prospectus supplement) plus 25 basis points, together with accrued interest to the date of redemption. If we redeem the Notes on or after a date that is 90 days prior to their maturity date, the redemption price will equal 100% of the principal amount of the Notes to be redeemed plus accrued interest to the redemption date. </w:t>
            </w:r>
          </w:p>
        </w:tc>
      </w:tr>
      <w:tr>
        <w:trPr/>
        <w:tc>
          <w:tcPr>
            <w:tcW w:w="4121" w:type="dxa"/>
            <w:tcBorders/>
            <w:shd w:fill="auto" w:val="clear"/>
          </w:tcPr>
          <w:p>
            <w:pPr>
              <w:pStyle w:val="TableContents"/>
              <w:spacing w:before="0" w:after="283"/>
              <w:jc w:val="left"/>
              <w:rPr/>
            </w:pPr>
            <w:r>
              <w:rPr/>
              <w:t>Interest Payment Dates:</w:t>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February 1 and August 1, beginning August 1, 2011</w:t>
            </w:r>
          </w:p>
        </w:tc>
      </w:tr>
      <w:tr>
        <w:trPr/>
        <w:tc>
          <w:tcPr>
            <w:tcW w:w="4121" w:type="dxa"/>
            <w:tcBorders/>
            <w:shd w:fill="CCEEFF" w:val="clear"/>
          </w:tcPr>
          <w:p>
            <w:pPr>
              <w:pStyle w:val="TableContents"/>
              <w:spacing w:before="0" w:after="283"/>
              <w:jc w:val="left"/>
              <w:rPr/>
            </w:pPr>
            <w:r>
              <w:rPr/>
              <w:t>CUSIP / ISIN:</w:t>
            </w:r>
          </w:p>
        </w:tc>
        <w:tc>
          <w:tcPr>
            <w:tcW w:w="302" w:type="dxa"/>
            <w:tcBorders/>
            <w:shd w:fill="CCEEFF" w:val="clear"/>
            <w:vAlign w:val="bottom"/>
          </w:tcPr>
          <w:p>
            <w:pPr>
              <w:pStyle w:val="TableContents"/>
              <w:spacing w:before="0" w:after="283"/>
              <w:rPr/>
            </w:pPr>
            <w:r>
              <w:rPr/>
              <w:t> </w:t>
            </w:r>
          </w:p>
        </w:tc>
        <w:tc>
          <w:tcPr>
            <w:tcW w:w="5782" w:type="dxa"/>
            <w:gridSpan w:val="2"/>
            <w:tcBorders/>
            <w:shd w:fill="CCEEFF" w:val="clear"/>
            <w:vAlign w:val="bottom"/>
          </w:tcPr>
          <w:p>
            <w:pPr>
              <w:pStyle w:val="TableContents"/>
              <w:spacing w:before="0" w:after="0"/>
              <w:ind w:left="0" w:right="0" w:hanging="0"/>
              <w:rPr/>
            </w:pPr>
            <w:r>
              <w:rPr/>
              <w:t>72650R AY8 / US72650RAY80</w:t>
            </w:r>
          </w:p>
        </w:tc>
      </w:tr>
      <w:tr>
        <w:trPr/>
        <w:tc>
          <w:tcPr>
            <w:tcW w:w="4121" w:type="dxa"/>
            <w:tcBorders/>
            <w:shd w:fill="auto" w:val="clear"/>
          </w:tcPr>
          <w:p>
            <w:pPr>
              <w:pStyle w:val="TableContents"/>
              <w:spacing w:before="0" w:after="283"/>
              <w:jc w:val="left"/>
              <w:rPr/>
            </w:pPr>
            <w:r>
              <w:rPr/>
              <w:t>Joint Book-Running Managers:</w:t>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J.P. Morgan Securities LLC</w:t>
            </w:r>
          </w:p>
        </w:tc>
      </w:tr>
      <w:tr>
        <w:trPr/>
        <w:tc>
          <w:tcPr>
            <w:tcW w:w="4121" w:type="dxa"/>
            <w:tcBorders/>
            <w:shd w:fill="auto" w:val="clea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SunTrust Robinson Humphrey, Inc.</w:t>
            </w:r>
          </w:p>
        </w:tc>
      </w:tr>
      <w:tr>
        <w:trPr/>
        <w:tc>
          <w:tcPr>
            <w:tcW w:w="4121" w:type="dxa"/>
            <w:tcBorders/>
            <w:shd w:fill="auto" w:val="clea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Wells Fargo Securities, LLC</w:t>
            </w:r>
          </w:p>
        </w:tc>
      </w:tr>
      <w:tr>
        <w:trPr/>
        <w:tc>
          <w:tcPr>
            <w:tcW w:w="4121" w:type="dxa"/>
            <w:tcBorders/>
            <w:shd w:fill="auto" w:val="clea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0"/>
              <w:ind w:left="0" w:right="0" w:hanging="0"/>
              <w:rPr/>
            </w:pPr>
            <w:r>
              <w:rPr/>
              <w:t>Merrill Lync</w:t>
            </w:r>
          </w:p>
        </w:tc>
        <w:tc>
          <w:tcPr>
            <w:tcW w:w="4557" w:type="dxa"/>
            <w:tcBorders/>
            <w:shd w:fill="auto" w:val="clear"/>
            <w:vAlign w:val="bottom"/>
          </w:tcPr>
          <w:p>
            <w:pPr>
              <w:pStyle w:val="TableContents"/>
              <w:spacing w:before="0" w:after="0"/>
              <w:ind w:left="0" w:right="0" w:hanging="0"/>
              <w:rPr/>
            </w:pPr>
            <w:r>
              <w:rPr/>
              <w:t>h, Pierce, Fenner &amp; Smith</w:t>
            </w:r>
          </w:p>
        </w:tc>
      </w:tr>
      <w:tr>
        <w:trPr/>
        <w:tc>
          <w:tcPr>
            <w:tcW w:w="4121" w:type="dxa"/>
            <w:tcBorders/>
            <w:shd w:fill="auto" w:val="clea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4557" w:type="dxa"/>
            <w:tcBorders/>
            <w:shd w:fill="auto" w:val="clear"/>
            <w:vAlign w:val="bottom"/>
          </w:tcPr>
          <w:p>
            <w:pPr>
              <w:pStyle w:val="TableContents"/>
              <w:spacing w:before="0" w:after="0"/>
              <w:ind w:left="0" w:right="0" w:hanging="0"/>
              <w:rPr/>
            </w:pPr>
            <w:r>
              <w:rPr/>
              <w:t>Incorporated</w:t>
            </w:r>
          </w:p>
        </w:tc>
      </w:tr>
      <w:tr>
        <w:trPr/>
        <w:tc>
          <w:tcPr>
            <w:tcW w:w="4121" w:type="dxa"/>
            <w:tcBorders/>
            <w:shd w:fill="auto" w:val="clea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5782" w:type="dxa"/>
            <w:gridSpan w:val="2"/>
            <w:tcBorders/>
            <w:shd w:fill="auto" w:val="clear"/>
            <w:vAlign w:val="bottom"/>
          </w:tcPr>
          <w:p>
            <w:pPr>
              <w:pStyle w:val="TableContents"/>
              <w:spacing w:before="0" w:after="0"/>
              <w:ind w:left="0" w:right="0" w:hanging="0"/>
              <w:rPr/>
            </w:pPr>
            <w:r>
              <w:rPr/>
              <w:t>DnB NOR Markets, Inc.</w:t>
            </w:r>
          </w:p>
        </w:tc>
      </w:tr>
      <w:tr>
        <w:trPr/>
        <w:tc>
          <w:tcPr>
            <w:tcW w:w="4121" w:type="dxa"/>
            <w:tcBorders/>
            <w:shd w:fill="CCEEFF" w:val="clear"/>
          </w:tcPr>
          <w:p>
            <w:pPr>
              <w:pStyle w:val="TableContents"/>
              <w:spacing w:before="0" w:after="283"/>
              <w:jc w:val="left"/>
              <w:rPr/>
            </w:pPr>
            <w:r>
              <w:rPr/>
              <w:t>Co-Managers:</w:t>
            </w:r>
          </w:p>
        </w:tc>
        <w:tc>
          <w:tcPr>
            <w:tcW w:w="302" w:type="dxa"/>
            <w:tcBorders/>
            <w:shd w:fill="CCEEFF" w:val="clear"/>
            <w:vAlign w:val="bottom"/>
          </w:tcPr>
          <w:p>
            <w:pPr>
              <w:pStyle w:val="TableContents"/>
              <w:spacing w:before="0" w:after="283"/>
              <w:rPr/>
            </w:pPr>
            <w:r>
              <w:rPr/>
              <w:t> </w:t>
            </w:r>
          </w:p>
        </w:tc>
        <w:tc>
          <w:tcPr>
            <w:tcW w:w="5782" w:type="dxa"/>
            <w:gridSpan w:val="2"/>
            <w:tcBorders/>
            <w:shd w:fill="CCEEFF" w:val="clear"/>
            <w:vAlign w:val="bottom"/>
          </w:tcPr>
          <w:p>
            <w:pPr>
              <w:pStyle w:val="TableContents"/>
              <w:spacing w:before="0" w:after="0"/>
              <w:ind w:left="0" w:right="0" w:hanging="0"/>
              <w:rPr/>
            </w:pPr>
            <w:r>
              <w:rPr/>
              <w:t>BMO Capital Markets Corp.</w:t>
              <w:br/>
              <w:t>Daiwa Capital Markets America Inc.</w:t>
              <w:br/>
              <w:t>ING Financial Markets LLC</w:t>
              <w:br/>
              <w:t>Mizuho Securities USA Inc.</w:t>
              <w:br/>
              <w:t>Morgan Stanley &amp; Co. Incorporated</w:t>
              <w:br/>
              <w:t>Scotia Capital (USA) Inc.</w:t>
              <w:br/>
              <w:t>SG Americas Securities, LLC</w:t>
              <w:br/>
              <w:t>U.S. Bancorp Investments, Inc.</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Note: A securities rating is not a recommendation to buy, sell or hold securities and may be revised or withdrawn at any time.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issuers have filed a registration statement (including a base prospectus) and a prospectus supplement with the U.S. Securities and Exchange Commission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t>
      </w:r>
      <w:r>
        <w:rPr>
          <w:rFonts w:ascii="Times New Roman;Times;serif" w:hAnsi="Times New Roman;Times;serif"/>
          <w:sz w:val="17"/>
          <w:u w:val="single"/>
        </w:rPr>
        <w:t>http://www.sec.gov</w:t>
      </w:r>
      <w:r>
        <w:rPr>
          <w:rFonts w:ascii="Times New Roman;Times;serif" w:hAnsi="Times New Roman;Times;serif"/>
          <w:sz w:val="17"/>
        </w:rPr>
        <w:t xml:space="preserve">. Alternatively, the issuers, any underwriter or any dealer participating in the offering will arrange to send you the prospectus supplement and prospectus if you request it by calling J.P. Morgan Securities LLC at (212) 834-4533, SunTrust Robinson Humphrey, Inc. toll-free at (800) 685-4786 or Wells Fargo Securities, LLC toll-free at (800) 326-5897.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531</Words>
  <CharactersWithSpaces>3287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