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240" w:right="4140" w:hanging="26"/>
        <w:spacing w:after="0" w:line="265" w:lineRule="auto"/>
        <w:tabs>
          <w:tab w:leader="none" w:pos="44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ind w:left="4560"/>
        <w:spacing w:after="0"/>
        <w:rPr>
          <w:rFonts w:ascii="Arial" w:cs="Arial" w:eastAsia="Arial" w:hAnsi="Arial"/>
          <w:sz w:val="17"/>
          <w:szCs w:val="17"/>
          <w:color w:val="auto"/>
        </w:rPr>
      </w:pPr>
      <w:r>
        <w:rPr>
          <w:rFonts w:ascii="Arial" w:cs="Arial" w:eastAsia="Arial" w:hAnsi="Arial"/>
          <w:sz w:val="18"/>
          <w:szCs w:val="18"/>
          <w:color w:val="auto"/>
        </w:rPr>
        <w:t>AMENDMENT NO. FOUR*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u w:val="single" w:color="auto"/>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Class A Shares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64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1" w:right="399" w:bottom="144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645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3940" w:hanging="818"/>
        <w:spacing w:after="0" w:line="180" w:lineRule="auto"/>
        <w:tabs>
          <w:tab w:leader="none" w:pos="1431"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Capital Advisors, L.L.C.</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39" w:lineRule="exact"/>
        <w:rPr>
          <w:sz w:val="20"/>
          <w:szCs w:val="20"/>
          <w:color w:val="auto"/>
        </w:rPr>
      </w:pPr>
    </w:p>
    <w:p>
      <w:pPr>
        <w:jc w:val="both"/>
        <w:ind w:left="1420" w:right="9400" w:hanging="798"/>
        <w:spacing w:after="0" w:line="266"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 xml:space="preserve"> (b)[x]</w:t>
      </w:r>
    </w:p>
    <w:p>
      <w:pPr>
        <w:spacing w:after="0" w:line="45"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21"/>
                <w:szCs w:val="21"/>
                <w:color w:val="auto"/>
              </w:rPr>
            </w:pPr>
          </w:p>
        </w:tc>
        <w:tc>
          <w:tcPr>
            <w:tcW w:w="440" w:type="dxa"/>
            <w:vAlign w:val="bottom"/>
            <w:tcBorders>
              <w:right w:val="single" w:sz="8" w:color="auto"/>
            </w:tcBorders>
            <w:vMerge w:val="continue"/>
          </w:tcPr>
          <w:p>
            <w:pPr>
              <w:spacing w:after="0"/>
              <w:rPr>
                <w:sz w:val="21"/>
                <w:szCs w:val="21"/>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13,586,265</w:t>
            </w:r>
          </w:p>
        </w:tc>
        <w:tc>
          <w:tcPr>
            <w:tcW w:w="0" w:type="dxa"/>
            <w:vAlign w:val="bottom"/>
          </w:tcPr>
          <w:p>
            <w:pPr>
              <w:spacing w:after="0"/>
              <w:rPr>
                <w:sz w:val="1"/>
                <w:szCs w:val="1"/>
                <w:color w:val="auto"/>
              </w:rPr>
            </w:pPr>
          </w:p>
        </w:tc>
      </w:tr>
      <w:tr>
        <w:trPr>
          <w:trHeight w:val="214"/>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Item 4)</w:t>
            </w:r>
          </w:p>
        </w:tc>
        <w:tc>
          <w:tcPr>
            <w:tcW w:w="0" w:type="dxa"/>
            <w:vAlign w:val="bottom"/>
          </w:tcPr>
          <w:p>
            <w:pPr>
              <w:spacing w:after="0"/>
              <w:rPr>
                <w:sz w:val="1"/>
                <w:szCs w:val="1"/>
                <w:color w:val="auto"/>
              </w:rPr>
            </w:pPr>
          </w:p>
        </w:tc>
      </w:tr>
      <w:tr>
        <w:trPr>
          <w:trHeight w:val="108"/>
        </w:trPr>
        <w:tc>
          <w:tcPr>
            <w:tcW w:w="2040" w:type="dxa"/>
            <w:vAlign w:val="bottom"/>
            <w:tcBorders>
              <w:right w:val="single" w:sz="8" w:color="auto"/>
            </w:tcBorders>
            <w:gridSpan w:val="2"/>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5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14"/>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13,973,270</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Item 4)</w:t>
            </w: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13,973,270</w:t>
            </w: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751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751580"/>
                    </a:xfrm>
                    <a:prstGeom prst="rect">
                      <a:avLst/>
                    </a:prstGeom>
                    <a:noFill/>
                  </pic:spPr>
                </pic:pic>
              </a:graphicData>
            </a:graphic>
          </wp:anchor>
        </w:drawing>
      </w:r>
    </w:p>
    <w:p>
      <w:pPr>
        <w:spacing w:after="0" w:line="24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3940" w:hanging="818"/>
        <w:spacing w:after="0" w:line="180" w:lineRule="auto"/>
        <w:tabs>
          <w:tab w:leader="none" w:pos="1431" w:val="left"/>
        </w:tabs>
        <w:numPr>
          <w:ilvl w:val="0"/>
          <w:numId w:val="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MLP &amp; Pipeline Fund</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39" w:lineRule="exact"/>
        <w:rPr>
          <w:sz w:val="20"/>
          <w:szCs w:val="20"/>
          <w:color w:val="auto"/>
        </w:rPr>
      </w:pPr>
    </w:p>
    <w:p>
      <w:pPr>
        <w:jc w:val="both"/>
        <w:ind w:left="1420" w:right="9400" w:hanging="798"/>
        <w:spacing w:after="0" w:line="266" w:lineRule="exact"/>
        <w:tabs>
          <w:tab w:leader="none" w:pos="142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 xml:space="preserve"> (b)[x]</w:t>
      </w:r>
    </w:p>
    <w:p>
      <w:pPr>
        <w:spacing w:after="0" w:line="45"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2" w:lineRule="auto"/>
        <w:tabs>
          <w:tab w:leader="none" w:pos="144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ectPr>
          <w:pgSz w:w="11900" w:h="16900" w:orient="portrait"/>
          <w:cols w:equalWidth="0" w:num="1">
            <w:col w:w="11240"/>
          </w:cols>
          <w:pgMar w:left="320" w:top="405" w:right="339" w:bottom="0" w:gutter="0" w:footer="0" w:header="0"/>
        </w:sectPr>
      </w:pPr>
    </w:p>
    <w:p>
      <w:pPr>
        <w:spacing w:after="0" w:line="185" w:lineRule="exact"/>
        <w:rPr>
          <w:sz w:val="20"/>
          <w:szCs w:val="20"/>
          <w:color w:val="auto"/>
        </w:rPr>
      </w:pPr>
    </w:p>
    <w:p>
      <w:pPr>
        <w:jc w:val="center"/>
        <w:ind w:left="100"/>
        <w:spacing w:after="0" w:line="277"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4"/>
        </w:trPr>
        <w:tc>
          <w:tcPr>
            <w:tcW w:w="680" w:type="dxa"/>
            <w:vAlign w:val="bottom"/>
            <w:tcBorders>
              <w:left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7"/>
        </w:trPr>
        <w:tc>
          <w:tcPr>
            <w:tcW w:w="680" w:type="dxa"/>
            <w:vAlign w:val="bottom"/>
            <w:tcBorders>
              <w:left w:val="single" w:sz="8" w:color="auto"/>
              <w:right w:val="single" w:sz="8" w:color="auto"/>
            </w:tcBorders>
            <w:vMerge w:val="continue"/>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680" w:type="dxa"/>
            <w:vAlign w:val="bottom"/>
            <w:tcBorders>
              <w:left w:val="single" w:sz="8" w:color="auto"/>
              <w:bottom w:val="single" w:sz="8" w:color="auto"/>
              <w:right w:val="single" w:sz="8" w:color="auto"/>
            </w:tcBorders>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80" w:type="dxa"/>
            <w:vAlign w:val="bottom"/>
            <w:tcBorders>
              <w:left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right w:val="single" w:sz="8" w:color="auto"/>
            </w:tcBorders>
            <w:vMerge w:val="continue"/>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11,072,508</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Item 4)</w:t>
            </w:r>
          </w:p>
        </w:tc>
        <w:tc>
          <w:tcPr>
            <w:tcW w:w="0" w:type="dxa"/>
            <w:vAlign w:val="bottom"/>
          </w:tcPr>
          <w:p>
            <w:pPr>
              <w:spacing w:after="0"/>
              <w:rPr>
                <w:sz w:val="1"/>
                <w:szCs w:val="1"/>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680" w:type="dxa"/>
            <w:vAlign w:val="bottom"/>
            <w:tcBorders>
              <w:left w:val="single" w:sz="8" w:color="auto"/>
              <w:right w:val="single" w:sz="8" w:color="auto"/>
            </w:tcBorders>
          </w:tcPr>
          <w:p>
            <w:pPr>
              <w:jc w:val="right"/>
              <w:ind w:right="98"/>
              <w:spacing w:after="0" w:line="292" w:lineRule="exact"/>
              <w:rPr>
                <w:sz w:val="20"/>
                <w:szCs w:val="20"/>
                <w:color w:val="auto"/>
              </w:rPr>
            </w:pPr>
            <w:r>
              <w:rPr>
                <w:rFonts w:ascii="Arial" w:cs="Arial" w:eastAsia="Arial" w:hAnsi="Arial"/>
                <w:sz w:val="32"/>
                <w:szCs w:val="32"/>
                <w:b w:val="1"/>
                <w:bCs w:val="1"/>
                <w:color w:val="auto"/>
              </w:rPr>
              <w:t>7</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5"/>
        </w:trPr>
        <w:tc>
          <w:tcPr>
            <w:tcW w:w="680" w:type="dxa"/>
            <w:vAlign w:val="bottom"/>
            <w:tcBorders>
              <w:left w:val="single" w:sz="8" w:color="auto"/>
              <w:right w:val="single" w:sz="8" w:color="auto"/>
            </w:tcBorders>
          </w:tcPr>
          <w:p>
            <w:pPr>
              <w:spacing w:after="0"/>
              <w:rPr>
                <w:sz w:val="13"/>
                <w:szCs w:val="13"/>
                <w:color w:val="auto"/>
              </w:rPr>
            </w:pPr>
          </w:p>
        </w:tc>
        <w:tc>
          <w:tcPr>
            <w:tcW w:w="8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2">
            <w:col w:w="1960" w:space="60"/>
            <w:col w:w="9220"/>
          </w:cols>
          <w:pgMar w:left="320" w:top="405" w:right="339" w:bottom="0" w:gutter="0" w:footer="0" w:header="0"/>
          <w:type w:val="continuous"/>
        </w:sectPr>
      </w:pPr>
    </w:p>
    <w:bookmarkStart w:id="2" w:name="page3"/>
    <w:bookmarkEnd w:id="2"/>
    <w:p>
      <w:pPr>
        <w:spacing w:after="0" w:line="166" w:lineRule="exact"/>
        <w:rPr>
          <w:sz w:val="20"/>
          <w:szCs w:val="20"/>
          <w:color w:val="auto"/>
        </w:rPr>
      </w:pPr>
    </w:p>
    <w:p>
      <w:pPr>
        <w:ind w:left="2280"/>
        <w:spacing w:after="0"/>
        <w:rPr>
          <w:sz w:val="20"/>
          <w:szCs w:val="20"/>
          <w:color w:val="auto"/>
        </w:rPr>
      </w:pPr>
      <w:r>
        <w:rPr>
          <w:rFonts w:ascii="Arial" w:cs="Arial" w:eastAsia="Arial" w:hAnsi="Arial"/>
          <w:sz w:val="28"/>
          <w:szCs w:val="28"/>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-299085</wp:posOffset>
            </wp:positionV>
            <wp:extent cx="7132320" cy="277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11,072,508</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Item 4)</w:t>
      </w:r>
    </w:p>
    <w:p>
      <w:pPr>
        <w:spacing w:after="0" w:line="80" w:lineRule="exact"/>
        <w:rPr>
          <w:sz w:val="20"/>
          <w:szCs w:val="20"/>
          <w:color w:val="auto"/>
        </w:rPr>
      </w:pPr>
    </w:p>
    <w:p>
      <w:pPr>
        <w:sectPr>
          <w:pgSz w:w="11900" w:h="16838" w:orient="portrait"/>
          <w:cols w:equalWidth="0" w:num="2">
            <w:col w:w="2440" w:space="280"/>
            <w:col w:w="8520"/>
          </w:cols>
          <w:pgMar w:left="320" w:top="405" w:right="339" w:bottom="1440" w:gutter="0" w:footer="0" w:header="0"/>
        </w:sect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spacing w:after="0" w:line="99" w:lineRule="exact"/>
        <w:rPr>
          <w:sz w:val="20"/>
          <w:szCs w:val="20"/>
          <w:color w:val="auto"/>
        </w:rPr>
      </w:pPr>
    </w:p>
    <w:p>
      <w:pPr>
        <w:ind w:left="1440" w:right="8920" w:hanging="818"/>
        <w:spacing w:after="0" w:line="227" w:lineRule="auto"/>
        <w:tabs>
          <w:tab w:leader="none" w:pos="1440" w:val="left"/>
        </w:tabs>
        <w:numPr>
          <w:ilvl w:val="0"/>
          <w:numId w:val="8"/>
        </w:numPr>
        <w:rPr>
          <w:rFonts w:ascii="Arial" w:cs="Arial" w:eastAsia="Arial" w:hAnsi="Arial"/>
          <w:sz w:val="26"/>
          <w:szCs w:val="26"/>
          <w:b w:val="1"/>
          <w:bCs w:val="1"/>
          <w:color w:val="auto"/>
        </w:rPr>
      </w:pPr>
      <w:r>
        <w:rPr>
          <w:rFonts w:ascii="Arial" w:cs="Arial" w:eastAsia="Arial" w:hAnsi="Arial"/>
          <w:sz w:val="15"/>
          <w:szCs w:val="15"/>
          <w:color w:val="auto"/>
        </w:rPr>
        <w:t>11,072,508 (See Item 4)</w:t>
      </w:r>
    </w:p>
    <w:p>
      <w:pPr>
        <w:spacing w:after="0" w:line="71" w:lineRule="exact"/>
        <w:rPr>
          <w:rFonts w:ascii="Arial" w:cs="Arial" w:eastAsia="Arial" w:hAnsi="Arial"/>
          <w:sz w:val="26"/>
          <w:szCs w:val="26"/>
          <w:b w:val="1"/>
          <w:bCs w:val="1"/>
          <w:color w:val="auto"/>
        </w:rPr>
      </w:pPr>
    </w:p>
    <w:p>
      <w:pPr>
        <w:ind w:left="1420"/>
        <w:spacing w:after="0"/>
        <w:rPr>
          <w:rFonts w:ascii="Arial" w:cs="Arial" w:eastAsia="Arial" w:hAnsi="Arial"/>
          <w:sz w:val="26"/>
          <w:szCs w:val="26"/>
          <w:b w:val="1"/>
          <w:bCs w:val="1"/>
          <w:color w:val="auto"/>
        </w:rPr>
      </w:pPr>
      <w:r>
        <w:rPr>
          <w:rFonts w:ascii="Arial" w:cs="Arial" w:eastAsia="Arial" w:hAnsi="Arial"/>
          <w:sz w:val="18"/>
          <w:szCs w:val="18"/>
          <w:b w:val="1"/>
          <w:bCs w:val="1"/>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437"/>
        </w:trPr>
        <w:tc>
          <w:tcPr>
            <w:tcW w:w="1140" w:type="dxa"/>
            <w:vAlign w:val="bottom"/>
          </w:tcPr>
          <w:p>
            <w:pPr>
              <w:jc w:val="center"/>
              <w:ind w:left="98"/>
              <w:spacing w:after="0"/>
              <w:rPr>
                <w:sz w:val="20"/>
                <w:szCs w:val="20"/>
                <w:color w:val="auto"/>
              </w:rPr>
            </w:pPr>
            <w:r>
              <w:rPr>
                <w:rFonts w:ascii="Arial" w:cs="Arial" w:eastAsia="Arial" w:hAnsi="Arial"/>
                <w:sz w:val="32"/>
                <w:szCs w:val="32"/>
                <w:b w:val="1"/>
                <w:bCs w:val="1"/>
                <w:color w:val="auto"/>
                <w:w w:val="89"/>
              </w:rPr>
              <w:t>10</w:t>
            </w:r>
          </w:p>
        </w:tc>
        <w:tc>
          <w:tcPr>
            <w:tcW w:w="10100" w:type="dxa"/>
            <w:vAlign w:val="bottom"/>
          </w:tcPr>
          <w:p>
            <w:pPr>
              <w:ind w:left="2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tcPr>
          <w:p>
            <w:pPr>
              <w:spacing w:after="0"/>
              <w:rPr>
                <w:sz w:val="14"/>
                <w:szCs w:val="14"/>
                <w:color w:val="auto"/>
              </w:rPr>
            </w:pPr>
          </w:p>
        </w:tc>
        <w:tc>
          <w:tcPr>
            <w:tcW w:w="10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jc w:val="center"/>
              <w:ind w:left="118"/>
              <w:spacing w:after="0"/>
              <w:rPr>
                <w:sz w:val="20"/>
                <w:szCs w:val="20"/>
                <w:color w:val="auto"/>
              </w:rPr>
            </w:pPr>
            <w:r>
              <w:rPr>
                <w:rFonts w:ascii="Arial" w:cs="Arial" w:eastAsia="Arial" w:hAnsi="Arial"/>
                <w:sz w:val="32"/>
                <w:szCs w:val="32"/>
                <w:b w:val="1"/>
                <w:bCs w:val="1"/>
                <w:color w:val="auto"/>
                <w:w w:val="84"/>
              </w:rPr>
              <w:t>11</w:t>
            </w:r>
          </w:p>
        </w:tc>
        <w:tc>
          <w:tcPr>
            <w:tcW w:w="10100" w:type="dxa"/>
            <w:vAlign w:val="bottom"/>
          </w:tcPr>
          <w:p>
            <w:pPr>
              <w:ind w:left="2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140" w:type="dxa"/>
            <w:vAlign w:val="bottom"/>
            <w:vMerge w:val="continue"/>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tcPr>
          <w:p>
            <w:pPr>
              <w:spacing w:after="0"/>
              <w:rPr>
                <w:sz w:val="14"/>
                <w:szCs w:val="14"/>
                <w:color w:val="auto"/>
              </w:rPr>
            </w:pPr>
          </w:p>
        </w:tc>
        <w:tc>
          <w:tcPr>
            <w:tcW w:w="10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jc w:val="center"/>
              <w:ind w:left="98"/>
              <w:spacing w:after="0"/>
              <w:rPr>
                <w:sz w:val="20"/>
                <w:szCs w:val="20"/>
                <w:color w:val="auto"/>
              </w:rPr>
            </w:pPr>
            <w:r>
              <w:rPr>
                <w:rFonts w:ascii="Arial" w:cs="Arial" w:eastAsia="Arial" w:hAnsi="Arial"/>
                <w:sz w:val="32"/>
                <w:szCs w:val="32"/>
                <w:b w:val="1"/>
                <w:bCs w:val="1"/>
                <w:color w:val="auto"/>
                <w:w w:val="89"/>
              </w:rPr>
              <w:t>12</w:t>
            </w:r>
          </w:p>
        </w:tc>
        <w:tc>
          <w:tcPr>
            <w:tcW w:w="10100" w:type="dxa"/>
            <w:vAlign w:val="bottom"/>
          </w:tcPr>
          <w:p>
            <w:pPr>
              <w:ind w:left="2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140" w:type="dxa"/>
            <w:vAlign w:val="bottom"/>
            <w:vMerge w:val="continue"/>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358"/>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type w:val="continuous"/>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Plains GP Holdings,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1600, Houston, TX 77002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This 13G is being jointly filed by Tortoise Capital Advisors, L.L.C., a Delaware limited liability company ("TCA"), and Tortoise MLP &amp; Pipeline Fund, a series of Managed Portfolio Series, a Delaware statutory trust ("TORIX").</w:t>
      </w:r>
    </w:p>
    <w:p>
      <w:pPr>
        <w:spacing w:after="0" w:line="190" w:lineRule="exact"/>
        <w:rPr>
          <w:sz w:val="20"/>
          <w:szCs w:val="20"/>
          <w:color w:val="auto"/>
        </w:rPr>
      </w:pPr>
    </w:p>
    <w:p>
      <w:pPr>
        <w:ind w:left="980" w:right="680"/>
        <w:spacing w:after="0" w:line="238" w:lineRule="auto"/>
        <w:rPr>
          <w:sz w:val="20"/>
          <w:szCs w:val="20"/>
          <w:color w:val="auto"/>
        </w:rPr>
      </w:pPr>
      <w:r>
        <w:rPr>
          <w:rFonts w:ascii="Arial" w:cs="Arial" w:eastAsia="Arial" w:hAnsi="Arial"/>
          <w:sz w:val="22"/>
          <w:szCs w:val="22"/>
          <w:color w:val="auto"/>
        </w:rPr>
        <w:t>TCA and TORIX have entered into an Agreement Regarding Joint Filing of 13G dated February 12, 2021 (the "Agreement") pursuant to which TCA and TORIX have agreed to file this 13G jointly in accordance with the provisions of Rule 13d-1(k)(1) of the Securities Exchange Act of 1934, as amended (the "Act"). A copy of the Agreement is attached hereto as Exhibit A.</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980" w:right="540"/>
        <w:spacing w:after="0" w:line="308" w:lineRule="auto"/>
        <w:rPr>
          <w:sz w:val="20"/>
          <w:szCs w:val="20"/>
          <w:color w:val="auto"/>
        </w:rPr>
      </w:pPr>
      <w:r>
        <w:rPr>
          <w:rFonts w:ascii="Arial" w:cs="Arial" w:eastAsia="Arial" w:hAnsi="Arial"/>
          <w:sz w:val="17"/>
          <w:szCs w:val="17"/>
          <w:color w:val="auto"/>
        </w:rPr>
        <w:t>The principal business address of TCA is 5100 W. 115th Place Leawood, Kansas 66211 and the principal business address of Managed Portfolio Series, the trust of which TORIX is a series, is 615 East Michigan Street, Milwaukee, Wisconsin 53202.</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 and TORIX is a series of Managed Portolio Series, a Delaware statutory trust.</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Class A Shares Representing Limited Partner Interests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TCA is an investment adviser in accordance with Rule 13d-1(b)(1)(ii)(E) and TORIX is an investment company registered under Section 8 of the Investment Company Act of 1940 (15 U.S.C. 80a-8).</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TCA acts as an investment advisor to certain investment companies registered under the Investment Company Act of 1940, including TORIX. TCA,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virtue of investment advisory agreements with these investment companies, has all investment and voting power over securities owned of record by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companies. However, despite their delegation of investment and voting power to TCA, these investment companies may be deemed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 under Rule 13d-3 of the Act, of the securities they own of record because they have the right to acquire investment and voting power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termination of their investment advisory agreement with TCA. Thus, TCA has reported that it shares voting power and dispositive power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owned of record by these investment companies, and TORIX has reported that it shares voting power and dispositive power over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of record by it. TCA also acts as an investment advisor to certain managed accounts. Under contractual agreements with these managed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clients, TCA has voting and/or investment power. TCA has reported that it shares voting and/or investment power over the securities held by these client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managed accounts despite a delegation of voting and/or investment power to TCA because the clients have the right to acquire voting and/or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investment power through termination of their agreements with TCA. TCA may be deemed the beneficial owner of the securities covered by this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Rule 13d-3 of the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Tortoise Capital Advisors, L.L.C.</w:t>
      </w:r>
    </w:p>
    <w:p>
      <w:pPr>
        <w:spacing w:after="0" w:line="252" w:lineRule="exact"/>
        <w:rPr>
          <w:sz w:val="20"/>
          <w:szCs w:val="20"/>
          <w:color w:val="auto"/>
        </w:rPr>
      </w:pPr>
    </w:p>
    <w:p>
      <w:pPr>
        <w:ind w:left="1300" w:right="786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Amount beneficially owned: 13,973,270</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7.6%</w:t>
      </w:r>
    </w:p>
    <w:p>
      <w:pPr>
        <w:spacing w:after="0" w:line="237" w:lineRule="exact"/>
        <w:rPr>
          <w:rFonts w:ascii="Arial" w:cs="Arial" w:eastAsia="Arial" w:hAnsi="Arial"/>
          <w:sz w:val="18"/>
          <w:szCs w:val="18"/>
          <w:color w:val="auto"/>
        </w:rPr>
      </w:pPr>
    </w:p>
    <w:p>
      <w:pPr>
        <w:ind w:left="1340" w:hanging="360"/>
        <w:spacing w:after="0"/>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4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56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13,586,265</w:t>
      </w:r>
    </w:p>
    <w:p>
      <w:pPr>
        <w:spacing w:after="0" w:line="197" w:lineRule="exact"/>
        <w:rPr>
          <w:rFonts w:ascii="Arial" w:cs="Arial" w:eastAsia="Arial" w:hAnsi="Arial"/>
          <w:sz w:val="18"/>
          <w:szCs w:val="18"/>
          <w:color w:val="auto"/>
        </w:rPr>
      </w:pPr>
    </w:p>
    <w:p>
      <w:pPr>
        <w:ind w:left="1620" w:right="582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64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13,973,270</w:t>
      </w:r>
    </w:p>
    <w:p>
      <w:pPr>
        <w:spacing w:after="0" w:line="190"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Tortoise MLP &amp; Pipeline Fund</w:t>
      </w:r>
    </w:p>
    <w:p>
      <w:pPr>
        <w:spacing w:after="0" w:line="240" w:lineRule="exact"/>
        <w:rPr>
          <w:rFonts w:ascii="Arial" w:cs="Arial" w:eastAsia="Arial" w:hAnsi="Arial"/>
          <w:sz w:val="22"/>
          <w:szCs w:val="22"/>
          <w:color w:val="auto"/>
        </w:rPr>
      </w:pPr>
    </w:p>
    <w:p>
      <w:pPr>
        <w:ind w:left="1300" w:right="786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beneficially owned: 11,072,508</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6.0%</w:t>
      </w:r>
    </w:p>
    <w:p>
      <w:pPr>
        <w:spacing w:after="0" w:line="237" w:lineRule="exact"/>
        <w:rPr>
          <w:rFonts w:ascii="Arial" w:cs="Arial" w:eastAsia="Arial" w:hAnsi="Arial"/>
          <w:sz w:val="18"/>
          <w:szCs w:val="18"/>
          <w:color w:val="auto"/>
        </w:rPr>
      </w:pPr>
    </w:p>
    <w:p>
      <w:pPr>
        <w:ind w:left="1340" w:hanging="360"/>
        <w:spacing w:after="0"/>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4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56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11,072,508</w:t>
      </w:r>
    </w:p>
    <w:p>
      <w:pPr>
        <w:spacing w:after="0" w:line="197" w:lineRule="exact"/>
        <w:rPr>
          <w:rFonts w:ascii="Arial" w:cs="Arial" w:eastAsia="Arial" w:hAnsi="Arial"/>
          <w:sz w:val="18"/>
          <w:szCs w:val="18"/>
          <w:color w:val="auto"/>
        </w:rPr>
      </w:pPr>
    </w:p>
    <w:p>
      <w:pPr>
        <w:ind w:left="1620" w:right="582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64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11,072,508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investment companies and the managed accounts discussed in Item 4 above have the right to receive all dividends from, and the proceeds from the sale of, the securities held in their respective accounts. Except for TORIX, the interest of any one such person does not exceed 5% of the class of securities.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jc w:val="center"/>
        <w:ind w:right="79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40"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2021</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Compliance Officer and Managing Director</w:t>
      </w: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MLP &amp; PIPELINE FUND, A SERIES OF MANAGED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PORTFOLIO SERIES</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TORTOISE CAPITAL ADVISORS, L.L.C. AS ADVISOR TO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FUND</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1361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AGREEMENT REGARDING THE JOINT FILING OF SCHEDULE 13G</w:t>
      </w:r>
    </w:p>
    <w:p>
      <w:pPr>
        <w:spacing w:after="0" w:line="252" w:lineRule="exact"/>
        <w:rPr>
          <w:sz w:val="20"/>
          <w:szCs w:val="20"/>
          <w:color w:val="auto"/>
        </w:rPr>
      </w:pPr>
    </w:p>
    <w:p>
      <w:pPr>
        <w:jc w:val="both"/>
        <w:ind w:firstLine="199"/>
        <w:spacing w:after="0" w:line="263"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Units Representing Limited Partner Interests of Plains GP Holdings, L.P., and further agree that this agreement be included as an exhibit to such filings.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xx day of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Compliance Officer and Managing Director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TORTOISE MLP &amp; PIPELINE FUND, A SERIES OF MANAGED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PORTFOLIO SERIES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TORTOISE CAPITAL ADVISORS, L.L.C. AS ADVISOR TO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FUND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23495</wp:posOffset>
            </wp:positionV>
            <wp:extent cx="33686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4"/>
    </w:lvl>
  </w:abstractNum>
  <w:abstractNum w:abstractNumId="1">
    <w:nsid w:val="507ED7AB"/>
    <w:multiLevelType w:val="hybridMultilevel"/>
    <w:lvl w:ilvl="0">
      <w:lvlJc w:val="left"/>
      <w:lvlText w:val="[%1]"/>
      <w:numFmt w:val="lowerRoman"/>
      <w:start w:val="10"/>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9"/>
      <w:numFmt w:val="bullet"/>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
    <w:nsid w:val="4DB12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2021-02-12T08:24:24Z</dcterms:created>
  <dcterms:modified xsi:type="dcterms:W3CDTF">2021-02-12T08:24:24Z</dcterms:modified>
</cp:coreProperties>
</file>