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August 17, 2023</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21"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838" w:orient="portrait"/>
          <w:cols w:equalWidth="0" w:num="3">
            <w:col w:w="3920" w:space="720"/>
            <w:col w:w="2800" w:space="720"/>
            <w:col w:w="3080"/>
          </w:cols>
          <w:pgMar w:left="320" w:top="760" w:right="339" w:bottom="1440" w:gutter="0" w:footer="0" w:header="0"/>
          <w:type w:val="continuous"/>
        </w:sectPr>
      </w:pPr>
    </w:p>
    <w:p>
      <w:pPr>
        <w:ind w:left="134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72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240"/>
          </w:cols>
          <w:pgMar w:left="320" w:top="760" w:right="339" w:bottom="1440" w:gutter="0" w:footer="0" w:header="0"/>
          <w:type w:val="continuous"/>
        </w:sectPr>
      </w:pPr>
    </w:p>
    <w:p>
      <w:pPr>
        <w:spacing w:after="0" w:line="24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498" w:lineRule="auto"/>
        <w:tabs>
          <w:tab w:leader="none" w:pos="64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On August 17, 2023, Amendment No. 3 (the “AAP Amendment”) to the Eighth Amended and Restated Limited Partnership Agreement of Plains AAP, L.P. (“AAP”) dated November 15, 2016 (as amended by Amendment No. 1 thereto dated September 26, 2018 and Amendment No. 2 thereto dated May 23, 2019, the “AAP LP Agreement”) was executed by its general partner, Plains All American GP LLC, to revise the definition of the term “Permitted Transfer” thereunder to allow KAFU Holdings (QP), L.P. (“KAFU”) to make transfers of its Partnership Group Interests (consisting of an equal number of Class A Units of AAP, Class B Shares of Plains GP Holdings, L.P. and Holdings GP Units of PAA GP Holdings LLC) to one or more of its limited partners, provided that any such transfer, when considered together with contemporaneous transfers by KAFU of any portion of its Partnership Group Interests to affiliates of such limited partner, involves an aggregate of no less than 125,000 Partnership Group Interests.</w:t>
      </w:r>
    </w:p>
    <w:p>
      <w:pPr>
        <w:spacing w:after="0" w:line="17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foregoing description is qualified in its entirety by reference to the full text of the AAP Amendment, which is filed as Exhibit 3.1 hereto and is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6"/>
          <w:szCs w:val="16"/>
          <w:u w:val="single" w:color="auto"/>
          <w:color w:val="0000EE"/>
        </w:rPr>
        <w:t>Exhibit 3.1 Amendment No. 3 dated August 17, 2023 to the Eighth Amended and Restated Limited Partnership Agreement of Plains AAP, L.P.</w:t>
      </w:r>
    </w:p>
    <w:p>
      <w:pPr>
        <w:spacing w:after="0" w:line="46" w:lineRule="exact"/>
        <w:rPr>
          <w:sz w:val="20"/>
          <w:szCs w:val="20"/>
          <w:color w:val="auto"/>
        </w:rPr>
      </w:pPr>
    </w:p>
    <w:p>
      <w:pPr>
        <w:ind w:left="1480"/>
        <w:spacing w:after="0"/>
        <w:rPr>
          <w:sz w:val="20"/>
          <w:szCs w:val="20"/>
          <w:color w:val="auto"/>
        </w:rPr>
      </w:pPr>
      <w:r>
        <w:rPr>
          <w:rFonts w:ascii="Arial" w:cs="Arial" w:eastAsia="Arial" w:hAnsi="Arial"/>
          <w:sz w:val="18"/>
          <w:szCs w:val="18"/>
          <w:u w:val="single" w:color="auto"/>
          <w:color w:val="0000EE"/>
        </w:rPr>
        <w:t>dated November 15, 2016.</w:t>
      </w:r>
    </w:p>
    <w:p>
      <w:pPr>
        <w:spacing w:after="0" w:line="211" w:lineRule="exact"/>
        <w:rPr>
          <w:sz w:val="20"/>
          <w:szCs w:val="20"/>
          <w:color w:val="auto"/>
        </w:rPr>
      </w:pPr>
    </w:p>
    <w:p>
      <w:pPr>
        <w:ind w:left="580"/>
        <w:spacing w:after="0"/>
        <w:tabs>
          <w:tab w:leader="none" w:pos="14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August 21, 2023</w:t>
      </w:r>
      <w:r>
        <w:rPr>
          <w:sz w:val="20"/>
          <w:szCs w:val="20"/>
          <w:color w:val="auto"/>
        </w:rPr>
        <w:tab/>
      </w:r>
      <w:r>
        <w:rPr>
          <w:rFonts w:ascii="Arial" w:cs="Arial" w:eastAsia="Arial" w:hAnsi="Arial"/>
          <w:sz w:val="16"/>
          <w:szCs w:val="16"/>
          <w:color w:val="auto"/>
        </w:rPr>
        <w:t>By: PAA GP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3.1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EIGHTH 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PARTNERSHIP AGREEMENT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AAP, L.P.</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Amendment No. 3 (this “Amendment”) to the Eighth Amended and Restated Limited Partnership Agreement of Plains AAP, L.P., a Delaware limited partnership (the “Company”), dated as of November 15, 2016 (as amended by Amendment No. 1 dated September 26, 2018 and Amendment No. 2 dated May 23, 2019, the “LP Agreement”), is made and entered into as of August 17, 2023. Capitalized terms used but not defined herein shall have the meaning given such terms in the LP Agreement.</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11.2(a) of the LP Agreement provides that, except as otherwise expressly provided, the LP Agreement may not be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modified, superseded or restated without the approval of the General Partner, subject to specified exceptions that are not applicable to the changes contemplated by this Amendment; and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Holdings GP, acting on behalf of the General Partner, has approved this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pursuant to Section 11.2(a) of the Agreement, the Agreement is hereby amended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u w:val="single" w:color="auto"/>
          <w:color w:val="auto"/>
        </w:rPr>
        <w:t>Section 1</w:t>
      </w:r>
      <w:r>
        <w:rPr>
          <w:rFonts w:ascii="Arial" w:cs="Arial" w:eastAsia="Arial" w:hAnsi="Arial"/>
          <w:sz w:val="17"/>
          <w:szCs w:val="17"/>
          <w:color w:val="auto"/>
        </w:rPr>
        <w:t>.         The definition of Permitted Transfer in Article 1 of the LP Agreement is hereby amended and restated to read as follows:</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w:t>
      </w:r>
      <w:r>
        <w:rPr>
          <w:rFonts w:ascii="Arial" w:cs="Arial" w:eastAsia="Arial" w:hAnsi="Arial"/>
          <w:sz w:val="18"/>
          <w:szCs w:val="18"/>
          <w:color w:val="auto"/>
        </w:rPr>
        <w:t>” shall mean:</w:t>
      </w:r>
    </w:p>
    <w:p>
      <w:pPr>
        <w:spacing w:after="0" w:line="225" w:lineRule="exact"/>
        <w:rPr>
          <w:sz w:val="20"/>
          <w:szCs w:val="20"/>
          <w:color w:val="auto"/>
        </w:rPr>
      </w:pPr>
    </w:p>
    <w:p>
      <w:pPr>
        <w:jc w:val="both"/>
        <w:ind w:left="340" w:firstLine="324"/>
        <w:spacing w:after="0" w:line="275" w:lineRule="auto"/>
        <w:rPr>
          <w:sz w:val="20"/>
          <w:szCs w:val="20"/>
          <w:color w:val="auto"/>
        </w:rPr>
      </w:pPr>
      <w:r>
        <w:rPr>
          <w:rFonts w:ascii="Arial" w:cs="Arial" w:eastAsia="Arial" w:hAnsi="Arial"/>
          <w:sz w:val="17"/>
          <w:szCs w:val="17"/>
          <w:color w:val="auto"/>
        </w:rPr>
        <w:t xml:space="preserve">(a)            with respect to a Partnership Group Interest, a Transfer by any Partner who is a natural person to (i) such Partner’s spouse, children (including legally adopted children and stepchildren), spouses of children or grandchildren or spouses of grandchildren; (ii) a trust for the benefit of the Partner and/or any of the Persons described in clause (i); or (iii) a limited partnership or limited liability company whose sole partners or members, as the case may be, are the Partner and/or any of the Persons described in clause (i) or clause (ii); </w:t>
      </w:r>
      <w:r>
        <w:rPr>
          <w:rFonts w:ascii="Arial" w:cs="Arial" w:eastAsia="Arial" w:hAnsi="Arial"/>
          <w:sz w:val="17"/>
          <w:szCs w:val="17"/>
          <w:i w:val="1"/>
          <w:iCs w:val="1"/>
          <w:color w:val="auto"/>
        </w:rPr>
        <w:t>provided</w:t>
      </w:r>
      <w:r>
        <w:rPr>
          <w:rFonts w:ascii="Arial" w:cs="Arial" w:eastAsia="Arial" w:hAnsi="Arial"/>
          <w:sz w:val="17"/>
          <w:szCs w:val="17"/>
          <w:color w:val="auto"/>
        </w:rPr>
        <w:t>, that in any of clauses (i), (ii) or (iii), the Partner transferring such Partnership Group Interest retains exclusive power to exercise all rights under this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a Transfer of a Partnership Group Interest by any Partner to the Partnership;</w:t>
      </w:r>
    </w:p>
    <w:p>
      <w:pPr>
        <w:spacing w:after="0" w:line="225" w:lineRule="exact"/>
        <w:rPr>
          <w:sz w:val="20"/>
          <w:szCs w:val="20"/>
          <w:color w:val="auto"/>
        </w:rPr>
      </w:pPr>
    </w:p>
    <w:p>
      <w:pPr>
        <w:jc w:val="both"/>
        <w:ind w:left="340" w:right="20" w:firstLine="324"/>
        <w:spacing w:after="0" w:line="263" w:lineRule="auto"/>
        <w:rPr>
          <w:sz w:val="20"/>
          <w:szCs w:val="20"/>
          <w:color w:val="auto"/>
        </w:rPr>
      </w:pPr>
      <w:r>
        <w:rPr>
          <w:rFonts w:ascii="Arial" w:cs="Arial" w:eastAsia="Arial" w:hAnsi="Arial"/>
          <w:sz w:val="18"/>
          <w:szCs w:val="18"/>
          <w:color w:val="auto"/>
        </w:rPr>
        <w:t xml:space="preserve">(c)            with respect to a Partnership Group Interest, a Transfer by a Partner to any Affiliate of such Partner;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transfer shall be a Permitted Transfer only so long as such Partnership Group Interest or is held by such Affiliate or is otherwise transferred in another Permitted Transfer;</w:t>
      </w:r>
    </w:p>
    <w:p>
      <w:pPr>
        <w:spacing w:after="0" w:line="184"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(d)            with respect to Class B Units, a Transfer permitted under the applicable Class B Restricted Unit Agreement and any Transfer of Vested Units in accordance with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jc w:val="both"/>
        <w:ind w:left="340" w:firstLine="324"/>
        <w:spacing w:after="0" w:line="259" w:lineRule="auto"/>
        <w:rPr>
          <w:sz w:val="20"/>
          <w:szCs w:val="20"/>
          <w:color w:val="auto"/>
        </w:rPr>
      </w:pPr>
      <w:r>
        <w:rPr>
          <w:rFonts w:ascii="Arial" w:cs="Arial" w:eastAsia="Arial" w:hAnsi="Arial"/>
          <w:sz w:val="18"/>
          <w:szCs w:val="18"/>
          <w:color w:val="auto"/>
        </w:rPr>
        <w:t xml:space="preserve">(e)            with respect to a Partnership Group Interest, (i) a Transfer by either of EMG or Kayne Anderson to one of its members or partners, as applicable or (ii) a Transfer by a Partner that has been approved by the Board and is being made in order to facilitate a bona fide charitable contribution or estate planning transaction; </w:t>
      </w:r>
      <w:r>
        <w:rPr>
          <w:rFonts w:ascii="Arial" w:cs="Arial" w:eastAsia="Arial" w:hAnsi="Arial"/>
          <w:sz w:val="18"/>
          <w:szCs w:val="18"/>
          <w:i w:val="1"/>
          <w:iCs w:val="1"/>
          <w:color w:val="auto"/>
        </w:rPr>
        <w:t>provided</w:t>
      </w:r>
      <w:r>
        <w:rPr>
          <w:rFonts w:ascii="Arial" w:cs="Arial" w:eastAsia="Arial" w:hAnsi="Arial"/>
          <w:sz w:val="18"/>
          <w:szCs w:val="18"/>
          <w:color w:val="auto"/>
        </w:rPr>
        <w:t>, in each case that such transferee agrees as a condition to such Transfer to effect, and actually effects, a substantially concurrent Exchange of such Partnership Group Interest;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             a Transfer by PAGP of Class A Units to an Affiliate of PAGP;</w:t>
      </w:r>
    </w:p>
    <w:p>
      <w:pPr>
        <w:spacing w:after="0" w:line="225"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(g)            a Transfer by PAA Management, L.P. of Partnership Group Interests to its partners or a Transfer by PAA Management, LLC of Partnership Group Interests to its members, in each case, pursuant to a voluntary dissolution and winding up process;</w:t>
      </w:r>
    </w:p>
    <w:p>
      <w:pPr>
        <w:spacing w:after="0" w:line="170" w:lineRule="exact"/>
        <w:rPr>
          <w:sz w:val="20"/>
          <w:szCs w:val="20"/>
          <w:color w:val="auto"/>
        </w:rPr>
      </w:pPr>
    </w:p>
    <w:p>
      <w:pPr>
        <w:jc w:val="both"/>
        <w:ind w:left="340" w:firstLine="324"/>
        <w:spacing w:after="0" w:line="291" w:lineRule="auto"/>
        <w:rPr>
          <w:sz w:val="20"/>
          <w:szCs w:val="20"/>
          <w:color w:val="auto"/>
        </w:rPr>
      </w:pPr>
      <w:r>
        <w:rPr>
          <w:rFonts w:ascii="Arial" w:cs="Arial" w:eastAsia="Arial" w:hAnsi="Arial"/>
          <w:sz w:val="16"/>
          <w:szCs w:val="16"/>
          <w:color w:val="auto"/>
        </w:rPr>
        <w:t>(h)            a Transfer by a De Minimis Qualifying Partner of all or any portion of such De Minimis Qualifying Partner’s Partnership Group Interest to (i) in the case of a De Minimis Qualifying Partner who is a natural person, the individuals and entities described in clauses (a)(i)-(iii) immediately above (it being understood that the term “spouse” shall include an ex-spouse if such Transfer is being made in connection with a divorce proceeding or settlement), and (ii) in the case of a De Minimis Qualifying Partner who is not a natural person, a Person who is a beneficial owner of such De Minimis Qualifying Partner and who is receiving such Transfer in respect of such beneficial ownership interest; provided, in each case, that such Transfer has been approved by the Board (as used herein, the term “De Minimis Qualifying Partner” shall mean any Partner that is a natural person and any Partner that is not a natural person who owns less than 0.50% of the total number of issued and outstanding Partnership Group Interests at such time);</w:t>
      </w:r>
    </w:p>
    <w:p>
      <w:pPr>
        <w:spacing w:after="0" w:line="166"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(i)             a Transfer by EMG of a portion of its Partnership Group Interest to one or more of its members, provided that any such Transfer, when considered together with contemporaneous Transfers by EMG of any portion of its Partnership Group Interest to Affiliates of such member, involves an aggregate of no less than 125,000 Partnership Group Interests;</w:t>
      </w:r>
    </w:p>
    <w:p>
      <w:pPr>
        <w:spacing w:after="0" w:line="184"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(j)             a Transfer by KAFU Holdings (QP), L.P. (“KAFU”) of a portion of its Partnership Group Interest to one or more of its limited partners, provided that any such Transfer, when considered together with contemporaneous Transfers by KAFU of any portion of its Partnership Group Interest to Affiliates of such limited partner, involves an aggregate of no less than 125,000 Partnership Group Interests; and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(k)            a Transfer in accordance with the provisions of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7.11</w:t>
      </w:r>
      <w:r>
        <w:rPr>
          <w:rFonts w:ascii="Arial" w:cs="Arial" w:eastAsia="Arial" w:hAnsi="Arial"/>
          <w:sz w:val="18"/>
          <w:szCs w:val="18"/>
          <w:color w:val="auto"/>
        </w:rPr>
        <w: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no Permitted Transfer shall be effective unless and until the transferee of the Partnership Group Interest or Class B Units so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Transferred complies with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Except in the case of a Permitted Transfer pursuant to clause (a) and (b) above, and subject to compliance with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a Permitted Transferee of the Partnership Group Interest or Class B Units subject to a Permitted Transfer shall become a substitute Limited Partner as described in </w:t>
      </w:r>
      <w:r>
        <w:rPr>
          <w:rFonts w:ascii="Arial" w:cs="Arial" w:eastAsia="Arial" w:hAnsi="Arial"/>
          <w:sz w:val="16"/>
          <w:szCs w:val="16"/>
          <w:u w:val="single" w:color="auto"/>
          <w:color w:val="auto"/>
        </w:rPr>
        <w:t>Section 7.4</w:t>
      </w:r>
      <w:r>
        <w:rPr>
          <w:rFonts w:ascii="Arial" w:cs="Arial" w:eastAsia="Arial" w:hAnsi="Arial"/>
          <w:sz w:val="16"/>
          <w:szCs w:val="16"/>
          <w:color w:val="auto"/>
        </w:rPr>
        <w:t>. No Permitted Transfer shall conflict with or result in any violation of any judgment, order, decree, statute, law, ordinance, rule or regulation or require the Partnership, if not currently subject, to become subject, or if currently subject, to become subject to a greater extent, to any statute, law, ordinance, rule or regulation, excluding matters of a ministerial nature that are not materially burdensome to the Partnership.</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ind w:left="660"/>
        <w:spacing w:after="0"/>
        <w:rPr>
          <w:sz w:val="20"/>
          <w:szCs w:val="20"/>
          <w:color w:val="auto"/>
        </w:rPr>
      </w:pPr>
      <w:r>
        <w:rPr>
          <w:rFonts w:ascii="Arial" w:cs="Arial" w:eastAsia="Arial" w:hAnsi="Arial"/>
          <w:sz w:val="18"/>
          <w:szCs w:val="18"/>
          <w:b w:val="1"/>
          <w:bCs w:val="1"/>
          <w:u w:val="single" w:color="auto"/>
          <w:color w:val="auto"/>
        </w:rPr>
        <w:t>Section 2</w:t>
      </w:r>
      <w:r>
        <w:rPr>
          <w:rFonts w:ascii="Arial" w:cs="Arial" w:eastAsia="Arial" w:hAnsi="Arial"/>
          <w:sz w:val="18"/>
          <w:szCs w:val="18"/>
          <w:color w:val="auto"/>
        </w:rPr>
        <w:t>.         Except as hereby amended, the LP Agreement shall remain in full force and effect.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u w:val="single" w:color="auto"/>
          <w:color w:val="auto"/>
        </w:rPr>
        <w:t>Section 3</w:t>
      </w:r>
      <w:r>
        <w:rPr>
          <w:rFonts w:ascii="Arial" w:cs="Arial" w:eastAsia="Arial" w:hAnsi="Arial"/>
          <w:sz w:val="18"/>
          <w:szCs w:val="18"/>
          <w:color w:val="auto"/>
        </w:rPr>
        <w:t>.         This Amendment shall be governed by, and interpreted in accordance with, the laws of the State of Delaware, all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remedies being governed by such laws without regard to principles of conflicts of laws.</w:t>
      </w:r>
    </w:p>
    <w:p>
      <w:pPr>
        <w:spacing w:after="0" w:line="16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u w:val="single" w:color="auto"/>
          <w:color w:val="auto"/>
        </w:rPr>
        <w:t>Section 4</w:t>
      </w:r>
      <w:r>
        <w:rPr>
          <w:rFonts w:ascii="Arial" w:cs="Arial" w:eastAsia="Arial" w:hAnsi="Arial"/>
          <w:sz w:val="18"/>
          <w:szCs w:val="18"/>
          <w:color w:val="auto"/>
        </w:rPr>
        <w:t>.         If any provision of this Amendment is or becomes invalid, illegal or unenforceable in any respect, the validity, legality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the remaining provisions contained herein shall not be effected thereby.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Amendment has been executed by the General Partner as of August 17, 2023.</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ALL AMERICAN GP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Richard K. McGee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2023-08-21T16:47:37Z</dcterms:created>
  <dcterms:modified xsi:type="dcterms:W3CDTF">2023-08-21T16:47:37Z</dcterms:modified>
</cp:coreProperties>
</file>