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19"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333-184137</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August 8,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27,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135890</wp:posOffset>
            </wp:positionV>
            <wp:extent cx="1697990"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99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PAA Finance Corp.</w:t>
      </w:r>
    </w:p>
    <w:p>
      <w:pPr>
        <w:spacing w:after="0" w:line="17" w:lineRule="exact"/>
        <w:rPr>
          <w:sz w:val="24"/>
          <w:szCs w:val="24"/>
          <w:color w:val="auto"/>
        </w:rPr>
      </w:pPr>
    </w:p>
    <w:p>
      <w:pPr>
        <w:ind w:left="5100" w:hanging="832"/>
        <w:spacing w:after="0"/>
        <w:tabs>
          <w:tab w:leader="none" w:pos="51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Senior Notes due</w:t>
      </w:r>
    </w:p>
    <w:p>
      <w:pPr>
        <w:sectPr>
          <w:pgSz w:w="11900" w:h="16838" w:orient="portrait"/>
          <w:cols w:equalWidth="0" w:num="1">
            <w:col w:w="11420"/>
          </w:cols>
          <w:pgMar w:left="240" w:top="230" w:right="239" w:bottom="1440" w:gutter="0" w:footer="0" w:header="0"/>
        </w:sectPr>
      </w:pPr>
    </w:p>
    <w:p>
      <w:pPr>
        <w:spacing w:after="0" w:line="175" w:lineRule="exact"/>
        <w:rPr>
          <w:sz w:val="24"/>
          <w:szCs w:val="24"/>
          <w:color w:val="auto"/>
        </w:rPr>
      </w:pPr>
    </w:p>
    <w:p>
      <w:pPr>
        <w:ind w:left="360"/>
        <w:spacing w:after="0"/>
        <w:rPr>
          <w:sz w:val="20"/>
          <w:szCs w:val="20"/>
          <w:color w:val="auto"/>
        </w:rPr>
      </w:pPr>
      <w:r>
        <w:rPr>
          <w:rFonts w:ascii="Arial" w:cs="Arial" w:eastAsia="Arial" w:hAnsi="Arial"/>
          <w:sz w:val="16"/>
          <w:szCs w:val="16"/>
          <w:color w:val="auto"/>
        </w:rPr>
        <w:t>Plains All American Pipeline, L.P. and PAA Finance Corp. are offering $</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million aggregate principal amount of</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color w:val="auto"/>
        </w:rPr>
        <w:t>% Senior Notes due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(the</w:t>
      </w:r>
    </w:p>
    <w:p>
      <w:pPr>
        <w:spacing w:after="0" w:line="38" w:lineRule="exact"/>
        <w:rPr>
          <w:sz w:val="24"/>
          <w:szCs w:val="24"/>
          <w:color w:val="auto"/>
        </w:rPr>
      </w:pPr>
    </w:p>
    <w:p>
      <w:pPr>
        <w:sectPr>
          <w:pgSz w:w="11900" w:h="16838" w:orient="portrait"/>
          <w:cols w:equalWidth="0" w:num="4">
            <w:col w:w="5480" w:space="400"/>
            <w:col w:w="2660" w:space="380"/>
            <w:col w:w="1400" w:space="620"/>
            <w:col w:w="480"/>
          </w:cols>
          <w:pgMar w:left="240" w:top="230"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“Notes”).</w:t>
      </w:r>
    </w:p>
    <w:p>
      <w:pPr>
        <w:sectPr>
          <w:pgSz w:w="11900" w:h="16838" w:orient="portrait"/>
          <w:cols w:equalWidth="0" w:num="1">
            <w:col w:w="11420"/>
          </w:cols>
          <w:pgMar w:left="240" w:top="230" w:right="239" w:bottom="1440" w:gutter="0" w:footer="0" w:header="0"/>
          <w:type w:val="continuous"/>
        </w:sectPr>
      </w:pPr>
    </w:p>
    <w:p>
      <w:pPr>
        <w:spacing w:after="0" w:line="18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We will pay interest on the Notes semi-annually in arrears 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40"/>
        <w:spacing w:after="0"/>
        <w:rPr>
          <w:sz w:val="20"/>
          <w:szCs w:val="20"/>
          <w:color w:val="auto"/>
        </w:rPr>
      </w:pPr>
      <w:r>
        <w:rPr>
          <w:rFonts w:ascii="Arial" w:cs="Arial" w:eastAsia="Arial" w:hAnsi="Arial"/>
          <w:sz w:val="15"/>
          <w:szCs w:val="15"/>
          <w:color w:val="auto"/>
        </w:rPr>
        <w:t>and</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of each year, beginning 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 2014. The Notes will</w:t>
      </w:r>
    </w:p>
    <w:p>
      <w:pPr>
        <w:spacing w:after="0" w:line="38" w:lineRule="exact"/>
        <w:rPr>
          <w:sz w:val="24"/>
          <w:szCs w:val="24"/>
          <w:color w:val="auto"/>
        </w:rPr>
      </w:pPr>
    </w:p>
    <w:p>
      <w:pPr>
        <w:sectPr>
          <w:pgSz w:w="11900" w:h="16838" w:orient="portrait"/>
          <w:cols w:equalWidth="0" w:num="4">
            <w:col w:w="4840" w:space="720"/>
            <w:col w:w="500" w:space="720"/>
            <w:col w:w="2060" w:space="720"/>
            <w:col w:w="1860"/>
          </w:cols>
          <w:pgMar w:left="240" w:top="230" w:right="239" w:bottom="1440" w:gutter="0" w:footer="0" w:header="0"/>
          <w:type w:val="continuous"/>
        </w:sectPr>
      </w:pPr>
    </w:p>
    <w:p>
      <w:pPr>
        <w:spacing w:after="0"/>
        <w:tabs>
          <w:tab w:leader="none" w:pos="1620" w:val="left"/>
          <w:tab w:leader="none" w:pos="2240" w:val="left"/>
        </w:tabs>
        <w:rPr>
          <w:sz w:val="20"/>
          <w:szCs w:val="20"/>
          <w:color w:val="auto"/>
        </w:rPr>
      </w:pPr>
      <w:r>
        <w:rPr>
          <w:rFonts w:ascii="Arial" w:cs="Arial" w:eastAsia="Arial" w:hAnsi="Arial"/>
          <w:sz w:val="18"/>
          <w:szCs w:val="18"/>
          <w:color w:val="auto"/>
        </w:rPr>
        <w:t>mature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unless redeemed prior to the maturity date.</w:t>
      </w:r>
    </w:p>
    <w:p>
      <w:pPr>
        <w:sectPr>
          <w:pgSz w:w="11900" w:h="16838" w:orient="portrait"/>
          <w:cols w:equalWidth="0" w:num="1">
            <w:col w:w="11420"/>
          </w:cols>
          <w:pgMar w:left="240" w:top="230" w:right="239" w:bottom="1440" w:gutter="0" w:footer="0" w:header="0"/>
          <w:type w:val="continuous"/>
        </w:sectPr>
      </w:pPr>
    </w:p>
    <w:p>
      <w:pPr>
        <w:spacing w:after="0" w:line="165" w:lineRule="exact"/>
        <w:rPr>
          <w:sz w:val="24"/>
          <w:szCs w:val="24"/>
          <w:color w:val="auto"/>
        </w:rPr>
      </w:pPr>
    </w:p>
    <w:p>
      <w:pPr>
        <w:ind w:right="360" w:firstLine="342"/>
        <w:spacing w:after="0" w:line="268"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32" w:lineRule="exact"/>
        <w:rPr>
          <w:sz w:val="24"/>
          <w:szCs w:val="24"/>
          <w:color w:val="auto"/>
        </w:rPr>
      </w:pPr>
    </w:p>
    <w:p>
      <w:pPr>
        <w:ind w:right="220" w:firstLine="342"/>
        <w:spacing w:after="0" w:line="268" w:lineRule="auto"/>
        <w:rPr>
          <w:sz w:val="20"/>
          <w:szCs w:val="20"/>
          <w:color w:val="auto"/>
        </w:rPr>
      </w:pPr>
      <w:r>
        <w:rPr>
          <w:rFonts w:ascii="Arial" w:cs="Arial" w:eastAsia="Arial" w:hAnsi="Arial"/>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32" w:lineRule="exact"/>
        <w:rPr>
          <w:sz w:val="24"/>
          <w:szCs w:val="24"/>
          <w:color w:val="auto"/>
        </w:rPr>
      </w:pPr>
    </w:p>
    <w:p>
      <w:pPr>
        <w:ind w:right="420" w:firstLine="342"/>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126" w:lineRule="exact"/>
        <w:rPr>
          <w:sz w:val="24"/>
          <w:szCs w:val="24"/>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hyperlink w:anchor="page1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S-6 of this prospectus supplement.</w:t>
      </w:r>
    </w:p>
    <w:p>
      <w:pPr>
        <w:spacing w:after="0" w:line="177" w:lineRule="exact"/>
        <w:rPr>
          <w:sz w:val="24"/>
          <w:szCs w:val="24"/>
          <w:color w:val="auto"/>
        </w:rPr>
      </w:pPr>
    </w:p>
    <w:p>
      <w:pPr>
        <w:ind w:right="200" w:firstLine="342"/>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Public Offering</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Underwriting</w:t>
            </w: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Proceeds, Before</w:t>
            </w:r>
          </w:p>
        </w:tc>
      </w:tr>
      <w:tr>
        <w:trPr>
          <w:trHeight w:val="161"/>
        </w:trPr>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Price(1)</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Discount</w:t>
            </w: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Expenses, to Us</w:t>
            </w:r>
          </w:p>
        </w:tc>
      </w:tr>
      <w:tr>
        <w:trPr>
          <w:trHeight w:val="210"/>
        </w:trPr>
        <w:tc>
          <w:tcPr>
            <w:tcW w:w="3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4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5260" w:type="dxa"/>
            <w:vAlign w:val="bottom"/>
            <w:gridSpan w:val="2"/>
          </w:tcPr>
          <w:p>
            <w:pPr>
              <w:jc w:val="right"/>
              <w:ind w:right="90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36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102"/>
        </w:trPr>
        <w:tc>
          <w:tcPr>
            <w:tcW w:w="172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5700" w:type="dxa"/>
            <w:vAlign w:val="bottom"/>
            <w:gridSpan w:val="3"/>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3160" w:type="dxa"/>
            <w:vAlign w:val="bottom"/>
            <w:gridSpan w:val="2"/>
          </w:tcPr>
          <w:p>
            <w:pPr>
              <w:spacing w:after="0"/>
              <w:rPr>
                <w:sz w:val="20"/>
                <w:szCs w:val="20"/>
                <w:color w:val="auto"/>
              </w:rPr>
            </w:pPr>
            <w:r>
              <w:rPr>
                <w:rFonts w:ascii="Arial" w:cs="Arial" w:eastAsia="Arial" w:hAnsi="Arial"/>
                <w:sz w:val="18"/>
                <w:szCs w:val="18"/>
                <w:color w:val="auto"/>
              </w:rPr>
              <w:t>(1)  Plus accrued interest, if any, from</w:t>
            </w:r>
          </w:p>
        </w:tc>
        <w:tc>
          <w:tcPr>
            <w:tcW w:w="5700" w:type="dxa"/>
            <w:vAlign w:val="bottom"/>
            <w:gridSpan w:val="3"/>
          </w:tcPr>
          <w:p>
            <w:pPr>
              <w:ind w:left="480"/>
              <w:spacing w:after="0"/>
              <w:rPr>
                <w:sz w:val="20"/>
                <w:szCs w:val="20"/>
                <w:color w:val="auto"/>
              </w:rPr>
            </w:pPr>
            <w:r>
              <w:rPr>
                <w:rFonts w:ascii="Arial" w:cs="Arial" w:eastAsia="Arial" w:hAnsi="Arial"/>
                <w:sz w:val="18"/>
                <w:szCs w:val="18"/>
                <w:color w:val="auto"/>
              </w:rPr>
              <w:t>, 2013 if settlement occurs after that date.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4" w:lineRule="exact"/>
        <w:rPr>
          <w:sz w:val="24"/>
          <w:szCs w:val="24"/>
          <w:color w:val="auto"/>
        </w:rPr>
      </w:pPr>
    </w:p>
    <w:p>
      <w:pPr>
        <w:ind w:right="100" w:firstLine="342"/>
        <w:spacing w:after="0" w:line="286" w:lineRule="auto"/>
        <w:rPr>
          <w:sz w:val="20"/>
          <w:szCs w:val="20"/>
          <w:color w:val="auto"/>
        </w:rPr>
      </w:pPr>
      <w:r>
        <w:rPr>
          <w:rFonts w:ascii="Arial" w:cs="Arial" w:eastAsia="Arial" w:hAnsi="Arial"/>
          <w:sz w:val="16"/>
          <w:szCs w:val="16"/>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w:t>
      </w:r>
    </w:p>
    <w:tbl>
      <w:tblPr>
        <w:tblLayout w:type="fixed"/>
        <w:tblInd w:w="0" w:type="dxa"/>
        <w:tblCellMar>
          <w:top w:w="0" w:type="dxa"/>
          <w:left w:w="0" w:type="dxa"/>
          <w:bottom w:w="0" w:type="dxa"/>
          <w:right w:w="0" w:type="dxa"/>
        </w:tblCellMar>
      </w:tblP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on or about</w:t>
            </w:r>
          </w:p>
        </w:tc>
        <w:tc>
          <w:tcPr>
            <w:tcW w:w="1260" w:type="dxa"/>
            <w:vAlign w:val="bottom"/>
          </w:tcPr>
          <w:p>
            <w:pPr>
              <w:ind w:left="320"/>
              <w:spacing w:after="0"/>
              <w:rPr>
                <w:sz w:val="20"/>
                <w:szCs w:val="20"/>
                <w:color w:val="auto"/>
              </w:rPr>
            </w:pPr>
            <w:r>
              <w:rPr>
                <w:rFonts w:ascii="Arial" w:cs="Arial" w:eastAsia="Arial" w:hAnsi="Arial"/>
                <w:sz w:val="18"/>
                <w:szCs w:val="18"/>
                <w:color w:val="auto"/>
              </w:rPr>
              <w:t>, 2013, the</w:t>
            </w:r>
          </w:p>
        </w:tc>
        <w:tc>
          <w:tcPr>
            <w:tcW w:w="8760" w:type="dxa"/>
            <w:vAlign w:val="bottom"/>
          </w:tcPr>
          <w:p>
            <w:pPr>
              <w:jc w:val="right"/>
              <w:ind w:right="4532"/>
              <w:spacing w:after="0"/>
              <w:rPr>
                <w:sz w:val="20"/>
                <w:szCs w:val="20"/>
                <w:color w:val="auto"/>
              </w:rPr>
            </w:pPr>
            <w:r>
              <w:rPr>
                <w:rFonts w:ascii="Arial" w:cs="Arial" w:eastAsia="Arial" w:hAnsi="Arial"/>
                <w:sz w:val="18"/>
                <w:szCs w:val="18"/>
                <w:color w:val="auto"/>
                <w:w w:val="91"/>
              </w:rPr>
              <w:t>trading day after the date of this prospectus supplement.</w:t>
            </w:r>
          </w:p>
        </w:tc>
      </w:tr>
      <w:tr>
        <w:trPr>
          <w:trHeight w:val="372"/>
        </w:trPr>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760" w:type="dxa"/>
            <w:vAlign w:val="bottom"/>
          </w:tcPr>
          <w:p>
            <w:pPr>
              <w:jc w:val="right"/>
              <w:ind w:right="4532"/>
              <w:spacing w:after="0"/>
              <w:rPr>
                <w:sz w:val="20"/>
                <w:szCs w:val="20"/>
                <w:color w:val="auto"/>
              </w:rPr>
            </w:pPr>
            <w:r>
              <w:rPr>
                <w:rFonts w:ascii="Arial" w:cs="Arial" w:eastAsia="Arial" w:hAnsi="Arial"/>
                <w:sz w:val="18"/>
                <w:szCs w:val="18"/>
                <w:i w:val="1"/>
                <w:iCs w:val="1"/>
                <w:color w:val="auto"/>
              </w:rPr>
              <w:t>Joint Book-Running Managers</w:t>
            </w:r>
          </w:p>
        </w:tc>
      </w:tr>
      <w:tr>
        <w:trPr>
          <w:trHeight w:val="419"/>
        </w:trPr>
        <w:tc>
          <w:tcPr>
            <w:tcW w:w="1400" w:type="dxa"/>
            <w:vAlign w:val="bottom"/>
          </w:tcPr>
          <w:p>
            <w:pPr>
              <w:spacing w:after="0"/>
              <w:rPr>
                <w:sz w:val="20"/>
                <w:szCs w:val="20"/>
                <w:color w:val="auto"/>
              </w:rPr>
            </w:pPr>
            <w:r>
              <w:rPr>
                <w:rFonts w:ascii="Arial" w:cs="Arial" w:eastAsia="Arial" w:hAnsi="Arial"/>
                <w:sz w:val="18"/>
                <w:szCs w:val="18"/>
                <w:b w:val="1"/>
                <w:bCs w:val="1"/>
                <w:color w:val="auto"/>
              </w:rPr>
              <w:t>J.P. Morgan</w:t>
            </w:r>
          </w:p>
        </w:tc>
        <w:tc>
          <w:tcPr>
            <w:tcW w:w="1260" w:type="dxa"/>
            <w:vAlign w:val="bottom"/>
          </w:tcPr>
          <w:p>
            <w:pPr>
              <w:spacing w:after="0"/>
              <w:rPr>
                <w:sz w:val="24"/>
                <w:szCs w:val="24"/>
                <w:color w:val="auto"/>
              </w:rPr>
            </w:pPr>
          </w:p>
        </w:tc>
        <w:tc>
          <w:tcPr>
            <w:tcW w:w="8760" w:type="dxa"/>
            <w:vAlign w:val="bottom"/>
          </w:tcPr>
          <w:p>
            <w:pPr>
              <w:jc w:val="right"/>
              <w:spacing w:after="0"/>
              <w:rPr>
                <w:sz w:val="20"/>
                <w:szCs w:val="20"/>
                <w:color w:val="auto"/>
              </w:rPr>
            </w:pPr>
            <w:r>
              <w:rPr>
                <w:rFonts w:ascii="Arial" w:cs="Arial" w:eastAsia="Arial" w:hAnsi="Arial"/>
                <w:sz w:val="18"/>
                <w:szCs w:val="18"/>
                <w:b w:val="1"/>
                <w:bCs w:val="1"/>
                <w:color w:val="auto"/>
              </w:rPr>
              <w:t>BofA Merrill Lynch</w:t>
            </w:r>
          </w:p>
        </w:tc>
      </w:tr>
      <w:tr>
        <w:trPr>
          <w:trHeight w:val="392"/>
        </w:trPr>
        <w:tc>
          <w:tcPr>
            <w:tcW w:w="1400" w:type="dxa"/>
            <w:vAlign w:val="bottom"/>
          </w:tcPr>
          <w:p>
            <w:pPr>
              <w:spacing w:after="0"/>
              <w:rPr>
                <w:sz w:val="20"/>
                <w:szCs w:val="20"/>
                <w:color w:val="auto"/>
              </w:rPr>
            </w:pPr>
            <w:r>
              <w:rPr>
                <w:rFonts w:ascii="Arial" w:cs="Arial" w:eastAsia="Arial" w:hAnsi="Arial"/>
                <w:sz w:val="18"/>
                <w:szCs w:val="18"/>
                <w:b w:val="1"/>
                <w:bCs w:val="1"/>
                <w:color w:val="auto"/>
              </w:rPr>
              <w:t>DNB Markets</w:t>
            </w:r>
          </w:p>
        </w:tc>
        <w:tc>
          <w:tcPr>
            <w:tcW w:w="1260" w:type="dxa"/>
            <w:vAlign w:val="bottom"/>
          </w:tcPr>
          <w:p>
            <w:pPr>
              <w:spacing w:after="0"/>
              <w:rPr>
                <w:sz w:val="24"/>
                <w:szCs w:val="24"/>
                <w:color w:val="auto"/>
              </w:rPr>
            </w:pPr>
          </w:p>
        </w:tc>
        <w:tc>
          <w:tcPr>
            <w:tcW w:w="8760" w:type="dxa"/>
            <w:vAlign w:val="bottom"/>
          </w:tcPr>
          <w:p>
            <w:pPr>
              <w:jc w:val="right"/>
              <w:spacing w:after="0"/>
              <w:rPr>
                <w:sz w:val="20"/>
                <w:szCs w:val="20"/>
                <w:color w:val="auto"/>
              </w:rPr>
            </w:pPr>
            <w:r>
              <w:rPr>
                <w:rFonts w:ascii="Arial" w:cs="Arial" w:eastAsia="Arial" w:hAnsi="Arial"/>
                <w:sz w:val="18"/>
                <w:szCs w:val="18"/>
                <w:b w:val="1"/>
                <w:bCs w:val="1"/>
                <w:color w:val="auto"/>
              </w:rPr>
              <w:t>Mizuho Securities</w:t>
            </w:r>
          </w:p>
        </w:tc>
      </w:tr>
      <w:tr>
        <w:trPr>
          <w:trHeight w:val="378"/>
        </w:trPr>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760" w:type="dxa"/>
            <w:vAlign w:val="bottom"/>
          </w:tcPr>
          <w:p>
            <w:pPr>
              <w:jc w:val="right"/>
              <w:ind w:right="3532"/>
              <w:spacing w:after="0"/>
              <w:rPr>
                <w:sz w:val="20"/>
                <w:szCs w:val="20"/>
                <w:color w:val="auto"/>
              </w:rPr>
            </w:pPr>
            <w:r>
              <w:rPr>
                <w:rFonts w:ascii="Arial" w:cs="Arial" w:eastAsia="Arial" w:hAnsi="Arial"/>
                <w:sz w:val="18"/>
                <w:szCs w:val="18"/>
                <w:color w:val="auto"/>
              </w:rPr>
              <w:t>The date of this prospectus supplement is August   , 2013.</w:t>
            </w: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10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96"/>
              </w:rPr>
              <w:t>TABLE OF CONTENTS</w:t>
            </w:r>
          </w:p>
        </w:tc>
        <w:tc>
          <w:tcPr>
            <w:tcW w:w="2000" w:type="dxa"/>
            <w:vAlign w:val="bottom"/>
          </w:tcPr>
          <w:p>
            <w:pPr>
              <w:spacing w:after="0"/>
              <w:rPr>
                <w:sz w:val="19"/>
                <w:szCs w:val="19"/>
                <w:color w:val="auto"/>
              </w:rPr>
            </w:pPr>
          </w:p>
        </w:tc>
      </w:tr>
      <w:tr>
        <w:trPr>
          <w:trHeight w:val="351"/>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0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85"/>
              </w:rPr>
              <w:t>Prospectus Supplement</w:t>
            </w:r>
          </w:p>
        </w:tc>
        <w:tc>
          <w:tcPr>
            <w:tcW w:w="2000" w:type="dxa"/>
            <w:vAlign w:val="bottom"/>
          </w:tcPr>
          <w:p>
            <w:pPr>
              <w:spacing w:after="0"/>
              <w:rPr>
                <w:sz w:val="24"/>
                <w:szCs w:val="24"/>
                <w:color w:val="auto"/>
              </w:rPr>
            </w:pPr>
          </w:p>
        </w:tc>
      </w:tr>
      <w:tr>
        <w:trPr>
          <w:trHeight w:val="394"/>
        </w:trPr>
        <w:tc>
          <w:tcPr>
            <w:tcW w:w="932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Important Notice About Information in This Prospectus Supplement and the Accompanying Base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2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Forward-Looking Statements</w:t>
              </w:r>
            </w:hyperlink>
          </w:p>
        </w:tc>
        <w:tc>
          <w:tcPr>
            <w:tcW w:w="5560" w:type="dxa"/>
            <w:vAlign w:val="bottom"/>
            <w:tcBorders>
              <w:top w:val="single" w:sz="8" w:color="0000EE"/>
            </w:tcBorders>
            <w:gridSpan w:val="10"/>
          </w:tcPr>
          <w:p>
            <w:pPr>
              <w:spacing w:after="0"/>
              <w:rPr>
                <w:sz w:val="17"/>
                <w:szCs w:val="17"/>
                <w:color w:val="auto"/>
              </w:rPr>
            </w:pPr>
          </w:p>
        </w:tc>
        <w:tc>
          <w:tcPr>
            <w:tcW w:w="16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694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8420" w:type="dxa"/>
            <w:vAlign w:val="bottom"/>
            <w:gridSpan w:val="2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Ratio of Earnings to Fixed Charges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12"/>
          </w:tcPr>
          <w:p>
            <w:pPr>
              <w:spacing w:after="0"/>
              <w:rPr>
                <w:sz w:val="17"/>
                <w:szCs w:val="17"/>
                <w:color w:val="auto"/>
              </w:rPr>
            </w:pPr>
          </w:p>
        </w:tc>
        <w:tc>
          <w:tcPr>
            <w:tcW w:w="684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Description of Notes</w:t>
              </w:r>
            </w:hyperlink>
          </w:p>
        </w:tc>
        <w:tc>
          <w:tcPr>
            <w:tcW w:w="784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Book Entry, Delivery and Form</w:t>
              </w:r>
            </w:hyperlink>
          </w:p>
        </w:tc>
        <w:tc>
          <w:tcPr>
            <w:tcW w:w="708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S-24</w:t>
            </w: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Material U.S. Federal Income and Estate Tax Consequences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196"/>
        </w:trPr>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Underwriting</w:t>
              </w:r>
            </w:hyperlink>
          </w:p>
        </w:tc>
        <w:tc>
          <w:tcPr>
            <w:tcW w:w="3260" w:type="dxa"/>
            <w:vAlign w:val="bottom"/>
            <w:tcBorders>
              <w:top w:val="single" w:sz="8" w:color="0000EE"/>
            </w:tcBorders>
            <w:gridSpan w:val="19"/>
          </w:tcPr>
          <w:p>
            <w:pPr>
              <w:spacing w:after="0"/>
              <w:rPr>
                <w:sz w:val="17"/>
                <w:szCs w:val="17"/>
                <w:color w:val="auto"/>
              </w:rPr>
            </w:pPr>
          </w:p>
        </w:tc>
        <w:tc>
          <w:tcPr>
            <w:tcW w:w="510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S-32</w:t>
            </w: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834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505"/>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00" w:type="dxa"/>
            <w:vAlign w:val="bottom"/>
            <w:gridSpan w:val="2"/>
          </w:tcPr>
          <w:p>
            <w:pPr>
              <w:jc w:val="center"/>
              <w:ind w:right="2120"/>
              <w:spacing w:after="0"/>
              <w:rPr>
                <w:sz w:val="20"/>
                <w:szCs w:val="20"/>
                <w:color w:val="auto"/>
              </w:rPr>
            </w:pPr>
            <w:r>
              <w:rPr>
                <w:rFonts w:ascii="Arial" w:cs="Arial" w:eastAsia="Arial" w:hAnsi="Arial"/>
                <w:sz w:val="18"/>
                <w:szCs w:val="18"/>
                <w:b w:val="1"/>
                <w:bCs w:val="1"/>
                <w:color w:val="auto"/>
                <w:w w:val="83"/>
              </w:rPr>
              <w:t>Prospectus</w:t>
            </w:r>
          </w:p>
        </w:tc>
        <w:tc>
          <w:tcPr>
            <w:tcW w:w="2000" w:type="dxa"/>
            <w:vAlign w:val="bottom"/>
          </w:tcPr>
          <w:p>
            <w:pPr>
              <w:spacing w:after="0"/>
              <w:rPr>
                <w:sz w:val="24"/>
                <w:szCs w:val="24"/>
                <w:color w:val="auto"/>
              </w:rPr>
            </w:pPr>
          </w:p>
        </w:tc>
      </w:tr>
      <w:tr>
        <w:trPr>
          <w:trHeight w:val="326"/>
        </w:trPr>
        <w:tc>
          <w:tcPr>
            <w:tcW w:w="9320" w:type="dxa"/>
            <w:vAlign w:val="bottom"/>
            <w:gridSpan w:val="2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7"/>
          </w:tcPr>
          <w:p>
            <w:pPr>
              <w:spacing w:after="0"/>
              <w:rPr>
                <w:sz w:val="17"/>
                <w:szCs w:val="17"/>
                <w:color w:val="auto"/>
              </w:rPr>
            </w:pPr>
          </w:p>
        </w:tc>
        <w:tc>
          <w:tcPr>
            <w:tcW w:w="652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Who We Are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8400" w:type="dxa"/>
            <w:vAlign w:val="bottom"/>
            <w:gridSpan w:val="2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Ratio Of Earnings To Fixed Charges</w:t>
              </w:r>
            </w:hyperlink>
          </w:p>
        </w:tc>
        <w:tc>
          <w:tcPr>
            <w:tcW w:w="674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Description of Our Debt Securities</w:t>
              </w:r>
            </w:hyperlink>
          </w:p>
        </w:tc>
        <w:tc>
          <w:tcPr>
            <w:tcW w:w="686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Description of Our Common Units</w:t>
              </w:r>
            </w:hyperlink>
          </w:p>
        </w:tc>
        <w:tc>
          <w:tcPr>
            <w:tcW w:w="686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Cash Distribution Policy</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Our Partnership Agreement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Material U.S. Federal Income Tax Consequences</w:t>
              </w:r>
            </w:hyperlink>
          </w:p>
        </w:tc>
        <w:tc>
          <w:tcPr>
            <w:tcW w:w="586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320" w:type="dxa"/>
            <w:vAlign w:val="bottom"/>
            <w:gridSpan w:val="2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Plan of Distribution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7920" w:type="dxa"/>
            <w:vAlign w:val="bottom"/>
            <w:gridSpan w:val="1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834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AND THE ACCOMPANYING BASE PROSPECTUS</w:t>
      </w:r>
    </w:p>
    <w:p>
      <w:pPr>
        <w:spacing w:after="0" w:line="159"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b w:val="1"/>
          <w:bCs w:val="1"/>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w:t>
      </w:r>
    </w:p>
    <w:p>
      <w:pPr>
        <w:spacing w:after="0" w:line="112" w:lineRule="exact"/>
        <w:rPr>
          <w:sz w:val="20"/>
          <w:szCs w:val="20"/>
          <w:color w:val="auto"/>
        </w:rPr>
      </w:pPr>
    </w:p>
    <w:p>
      <w:pPr>
        <w:ind w:right="780" w:firstLine="342"/>
        <w:spacing w:after="0" w:line="275" w:lineRule="auto"/>
        <w:rPr>
          <w:sz w:val="20"/>
          <w:szCs w:val="20"/>
          <w:color w:val="auto"/>
        </w:rPr>
      </w:pPr>
      <w:r>
        <w:rPr>
          <w:rFonts w:ascii="Arial" w:cs="Arial" w:eastAsia="Arial" w:hAnsi="Arial"/>
          <w:sz w:val="18"/>
          <w:szCs w:val="18"/>
          <w:b w:val="1"/>
          <w:bCs w:val="1"/>
          <w:color w:val="auto"/>
        </w:rPr>
        <w:t>If the description of the offering varies between the prospectus supplement and the accompanying base prospectus, you should rely on the information in the prospectus supplement.</w:t>
      </w:r>
    </w:p>
    <w:p>
      <w:pPr>
        <w:spacing w:after="0" w:line="93" w:lineRule="exact"/>
        <w:rPr>
          <w:sz w:val="20"/>
          <w:szCs w:val="20"/>
          <w:color w:val="auto"/>
        </w:rPr>
      </w:pPr>
    </w:p>
    <w:p>
      <w:pPr>
        <w:ind w:firstLine="342"/>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84" w:lineRule="exact"/>
        <w:rPr>
          <w:sz w:val="20"/>
          <w:szCs w:val="20"/>
          <w:color w:val="auto"/>
        </w:rPr>
      </w:pPr>
    </w:p>
    <w:p>
      <w:pPr>
        <w:ind w:right="640" w:firstLine="342"/>
        <w:spacing w:after="0" w:line="262"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11" w:lineRule="exact"/>
        <w:rPr>
          <w:sz w:val="20"/>
          <w:szCs w:val="20"/>
          <w:color w:val="auto"/>
        </w:rPr>
      </w:pPr>
    </w:p>
    <w:p>
      <w:pPr>
        <w:ind w:right="100" w:firstLine="342"/>
        <w:spacing w:after="0" w:line="284" w:lineRule="auto"/>
        <w:rPr>
          <w:sz w:val="20"/>
          <w:szCs w:val="20"/>
          <w:color w:val="auto"/>
        </w:rPr>
      </w:pPr>
      <w:r>
        <w:rPr>
          <w:rFonts w:ascii="Arial" w:cs="Arial" w:eastAsia="Arial" w:hAnsi="Arial"/>
          <w:sz w:val="16"/>
          <w:szCs w:val="16"/>
          <w:color w:val="auto"/>
        </w:rPr>
        <w:t>We expect delivery of the Notes will be made against payment therefor on or about , 2013, which is the business day following the date of pricing of the Notes (such settlement being referred to as “T+ ”). Under Rule 15c6-1 of the Securities Exchange Act of 1934, as amended (the “Exchange Act”), trades in the secondary market generally are required to settle in three business days unless the parties to any such trade expressly agree otherwise.</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Accordingly, purchasers who wish to trade the 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50" w:lineRule="exact"/>
        <w:rPr>
          <w:sz w:val="20"/>
          <w:szCs w:val="20"/>
          <w:color w:val="auto"/>
        </w:rPr>
      </w:pPr>
    </w:p>
    <w:p>
      <w:pPr>
        <w:ind w:right="120" w:firstLine="342"/>
        <w:spacing w:after="0" w:line="314" w:lineRule="auto"/>
        <w:rPr>
          <w:sz w:val="20"/>
          <w:szCs w:val="20"/>
          <w:color w:val="auto"/>
        </w:rPr>
      </w:pPr>
      <w:r>
        <w:rPr>
          <w:rFonts w:ascii="Arial" w:cs="Arial" w:eastAsia="Arial" w:hAnsi="Arial"/>
          <w:sz w:val="15"/>
          <w:szCs w:val="15"/>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91" w:lineRule="exact"/>
        <w:rPr>
          <w:sz w:val="20"/>
          <w:szCs w:val="20"/>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20" w:hanging="454"/>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180" w:lineRule="exact"/>
        <w:rPr>
          <w:rFonts w:ascii="Arial" w:cs="Arial" w:eastAsia="Arial" w:hAnsi="Arial"/>
          <w:sz w:val="16"/>
          <w:szCs w:val="16"/>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57" w:lineRule="exact"/>
        <w:rPr>
          <w:rFonts w:ascii="Arial" w:cs="Arial" w:eastAsia="Arial" w:hAnsi="Arial"/>
          <w:sz w:val="18"/>
          <w:szCs w:val="18"/>
          <w:color w:val="auto"/>
        </w:rPr>
      </w:pPr>
    </w:p>
    <w:p>
      <w:pPr>
        <w:ind w:left="800" w:right="480" w:hanging="454"/>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57" w:lineRule="exact"/>
        <w:rPr>
          <w:rFonts w:ascii="Arial" w:cs="Arial" w:eastAsia="Arial" w:hAnsi="Arial"/>
          <w:sz w:val="18"/>
          <w:szCs w:val="18"/>
          <w:color w:val="auto"/>
        </w:rPr>
      </w:pPr>
    </w:p>
    <w:p>
      <w:pPr>
        <w:ind w:left="800" w:right="20" w:hanging="454"/>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26"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57" w:lineRule="exact"/>
        <w:rPr>
          <w:rFonts w:ascii="Arial" w:cs="Arial" w:eastAsia="Arial" w:hAnsi="Arial"/>
          <w:sz w:val="18"/>
          <w:szCs w:val="18"/>
          <w:color w:val="auto"/>
        </w:rPr>
      </w:pPr>
    </w:p>
    <w:p>
      <w:pPr>
        <w:ind w:left="800" w:hanging="454"/>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57" w:lineRule="exact"/>
        <w:rPr>
          <w:rFonts w:ascii="Arial" w:cs="Arial" w:eastAsia="Arial" w:hAnsi="Arial"/>
          <w:sz w:val="18"/>
          <w:szCs w:val="18"/>
          <w:color w:val="auto"/>
        </w:rPr>
      </w:pPr>
    </w:p>
    <w:p>
      <w:pPr>
        <w:ind w:left="800" w:right="220" w:hanging="454"/>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80" w:lineRule="exact"/>
        <w:rPr>
          <w:rFonts w:ascii="Arial" w:cs="Arial" w:eastAsia="Arial" w:hAnsi="Arial"/>
          <w:sz w:val="16"/>
          <w:szCs w:val="16"/>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80" w:hanging="454"/>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18" w:lineRule="exact"/>
        <w:rPr>
          <w:rFonts w:ascii="Arial" w:cs="Arial" w:eastAsia="Arial" w:hAnsi="Arial"/>
          <w:sz w:val="18"/>
          <w:szCs w:val="18"/>
          <w:color w:val="auto"/>
        </w:rPr>
      </w:pPr>
    </w:p>
    <w:p>
      <w:pPr>
        <w:ind w:left="800" w:right="280" w:hanging="454"/>
        <w:spacing w:after="0" w:line="33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342"/>
        <w:spacing w:after="0" w:line="255"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on page S-6 of this prospectus supplement and in Item 1A. “Risk Factors” in our Annual Report on Form 10-K for the fiscal year ended December 31, 2012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50" w:lineRule="exact"/>
        <w:rPr>
          <w:sz w:val="20"/>
          <w:szCs w:val="20"/>
          <w:color w:val="auto"/>
        </w:rPr>
      </w:pPr>
    </w:p>
    <w:p>
      <w:pPr>
        <w:ind w:left="200" w:right="20" w:firstLine="332"/>
        <w:spacing w:after="0" w:line="291"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on page S-6 of this prospectus supplement and in our Annual Report on Form 10-K for the fiscal year ended December 31, 2012, which is incorporated by reference herein, for information regarding risks you should consider before making a decision to purchase any Notes in this offering.</w:t>
      </w:r>
    </w:p>
    <w:p>
      <w:pPr>
        <w:spacing w:after="0" w:line="93" w:lineRule="exact"/>
        <w:rPr>
          <w:sz w:val="20"/>
          <w:szCs w:val="20"/>
          <w:color w:val="auto"/>
        </w:rPr>
      </w:pPr>
    </w:p>
    <w:p>
      <w:pPr>
        <w:ind w:left="200" w:firstLine="332"/>
        <w:spacing w:after="0" w:line="254" w:lineRule="auto"/>
        <w:rPr>
          <w:sz w:val="20"/>
          <w:szCs w:val="20"/>
          <w:color w:val="auto"/>
        </w:rPr>
      </w:pPr>
      <w:r>
        <w:rPr>
          <w:rFonts w:ascii="Arial" w:cs="Arial" w:eastAsia="Arial" w:hAnsi="Arial"/>
          <w:sz w:val="18"/>
          <w:szCs w:val="18"/>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“Prospectus Supplement Summary—The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Plains All American Pipeline, L.P.</w:t>
      </w:r>
    </w:p>
    <w:p>
      <w:pPr>
        <w:spacing w:after="0" w:line="150" w:lineRule="exact"/>
        <w:rPr>
          <w:sz w:val="20"/>
          <w:szCs w:val="20"/>
          <w:color w:val="auto"/>
        </w:rPr>
      </w:pPr>
    </w:p>
    <w:p>
      <w:pPr>
        <w:ind w:left="200" w:right="60" w:firstLine="332"/>
        <w:spacing w:after="0" w:line="256"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w:t>
      </w:r>
    </w:p>
    <w:p>
      <w:pPr>
        <w:spacing w:after="0" w:line="116" w:lineRule="exact"/>
        <w:rPr>
          <w:sz w:val="20"/>
          <w:szCs w:val="20"/>
          <w:color w:val="auto"/>
        </w:rPr>
      </w:pPr>
    </w:p>
    <w:p>
      <w:pPr>
        <w:ind w:left="200" w:right="140" w:firstLine="332"/>
        <w:spacing w:after="0" w:line="298" w:lineRule="auto"/>
        <w:rPr>
          <w:sz w:val="20"/>
          <w:szCs w:val="20"/>
          <w:color w:val="auto"/>
        </w:rPr>
      </w:pPr>
      <w:r>
        <w:rPr>
          <w:rFonts w:ascii="Arial" w:cs="Arial" w:eastAsia="Arial" w:hAnsi="Arial"/>
          <w:sz w:val="16"/>
          <w:szCs w:val="16"/>
          <w:color w:val="auto"/>
        </w:rPr>
        <w:t>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 rights. We also currently own an approximate 61% limited partner interest in PNG.</w:t>
      </w:r>
    </w:p>
    <w:p>
      <w:pPr>
        <w:spacing w:after="0" w:line="86" w:lineRule="exact"/>
        <w:rPr>
          <w:sz w:val="20"/>
          <w:szCs w:val="20"/>
          <w:color w:val="auto"/>
        </w:rPr>
      </w:pPr>
    </w:p>
    <w:p>
      <w:pPr>
        <w:jc w:val="both"/>
        <w:ind w:left="200" w:right="380" w:firstLine="332"/>
        <w:spacing w:after="0" w:line="306" w:lineRule="auto"/>
        <w:rPr>
          <w:sz w:val="20"/>
          <w:szCs w:val="20"/>
          <w:color w:val="auto"/>
        </w:rPr>
      </w:pPr>
      <w:r>
        <w:rPr>
          <w:rFonts w:ascii="Arial" w:cs="Arial" w:eastAsia="Arial" w:hAnsi="Arial"/>
          <w:sz w:val="16"/>
          <w:szCs w:val="16"/>
          <w:color w:val="auto"/>
        </w:rPr>
        <w:t>We are one of the largest publicly-traded partnerships with an extensive network of transportation, terminalling, storage and gathering assets in key crude oil and NGL producing basins and transportation corridors, and at major market hubs in the United States and Canada. We manage our operations through three primary operating segments: transportation, facilities and supply and logistics.</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Ongoing acquisition activities</w:t>
      </w:r>
    </w:p>
    <w:p>
      <w:pPr>
        <w:spacing w:after="0" w:line="150" w:lineRule="exact"/>
        <w:rPr>
          <w:sz w:val="20"/>
          <w:szCs w:val="20"/>
          <w:color w:val="auto"/>
        </w:rPr>
      </w:pPr>
    </w:p>
    <w:p>
      <w:pPr>
        <w:ind w:left="200" w:right="20" w:firstLine="332"/>
        <w:spacing w:after="0" w:line="290" w:lineRule="auto"/>
        <w:rPr>
          <w:sz w:val="20"/>
          <w:szCs w:val="20"/>
          <w:color w:val="auto"/>
        </w:rPr>
      </w:pPr>
      <w:r>
        <w:rPr>
          <w:rFonts w:ascii="Arial" w:cs="Arial" w:eastAsia="Arial" w:hAnsi="Arial"/>
          <w:sz w:val="16"/>
          <w:szCs w:val="16"/>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372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32372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332"/>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200" w:right="20" w:firstLine="332"/>
        <w:spacing w:after="0" w:line="306" w:lineRule="auto"/>
        <w:rPr>
          <w:sz w:val="20"/>
          <w:szCs w:val="20"/>
          <w:color w:val="auto"/>
        </w:rPr>
      </w:pPr>
      <w:r>
        <w:rPr>
          <w:rFonts w:ascii="Arial" w:cs="Arial" w:eastAsia="Arial" w:hAnsi="Arial"/>
          <w:sz w:val="16"/>
          <w:szCs w:val="16"/>
          <w:color w:val="auto"/>
        </w:rPr>
        <w:t>On July 29, 2013, Plains GP Holdings, L.P., a newly formed Delaware limited partnership that will indirectly own a portion of our incentive distribution rights and general partner interests, filed a registration statement on Form S-1 with the SEC. Neither this prospectus nor the information contained herein shall constitute an offer to sell or the solicitation of an offer to buy securities of Plains GP Holdings, L.P.</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principal executive offices</w:t>
      </w:r>
    </w:p>
    <w:p>
      <w:pPr>
        <w:spacing w:after="0" w:line="150" w:lineRule="exact"/>
        <w:rPr>
          <w:sz w:val="20"/>
          <w:szCs w:val="20"/>
          <w:color w:val="auto"/>
        </w:rPr>
      </w:pPr>
    </w:p>
    <w:p>
      <w:pPr>
        <w:ind w:left="200" w:right="300" w:firstLine="332"/>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www.paalp.com</w:t>
      </w:r>
      <w:r>
        <w:rPr>
          <w:rFonts w:ascii="Arial" w:cs="Arial" w:eastAsia="Arial" w:hAnsi="Arial"/>
          <w:sz w:val="16"/>
          <w:szCs w:val="16"/>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information</w:t>
      </w:r>
    </w:p>
    <w:p>
      <w:pPr>
        <w:spacing w:after="0" w:line="150" w:lineRule="exact"/>
        <w:rPr>
          <w:sz w:val="20"/>
          <w:szCs w:val="20"/>
          <w:color w:val="auto"/>
        </w:rPr>
      </w:pPr>
    </w:p>
    <w:p>
      <w:pPr>
        <w:ind w:left="200" w:firstLine="332"/>
        <w:spacing w:after="0" w:line="306" w:lineRule="auto"/>
        <w:rPr>
          <w:sz w:val="20"/>
          <w:szCs w:val="20"/>
          <w:color w:val="auto"/>
        </w:rPr>
      </w:pPr>
      <w:r>
        <w:rPr>
          <w:rFonts w:ascii="Arial" w:cs="Arial" w:eastAsia="Arial" w:hAnsi="Arial"/>
          <w:sz w:val="16"/>
          <w:szCs w:val="16"/>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2012, and our Quarterly Reports on Form 10-Q for the quarterly periods ended March 31, 2013 and June 30, 2013, each of which is incorporated by reference herein.</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63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363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50" w:lineRule="exact"/>
        <w:rPr>
          <w:sz w:val="20"/>
          <w:szCs w:val="20"/>
          <w:color w:val="auto"/>
        </w:rPr>
      </w:pPr>
    </w:p>
    <w:p>
      <w:pPr>
        <w:jc w:val="both"/>
        <w:ind w:left="200" w:right="20" w:firstLine="332"/>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27" w:lineRule="exact"/>
        <w:rPr>
          <w:sz w:val="20"/>
          <w:szCs w:val="20"/>
          <w:color w:val="auto"/>
        </w:rPr>
      </w:pPr>
    </w:p>
    <w:p>
      <w:pPr>
        <w:ind w:left="200"/>
        <w:spacing w:after="0"/>
        <w:tabs>
          <w:tab w:leader="none" w:pos="4940" w:val="left"/>
        </w:tabs>
        <w:rPr>
          <w:sz w:val="20"/>
          <w:szCs w:val="20"/>
          <w:color w:val="auto"/>
        </w:rPr>
      </w:pPr>
      <w:r>
        <w:rPr>
          <w:rFonts w:ascii="Arial" w:cs="Arial" w:eastAsia="Arial" w:hAnsi="Arial"/>
          <w:sz w:val="18"/>
          <w:szCs w:val="18"/>
          <w:color w:val="auto"/>
        </w:rPr>
        <w:t>Issuers</w:t>
      </w:r>
      <w:r>
        <w:rPr>
          <w:sz w:val="20"/>
          <w:szCs w:val="20"/>
          <w:color w:val="auto"/>
        </w:rPr>
        <w:tab/>
      </w:r>
      <w:r>
        <w:rPr>
          <w:rFonts w:ascii="Arial" w:cs="Arial" w:eastAsia="Arial" w:hAnsi="Arial"/>
          <w:sz w:val="18"/>
          <w:szCs w:val="18"/>
          <w:color w:val="auto"/>
        </w:rPr>
        <w:t>Plains All American Pipeline, L.P. and PAA Finance Corp.</w:t>
      </w:r>
    </w:p>
    <w:p>
      <w:pPr>
        <w:spacing w:after="0" w:line="171" w:lineRule="exact"/>
        <w:rPr>
          <w:sz w:val="20"/>
          <w:szCs w:val="20"/>
          <w:color w:val="auto"/>
        </w:rPr>
      </w:pPr>
    </w:p>
    <w:p>
      <w:pPr>
        <w:ind w:left="4960"/>
        <w:spacing w:after="0" w:line="294" w:lineRule="auto"/>
        <w:rPr>
          <w:sz w:val="20"/>
          <w:szCs w:val="20"/>
          <w:color w:val="auto"/>
        </w:rPr>
      </w:pPr>
      <w:r>
        <w:rPr>
          <w:rFonts w:ascii="Arial" w:cs="Arial" w:eastAsia="Arial" w:hAnsi="Arial"/>
          <w:sz w:val="16"/>
          <w:szCs w:val="16"/>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ectPr>
          <w:pgSz w:w="11900" w:h="16838" w:orient="portrait"/>
          <w:cols w:equalWidth="0" w:num="1">
            <w:col w:w="11260"/>
          </w:cols>
          <w:pgMar w:left="240" w:top="459" w:right="399" w:bottom="1440" w:gutter="0" w:footer="0" w:header="0"/>
        </w:sectPr>
      </w:pPr>
    </w:p>
    <w:p>
      <w:pPr>
        <w:spacing w:after="0" w:line="10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Future guarantees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Initially, the Notes will not be guaranteed by any subsidiaries of the issuers. In the future, however, if any subsidiaries guarantee any of the issuers’ other debt, then those subsidiaries will, jointly and severally, fully and unconditionally guarantee the issuers’ payment obligations under the Notes. Please read “Description of Notes—Possible Future Guarantees.”</w:t>
      </w:r>
    </w:p>
    <w:p>
      <w:pPr>
        <w:spacing w:after="0" w:line="129" w:lineRule="exact"/>
        <w:rPr>
          <w:sz w:val="20"/>
          <w:szCs w:val="20"/>
          <w:color w:val="auto"/>
        </w:rPr>
      </w:pPr>
    </w:p>
    <w:p>
      <w:pPr>
        <w:sectPr>
          <w:pgSz w:w="11900" w:h="16838" w:orient="portrait"/>
          <w:cols w:equalWidth="0" w:num="2">
            <w:col w:w="4240" w:space="720"/>
            <w:col w:w="630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Notes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aggregate principal amount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Senior Notes due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16" w:lineRule="exact"/>
        <w:rPr>
          <w:sz w:val="20"/>
          <w:szCs w:val="20"/>
          <w:color w:val="auto"/>
        </w:rPr>
      </w:pPr>
    </w:p>
    <w:p>
      <w:pPr>
        <w:sectPr>
          <w:pgSz w:w="11900" w:h="16838" w:orient="portrait"/>
          <w:cols w:equalWidth="0" w:num="5">
            <w:col w:w="4240" w:space="720"/>
            <w:col w:w="80" w:space="560"/>
            <w:col w:w="2120" w:space="400"/>
            <w:col w:w="1400" w:space="560"/>
            <w:col w:w="1180"/>
          </w:cols>
          <w:pgMar w:left="240" w:top="459" w:right="399" w:bottom="1440" w:gutter="0" w:footer="0" w:header="0"/>
          <w:type w:val="continuous"/>
        </w:sectPr>
      </w:pPr>
    </w:p>
    <w:tbl>
      <w:tblPr>
        <w:tblLayout w:type="fixed"/>
        <w:tblInd w:w="200" w:type="dxa"/>
        <w:tblCellMar>
          <w:top w:w="0" w:type="dxa"/>
          <w:left w:w="0" w:type="dxa"/>
          <w:bottom w:w="0" w:type="dxa"/>
          <w:right w:w="0" w:type="dxa"/>
        </w:tblCellMar>
      </w:tblP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Maturity date</w:t>
            </w:r>
          </w:p>
        </w:tc>
        <w:tc>
          <w:tcPr>
            <w:tcW w:w="2900" w:type="dxa"/>
            <w:vAlign w:val="bottom"/>
          </w:tcPr>
          <w:p>
            <w:pPr>
              <w:ind w:left="23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92"/>
              <w:spacing w:after="0"/>
              <w:rPr>
                <w:sz w:val="20"/>
                <w:szCs w:val="20"/>
                <w:color w:val="auto"/>
              </w:rPr>
            </w:pPr>
            <w:r>
              <w:rPr>
                <w:rFonts w:ascii="Arial" w:cs="Arial" w:eastAsia="Arial" w:hAnsi="Arial"/>
                <w:sz w:val="18"/>
                <w:szCs w:val="18"/>
                <w:color w:val="auto"/>
                <w:w w:val="78"/>
              </w:rPr>
              <w:t>.</w:t>
            </w: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78"/>
        </w:trPr>
        <w:tc>
          <w:tcPr>
            <w:tcW w:w="3160" w:type="dxa"/>
            <w:vAlign w:val="bottom"/>
          </w:tcPr>
          <w:p>
            <w:pPr>
              <w:spacing w:after="0"/>
              <w:rPr>
                <w:sz w:val="20"/>
                <w:szCs w:val="20"/>
                <w:color w:val="auto"/>
              </w:rPr>
            </w:pPr>
            <w:r>
              <w:rPr>
                <w:rFonts w:ascii="Arial" w:cs="Arial" w:eastAsia="Arial" w:hAnsi="Arial"/>
                <w:sz w:val="18"/>
                <w:szCs w:val="18"/>
                <w:color w:val="auto"/>
              </w:rPr>
              <w:t>Interest rate</w:t>
            </w:r>
          </w:p>
        </w:tc>
        <w:tc>
          <w:tcPr>
            <w:tcW w:w="2900" w:type="dxa"/>
            <w:vAlign w:val="bottom"/>
          </w:tcPr>
          <w:p>
            <w:pPr>
              <w:ind w:left="19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72"/>
        </w:trPr>
        <w:tc>
          <w:tcPr>
            <w:tcW w:w="31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060" w:type="dxa"/>
            <w:vAlign w:val="bottom"/>
            <w:gridSpan w:val="4"/>
          </w:tcPr>
          <w:p>
            <w:pPr>
              <w:ind w:left="1600"/>
              <w:spacing w:after="0"/>
              <w:rPr>
                <w:sz w:val="20"/>
                <w:szCs w:val="20"/>
                <w:color w:val="auto"/>
              </w:rPr>
            </w:pPr>
            <w:r>
              <w:rPr>
                <w:rFonts w:ascii="Arial" w:cs="Arial" w:eastAsia="Arial" w:hAnsi="Arial"/>
                <w:sz w:val="18"/>
                <w:szCs w:val="18"/>
                <w:color w:val="auto"/>
                <w:w w:val="91"/>
              </w:rPr>
              <w:t>We will pay interest on the Notes semi-annually in arrears on</w:t>
            </w:r>
          </w:p>
        </w:tc>
        <w:tc>
          <w:tcPr>
            <w:tcW w:w="1220" w:type="dxa"/>
            <w:vAlign w:val="bottom"/>
          </w:tcPr>
          <w:p>
            <w:pPr>
              <w:jc w:val="right"/>
              <w:ind w:right="472"/>
              <w:spacing w:after="0"/>
              <w:rPr>
                <w:sz w:val="20"/>
                <w:szCs w:val="20"/>
                <w:color w:val="auto"/>
              </w:rPr>
            </w:pPr>
            <w:r>
              <w:rPr>
                <w:rFonts w:ascii="Arial" w:cs="Arial" w:eastAsia="Arial" w:hAnsi="Arial"/>
                <w:sz w:val="18"/>
                <w:szCs w:val="18"/>
                <w:color w:val="auto"/>
              </w:rPr>
              <w:t>and</w:t>
            </w:r>
          </w:p>
        </w:tc>
        <w:tc>
          <w:tcPr>
            <w:tcW w:w="600" w:type="dxa"/>
            <w:vAlign w:val="bottom"/>
          </w:tcPr>
          <w:p>
            <w:pPr>
              <w:ind w:left="40"/>
              <w:spacing w:after="0"/>
              <w:rPr>
                <w:sz w:val="20"/>
                <w:szCs w:val="20"/>
                <w:color w:val="auto"/>
              </w:rPr>
            </w:pPr>
            <w:r>
              <w:rPr>
                <w:rFonts w:ascii="Arial" w:cs="Arial" w:eastAsia="Arial" w:hAnsi="Arial"/>
                <w:sz w:val="18"/>
                <w:szCs w:val="18"/>
                <w:color w:val="auto"/>
                <w:w w:val="91"/>
              </w:rPr>
              <w:t>of each</w:t>
            </w:r>
          </w:p>
        </w:tc>
      </w:tr>
      <w:tr>
        <w:trPr>
          <w:trHeight w:val="222"/>
        </w:trPr>
        <w:tc>
          <w:tcPr>
            <w:tcW w:w="3160" w:type="dxa"/>
            <w:vAlign w:val="bottom"/>
          </w:tcPr>
          <w:p>
            <w:pPr>
              <w:spacing w:after="0"/>
              <w:rPr>
                <w:sz w:val="19"/>
                <w:szCs w:val="19"/>
                <w:color w:val="auto"/>
              </w:rPr>
            </w:pPr>
          </w:p>
        </w:tc>
        <w:tc>
          <w:tcPr>
            <w:tcW w:w="2900" w:type="dxa"/>
            <w:vAlign w:val="bottom"/>
          </w:tcPr>
          <w:p>
            <w:pPr>
              <w:ind w:left="1600"/>
              <w:spacing w:after="0"/>
              <w:rPr>
                <w:sz w:val="20"/>
                <w:szCs w:val="20"/>
                <w:color w:val="auto"/>
              </w:rPr>
            </w:pPr>
            <w:r>
              <w:rPr>
                <w:rFonts w:ascii="Arial" w:cs="Arial" w:eastAsia="Arial" w:hAnsi="Arial"/>
                <w:sz w:val="18"/>
                <w:szCs w:val="18"/>
                <w:color w:val="auto"/>
                <w:w w:val="86"/>
              </w:rPr>
              <w:t>year, beginning on</w:t>
            </w:r>
          </w:p>
        </w:tc>
        <w:tc>
          <w:tcPr>
            <w:tcW w:w="1740" w:type="dxa"/>
            <w:vAlign w:val="bottom"/>
          </w:tcPr>
          <w:p>
            <w:pPr>
              <w:jc w:val="right"/>
              <w:ind w:right="612"/>
              <w:spacing w:after="0"/>
              <w:rPr>
                <w:sz w:val="20"/>
                <w:szCs w:val="20"/>
                <w:color w:val="auto"/>
              </w:rPr>
            </w:pPr>
            <w:r>
              <w:rPr>
                <w:rFonts w:ascii="Arial" w:cs="Arial" w:eastAsia="Arial" w:hAnsi="Arial"/>
                <w:sz w:val="18"/>
                <w:szCs w:val="18"/>
                <w:color w:val="auto"/>
              </w:rPr>
              <w:t>, 2014.</w:t>
            </w: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58"/>
        </w:trPr>
        <w:tc>
          <w:tcPr>
            <w:tcW w:w="3160" w:type="dxa"/>
            <w:vAlign w:val="bottom"/>
          </w:tcPr>
          <w:p>
            <w:pPr>
              <w:spacing w:after="0"/>
              <w:rPr>
                <w:sz w:val="20"/>
                <w:szCs w:val="20"/>
                <w:color w:val="auto"/>
              </w:rPr>
            </w:pPr>
            <w:r>
              <w:rPr>
                <w:rFonts w:ascii="Arial" w:cs="Arial" w:eastAsia="Arial" w:hAnsi="Arial"/>
                <w:sz w:val="18"/>
                <w:szCs w:val="18"/>
                <w:color w:val="auto"/>
              </w:rPr>
              <w:t>Optional redemption</w:t>
            </w:r>
          </w:p>
        </w:tc>
        <w:tc>
          <w:tcPr>
            <w:tcW w:w="7880" w:type="dxa"/>
            <w:vAlign w:val="bottom"/>
            <w:gridSpan w:val="6"/>
          </w:tcPr>
          <w:p>
            <w:pPr>
              <w:ind w:left="1600"/>
              <w:spacing w:after="0"/>
              <w:rPr>
                <w:sz w:val="20"/>
                <w:szCs w:val="20"/>
                <w:color w:val="auto"/>
              </w:rPr>
            </w:pPr>
            <w:r>
              <w:rPr>
                <w:rFonts w:ascii="Arial" w:cs="Arial" w:eastAsia="Arial" w:hAnsi="Arial"/>
                <w:sz w:val="18"/>
                <w:szCs w:val="18"/>
                <w:color w:val="auto"/>
                <w:w w:val="89"/>
              </w:rPr>
              <w:t>We may redeem the Notes, in whole or in part, at any time and from time to time prior to</w:t>
            </w:r>
          </w:p>
        </w:tc>
      </w:tr>
      <w:tr>
        <w:trPr>
          <w:trHeight w:val="216"/>
        </w:trPr>
        <w:tc>
          <w:tcPr>
            <w:tcW w:w="3160" w:type="dxa"/>
            <w:vAlign w:val="bottom"/>
          </w:tcPr>
          <w:p>
            <w:pPr>
              <w:spacing w:after="0"/>
              <w:rPr>
                <w:sz w:val="18"/>
                <w:szCs w:val="18"/>
                <w:color w:val="auto"/>
              </w:rPr>
            </w:pPr>
          </w:p>
        </w:tc>
        <w:tc>
          <w:tcPr>
            <w:tcW w:w="4640" w:type="dxa"/>
            <w:vAlign w:val="bottom"/>
            <w:gridSpan w:val="2"/>
          </w:tcPr>
          <w:p>
            <w:pPr>
              <w:ind w:left="1600"/>
              <w:spacing w:after="0"/>
              <w:rPr>
                <w:sz w:val="20"/>
                <w:szCs w:val="20"/>
                <w:color w:val="auto"/>
              </w:rPr>
            </w:pPr>
            <w:r>
              <w:rPr>
                <w:rFonts w:ascii="Arial" w:cs="Arial" w:eastAsia="Arial" w:hAnsi="Arial"/>
                <w:sz w:val="18"/>
                <w:szCs w:val="18"/>
                <w:color w:val="auto"/>
                <w:w w:val="95"/>
              </w:rPr>
              <w:t>maturity. If we redeem the Notes before</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200"/>
              <w:spacing w:after="0"/>
              <w:rPr>
                <w:sz w:val="20"/>
                <w:szCs w:val="20"/>
                <w:color w:val="auto"/>
              </w:rPr>
            </w:pPr>
            <w:r>
              <w:rPr>
                <w:rFonts w:ascii="Arial" w:cs="Arial" w:eastAsia="Arial" w:hAnsi="Arial"/>
                <w:sz w:val="18"/>
                <w:szCs w:val="18"/>
                <w:color w:val="auto"/>
                <w:w w:val="99"/>
              </w:rPr>
              <w:t>months prior to their</w:t>
            </w:r>
          </w:p>
        </w:tc>
      </w:tr>
      <w:tr>
        <w:trPr>
          <w:trHeight w:val="216"/>
        </w:trPr>
        <w:tc>
          <w:tcPr>
            <w:tcW w:w="3160" w:type="dxa"/>
            <w:vAlign w:val="bottom"/>
          </w:tcPr>
          <w:p>
            <w:pPr>
              <w:spacing w:after="0"/>
              <w:rPr>
                <w:sz w:val="18"/>
                <w:szCs w:val="18"/>
                <w:color w:val="auto"/>
              </w:rPr>
            </w:pPr>
          </w:p>
        </w:tc>
        <w:tc>
          <w:tcPr>
            <w:tcW w:w="7880" w:type="dxa"/>
            <w:vAlign w:val="bottom"/>
            <w:gridSpan w:val="6"/>
          </w:tcPr>
          <w:p>
            <w:pPr>
              <w:ind w:left="1600"/>
              <w:spacing w:after="0"/>
              <w:rPr>
                <w:sz w:val="20"/>
                <w:szCs w:val="20"/>
                <w:color w:val="auto"/>
              </w:rPr>
            </w:pPr>
            <w:r>
              <w:rPr>
                <w:rFonts w:ascii="Arial" w:cs="Arial" w:eastAsia="Arial" w:hAnsi="Arial"/>
                <w:sz w:val="18"/>
                <w:szCs w:val="18"/>
                <w:color w:val="auto"/>
                <w:w w:val="89"/>
              </w:rPr>
              <w:t>maturity date), the Notes may be redeemed at a price equal to the greater of (i) 100% of</w:t>
            </w:r>
          </w:p>
        </w:tc>
      </w:tr>
      <w:tr>
        <w:trPr>
          <w:trHeight w:val="216"/>
        </w:trPr>
        <w:tc>
          <w:tcPr>
            <w:tcW w:w="3160" w:type="dxa"/>
            <w:vAlign w:val="bottom"/>
          </w:tcPr>
          <w:p>
            <w:pPr>
              <w:spacing w:after="0"/>
              <w:rPr>
                <w:sz w:val="18"/>
                <w:szCs w:val="18"/>
                <w:color w:val="auto"/>
              </w:rPr>
            </w:pPr>
          </w:p>
        </w:tc>
        <w:tc>
          <w:tcPr>
            <w:tcW w:w="7880" w:type="dxa"/>
            <w:vAlign w:val="bottom"/>
            <w:gridSpan w:val="6"/>
          </w:tcPr>
          <w:p>
            <w:pPr>
              <w:ind w:left="1600"/>
              <w:spacing w:after="0"/>
              <w:rPr>
                <w:sz w:val="20"/>
                <w:szCs w:val="20"/>
                <w:color w:val="auto"/>
              </w:rPr>
            </w:pPr>
            <w:r>
              <w:rPr>
                <w:rFonts w:ascii="Arial" w:cs="Arial" w:eastAsia="Arial" w:hAnsi="Arial"/>
                <w:sz w:val="18"/>
                <w:szCs w:val="18"/>
                <w:color w:val="auto"/>
                <w:w w:val="89"/>
              </w:rPr>
              <w:t>the principal amount of the Notes to be redeemed or (ii) the sum of the present values of</w:t>
            </w:r>
          </w:p>
        </w:tc>
      </w:tr>
      <w:tr>
        <w:trPr>
          <w:trHeight w:val="216"/>
        </w:trPr>
        <w:tc>
          <w:tcPr>
            <w:tcW w:w="3160" w:type="dxa"/>
            <w:vAlign w:val="bottom"/>
          </w:tcPr>
          <w:p>
            <w:pPr>
              <w:spacing w:after="0"/>
              <w:rPr>
                <w:sz w:val="18"/>
                <w:szCs w:val="18"/>
                <w:color w:val="auto"/>
              </w:rPr>
            </w:pPr>
          </w:p>
        </w:tc>
        <w:tc>
          <w:tcPr>
            <w:tcW w:w="7280" w:type="dxa"/>
            <w:vAlign w:val="bottom"/>
            <w:gridSpan w:val="5"/>
          </w:tcPr>
          <w:p>
            <w:pPr>
              <w:ind w:left="1600"/>
              <w:spacing w:after="0"/>
              <w:rPr>
                <w:sz w:val="20"/>
                <w:szCs w:val="20"/>
                <w:color w:val="auto"/>
              </w:rPr>
            </w:pPr>
            <w:r>
              <w:rPr>
                <w:rFonts w:ascii="Arial" w:cs="Arial" w:eastAsia="Arial" w:hAnsi="Arial"/>
                <w:sz w:val="18"/>
                <w:szCs w:val="18"/>
                <w:color w:val="auto"/>
                <w:w w:val="88"/>
              </w:rPr>
              <w:t>the remaining scheduled payments of principal of and interest on the Notes to be</w:t>
            </w:r>
          </w:p>
        </w:tc>
        <w:tc>
          <w:tcPr>
            <w:tcW w:w="6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7880" w:type="dxa"/>
            <w:vAlign w:val="bottom"/>
            <w:gridSpan w:val="6"/>
          </w:tcPr>
          <w:p>
            <w:pPr>
              <w:ind w:left="1600"/>
              <w:spacing w:after="0"/>
              <w:rPr>
                <w:sz w:val="20"/>
                <w:szCs w:val="20"/>
                <w:color w:val="auto"/>
              </w:rPr>
            </w:pPr>
            <w:r>
              <w:rPr>
                <w:rFonts w:ascii="Arial" w:cs="Arial" w:eastAsia="Arial" w:hAnsi="Arial"/>
                <w:sz w:val="18"/>
                <w:szCs w:val="18"/>
                <w:color w:val="auto"/>
                <w:w w:val="93"/>
              </w:rPr>
              <w:t>redeemed, discounted to the redemption date on a semiannual basis at the Adjusted</w:t>
            </w:r>
          </w:p>
        </w:tc>
      </w:tr>
      <w:tr>
        <w:trPr>
          <w:trHeight w:val="216"/>
        </w:trPr>
        <w:tc>
          <w:tcPr>
            <w:tcW w:w="3160" w:type="dxa"/>
            <w:vAlign w:val="bottom"/>
          </w:tcPr>
          <w:p>
            <w:pPr>
              <w:spacing w:after="0"/>
              <w:rPr>
                <w:sz w:val="18"/>
                <w:szCs w:val="18"/>
                <w:color w:val="auto"/>
              </w:rPr>
            </w:pPr>
          </w:p>
        </w:tc>
        <w:tc>
          <w:tcPr>
            <w:tcW w:w="4640" w:type="dxa"/>
            <w:vAlign w:val="bottom"/>
            <w:gridSpan w:val="2"/>
          </w:tcPr>
          <w:p>
            <w:pPr>
              <w:ind w:left="1600"/>
              <w:spacing w:after="0"/>
              <w:rPr>
                <w:sz w:val="20"/>
                <w:szCs w:val="20"/>
                <w:color w:val="auto"/>
              </w:rPr>
            </w:pPr>
            <w:r>
              <w:rPr>
                <w:rFonts w:ascii="Arial" w:cs="Arial" w:eastAsia="Arial" w:hAnsi="Arial"/>
                <w:sz w:val="18"/>
                <w:szCs w:val="18"/>
                <w:color w:val="auto"/>
                <w:w w:val="98"/>
              </w:rPr>
              <w:t>Treasury Rate (as defined herein) plus</w:t>
            </w:r>
          </w:p>
        </w:tc>
        <w:tc>
          <w:tcPr>
            <w:tcW w:w="3240" w:type="dxa"/>
            <w:vAlign w:val="bottom"/>
            <w:gridSpan w:val="4"/>
          </w:tcPr>
          <w:p>
            <w:pPr>
              <w:ind w:left="240"/>
              <w:spacing w:after="0"/>
              <w:rPr>
                <w:sz w:val="20"/>
                <w:szCs w:val="20"/>
                <w:color w:val="auto"/>
              </w:rPr>
            </w:pPr>
            <w:r>
              <w:rPr>
                <w:rFonts w:ascii="Arial" w:cs="Arial" w:eastAsia="Arial" w:hAnsi="Arial"/>
                <w:sz w:val="18"/>
                <w:szCs w:val="18"/>
                <w:color w:val="auto"/>
                <w:w w:val="87"/>
              </w:rPr>
              <w:t>basis points, together with accrued interest</w:t>
            </w:r>
          </w:p>
        </w:tc>
      </w:tr>
      <w:tr>
        <w:trPr>
          <w:trHeight w:val="222"/>
        </w:trPr>
        <w:tc>
          <w:tcPr>
            <w:tcW w:w="3160" w:type="dxa"/>
            <w:vAlign w:val="bottom"/>
          </w:tcPr>
          <w:p>
            <w:pPr>
              <w:spacing w:after="0"/>
              <w:rPr>
                <w:sz w:val="19"/>
                <w:szCs w:val="19"/>
                <w:color w:val="auto"/>
              </w:rPr>
            </w:pPr>
          </w:p>
        </w:tc>
        <w:tc>
          <w:tcPr>
            <w:tcW w:w="6060" w:type="dxa"/>
            <w:vAlign w:val="bottom"/>
            <w:gridSpan w:val="4"/>
          </w:tcPr>
          <w:p>
            <w:pPr>
              <w:ind w:left="1600"/>
              <w:spacing w:after="0"/>
              <w:rPr>
                <w:sz w:val="20"/>
                <w:szCs w:val="20"/>
                <w:color w:val="auto"/>
              </w:rPr>
            </w:pPr>
            <w:r>
              <w:rPr>
                <w:rFonts w:ascii="Arial" w:cs="Arial" w:eastAsia="Arial" w:hAnsi="Arial"/>
                <w:sz w:val="18"/>
                <w:szCs w:val="18"/>
                <w:color w:val="auto"/>
                <w:w w:val="91"/>
              </w:rPr>
              <w:t>to the date of redemption. If we redeem the Notes on or after</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r>
    </w:tbl>
    <w:p>
      <w:pPr>
        <w:ind w:left="4960" w:right="260" w:firstLine="562"/>
        <w:spacing w:after="0" w:line="302" w:lineRule="auto"/>
        <w:tabs>
          <w:tab w:leader="none" w:pos="6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months prior to their maturity date), the redemption price will equal 100% of the principal amount of the Notes to be redeemed plus accrued interest to the redemption date. See “Description of Notes—Optional Redemption.”</w:t>
      </w: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tabs>
          <w:tab w:leader="none" w:pos="4940" w:val="left"/>
        </w:tabs>
        <w:rPr>
          <w:sz w:val="20"/>
          <w:szCs w:val="20"/>
          <w:color w:val="auto"/>
        </w:rPr>
      </w:pPr>
      <w:r>
        <w:rPr>
          <w:rFonts w:ascii="Arial" w:cs="Arial" w:eastAsia="Arial" w:hAnsi="Arial"/>
          <w:sz w:val="16"/>
          <w:szCs w:val="16"/>
          <w:color w:val="auto"/>
        </w:rPr>
        <w:t>Ranking</w:t>
      </w:r>
      <w:r>
        <w:rPr>
          <w:sz w:val="20"/>
          <w:szCs w:val="20"/>
          <w:color w:val="auto"/>
        </w:rPr>
        <w:tab/>
      </w:r>
      <w:r>
        <w:rPr>
          <w:rFonts w:ascii="Arial" w:cs="Arial" w:eastAsia="Arial" w:hAnsi="Arial"/>
          <w:sz w:val="16"/>
          <w:szCs w:val="16"/>
          <w:color w:val="auto"/>
        </w:rPr>
        <w:t>The Notes will be general senior unsecured obligations of the issuers and will rank</w:t>
      </w:r>
    </w:p>
    <w:p>
      <w:pPr>
        <w:spacing w:after="0" w:line="38" w:lineRule="exact"/>
        <w:rPr>
          <w:sz w:val="20"/>
          <w:szCs w:val="20"/>
          <w:color w:val="auto"/>
        </w:rPr>
      </w:pPr>
    </w:p>
    <w:p>
      <w:pPr>
        <w:ind w:left="4960" w:right="540"/>
        <w:spacing w:after="0" w:line="261" w:lineRule="auto"/>
        <w:rPr>
          <w:sz w:val="20"/>
          <w:szCs w:val="20"/>
          <w:color w:val="auto"/>
        </w:rPr>
      </w:pPr>
      <w:r>
        <w:rPr>
          <w:rFonts w:ascii="Arial" w:cs="Arial" w:eastAsia="Arial" w:hAnsi="Arial"/>
          <w:sz w:val="18"/>
          <w:szCs w:val="18"/>
          <w:color w:val="auto"/>
        </w:rPr>
        <w:t>equally in right of payment with the existing and future senior indebtedness of the issuers.</w:t>
      </w:r>
    </w:p>
    <w:p>
      <w:pPr>
        <w:spacing w:after="0" w:line="124" w:lineRule="exact"/>
        <w:rPr>
          <w:sz w:val="20"/>
          <w:szCs w:val="20"/>
          <w:color w:val="auto"/>
        </w:rPr>
      </w:pPr>
    </w:p>
    <w:p>
      <w:pPr>
        <w:ind w:left="200"/>
        <w:spacing w:after="0"/>
        <w:tabs>
          <w:tab w:leader="none" w:pos="4940" w:val="left"/>
        </w:tabs>
        <w:rPr>
          <w:sz w:val="20"/>
          <w:szCs w:val="20"/>
          <w:color w:val="auto"/>
        </w:rPr>
      </w:pPr>
      <w:r>
        <w:rPr>
          <w:rFonts w:ascii="Arial" w:cs="Arial" w:eastAsia="Arial" w:hAnsi="Arial"/>
          <w:sz w:val="18"/>
          <w:szCs w:val="18"/>
          <w:color w:val="auto"/>
        </w:rPr>
        <w:t>Certain covenants</w:t>
      </w:r>
      <w:r>
        <w:rPr>
          <w:sz w:val="20"/>
          <w:szCs w:val="20"/>
          <w:color w:val="auto"/>
        </w:rPr>
        <w:tab/>
      </w:r>
      <w:r>
        <w:rPr>
          <w:rFonts w:ascii="Arial" w:cs="Arial" w:eastAsia="Arial" w:hAnsi="Arial"/>
          <w:sz w:val="15"/>
          <w:szCs w:val="15"/>
          <w:color w:val="auto"/>
        </w:rPr>
        <w:t>The Notes will be issued under an indenture containing covenants for your benefit. These</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 restrict our ability, with certain exceptions, to:</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Book entry, delivery and form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Further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listing</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429" w:hanging="429"/>
        <w:spacing w:after="0"/>
        <w:tabs>
          <w:tab w:leader="none" w:pos="429"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liens on principal properties to secure debt;</w:t>
      </w:r>
    </w:p>
    <w:p>
      <w:pPr>
        <w:spacing w:after="0" w:line="157" w:lineRule="exact"/>
        <w:rPr>
          <w:rFonts w:ascii="Arial" w:cs="Arial" w:eastAsia="Arial" w:hAnsi="Arial"/>
          <w:sz w:val="18"/>
          <w:szCs w:val="18"/>
          <w:color w:val="auto"/>
        </w:rPr>
      </w:pPr>
    </w:p>
    <w:p>
      <w:pPr>
        <w:ind w:left="429" w:hanging="429"/>
        <w:spacing w:after="0"/>
        <w:tabs>
          <w:tab w:leader="none" w:pos="429"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sale-leaseback transactions; and</w:t>
      </w:r>
    </w:p>
    <w:p>
      <w:pPr>
        <w:spacing w:after="0" w:line="157" w:lineRule="exact"/>
        <w:rPr>
          <w:rFonts w:ascii="Arial" w:cs="Arial" w:eastAsia="Arial" w:hAnsi="Arial"/>
          <w:sz w:val="18"/>
          <w:szCs w:val="18"/>
          <w:color w:val="auto"/>
        </w:rPr>
      </w:pPr>
    </w:p>
    <w:p>
      <w:pPr>
        <w:ind w:left="429" w:hanging="429"/>
        <w:spacing w:after="0" w:line="268" w:lineRule="auto"/>
        <w:tabs>
          <w:tab w:leader="none" w:pos="429"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 or consolidate with another entity or sell, lease or transfer substantially all of our properties or assets to another entity.</w:t>
      </w:r>
    </w:p>
    <w:p>
      <w:pPr>
        <w:spacing w:after="0" w:line="118" w:lineRule="exact"/>
        <w:rPr>
          <w:sz w:val="20"/>
          <w:szCs w:val="20"/>
          <w:color w:val="auto"/>
        </w:rPr>
      </w:pPr>
    </w:p>
    <w:p>
      <w:pPr>
        <w:ind w:left="9"/>
        <w:spacing w:after="0"/>
        <w:rPr>
          <w:sz w:val="20"/>
          <w:szCs w:val="20"/>
          <w:color w:val="auto"/>
        </w:rPr>
      </w:pPr>
      <w:r>
        <w:rPr>
          <w:rFonts w:ascii="Arial" w:cs="Arial" w:eastAsia="Arial" w:hAnsi="Arial"/>
          <w:sz w:val="18"/>
          <w:szCs w:val="18"/>
          <w:color w:val="auto"/>
        </w:rPr>
        <w:t>See “Description of Notes—Covenants.”</w:t>
      </w:r>
    </w:p>
    <w:p>
      <w:pPr>
        <w:spacing w:after="0" w:line="158" w:lineRule="exact"/>
        <w:rPr>
          <w:sz w:val="20"/>
          <w:szCs w:val="20"/>
          <w:color w:val="auto"/>
        </w:rPr>
      </w:pPr>
    </w:p>
    <w:p>
      <w:pPr>
        <w:ind w:left="9" w:right="40"/>
        <w:spacing w:after="0" w:line="256" w:lineRule="auto"/>
        <w:rPr>
          <w:sz w:val="20"/>
          <w:szCs w:val="20"/>
          <w:color w:val="auto"/>
        </w:rPr>
      </w:pPr>
      <w:r>
        <w:rPr>
          <w:rFonts w:ascii="Arial" w:cs="Arial" w:eastAsia="Arial" w:hAnsi="Arial"/>
          <w:sz w:val="18"/>
          <w:szCs w:val="18"/>
          <w:color w:val="auto"/>
        </w:rPr>
        <w:t>The net proceeds of this offering will be approximately $ million after deducting the underwriting discounts and our estimated offering expenses. We expect to use the net proceeds from this offering to repay outstanding borrowings under our credit facilities and for general partnership purposes.</w:t>
      </w:r>
    </w:p>
    <w:p>
      <w:pPr>
        <w:spacing w:after="0" w:line="130" w:lineRule="exact"/>
        <w:rPr>
          <w:sz w:val="20"/>
          <w:szCs w:val="20"/>
          <w:color w:val="auto"/>
        </w:rPr>
      </w:pPr>
    </w:p>
    <w:p>
      <w:pPr>
        <w:ind w:left="9" w:right="140"/>
        <w:spacing w:after="0" w:line="259" w:lineRule="auto"/>
        <w:rPr>
          <w:sz w:val="20"/>
          <w:szCs w:val="20"/>
          <w:color w:val="auto"/>
        </w:rPr>
      </w:pPr>
      <w:r>
        <w:rPr>
          <w:rFonts w:ascii="Arial" w:cs="Arial" w:eastAsia="Arial" w:hAnsi="Arial"/>
          <w:sz w:val="18"/>
          <w:szCs w:val="18"/>
          <w:color w:val="auto"/>
        </w:rPr>
        <w:t>Amounts repaid under our credit facilities may be reborrowed, as necessary, to fund our ongoing expansion capital program, future acquisitions, or for general partnership purposes.</w:t>
      </w:r>
    </w:p>
    <w:p>
      <w:pPr>
        <w:spacing w:after="0" w:line="127" w:lineRule="exact"/>
        <w:rPr>
          <w:sz w:val="20"/>
          <w:szCs w:val="20"/>
          <w:color w:val="auto"/>
        </w:rPr>
      </w:pPr>
    </w:p>
    <w:p>
      <w:pPr>
        <w:ind w:left="9" w:right="140"/>
        <w:spacing w:after="0" w:line="259" w:lineRule="auto"/>
        <w:rPr>
          <w:sz w:val="20"/>
          <w:szCs w:val="20"/>
          <w:color w:val="auto"/>
        </w:rPr>
      </w:pPr>
      <w:r>
        <w:rPr>
          <w:rFonts w:ascii="Arial" w:cs="Arial" w:eastAsia="Arial" w:hAnsi="Arial"/>
          <w:sz w:val="18"/>
          <w:szCs w:val="18"/>
          <w:color w:val="auto"/>
        </w:rPr>
        <w:t>The Notes will be represented by one or more permanent global certificates in fully registered form deposited with a custodian for, and registered in the name of, a nominee of The Depository Trust Company.</w:t>
      </w:r>
    </w:p>
    <w:p>
      <w:pPr>
        <w:spacing w:after="0" w:line="127" w:lineRule="exact"/>
        <w:rPr>
          <w:sz w:val="20"/>
          <w:szCs w:val="20"/>
          <w:color w:val="auto"/>
        </w:rPr>
      </w:pPr>
    </w:p>
    <w:p>
      <w:pPr>
        <w:ind w:left="9"/>
        <w:spacing w:after="0" w:line="254" w:lineRule="auto"/>
        <w:rPr>
          <w:sz w:val="20"/>
          <w:szCs w:val="20"/>
          <w:color w:val="auto"/>
        </w:rPr>
      </w:pPr>
      <w:r>
        <w:rPr>
          <w:rFonts w:ascii="Arial" w:cs="Arial" w:eastAsia="Arial" w:hAnsi="Arial"/>
          <w:sz w:val="18"/>
          <w:szCs w:val="18"/>
          <w:color w:val="auto"/>
        </w:rPr>
        <w:t>We may create and issue additional Notes ranking equally and ratably with the Notes offered by this prospectus supplement in all respects, so that such 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w:t>
      </w:r>
    </w:p>
    <w:p>
      <w:pPr>
        <w:spacing w:after="0" w:line="131" w:lineRule="exact"/>
        <w:rPr>
          <w:sz w:val="20"/>
          <w:szCs w:val="20"/>
          <w:color w:val="auto"/>
        </w:rPr>
      </w:pPr>
    </w:p>
    <w:p>
      <w:pPr>
        <w:ind w:left="9" w:right="180"/>
        <w:spacing w:after="0" w:line="255"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 See “Risk Factors—Risks Related to the Notes—Your ability to transfer the Notes may be limited by the absence of an organized trading market.”</w:t>
      </w:r>
    </w:p>
    <w:p>
      <w:pPr>
        <w:spacing w:after="0" w:line="129" w:lineRule="exact"/>
        <w:rPr>
          <w:sz w:val="20"/>
          <w:szCs w:val="20"/>
          <w:color w:val="auto"/>
        </w:rPr>
      </w:pPr>
    </w:p>
    <w:p>
      <w:pPr>
        <w:sectPr>
          <w:pgSz w:w="11900" w:h="16838" w:orient="portrait"/>
          <w:cols w:equalWidth="0" w:num="2">
            <w:col w:w="4231" w:space="720"/>
            <w:col w:w="6309"/>
          </w:cols>
          <w:pgMar w:left="240" w:top="459" w:right="399" w:bottom="1440" w:gutter="0" w:footer="0" w:header="0"/>
          <w:type w:val="continuous"/>
        </w:sectPr>
      </w:pPr>
    </w:p>
    <w:p>
      <w:pPr>
        <w:ind w:left="200"/>
        <w:spacing w:after="0"/>
        <w:tabs>
          <w:tab w:leader="none" w:pos="4940" w:val="left"/>
        </w:tabs>
        <w:rPr>
          <w:sz w:val="20"/>
          <w:szCs w:val="20"/>
          <w:color w:val="auto"/>
        </w:rPr>
      </w:pPr>
      <w:r>
        <w:rPr>
          <w:rFonts w:ascii="Arial" w:cs="Arial" w:eastAsia="Arial" w:hAnsi="Arial"/>
          <w:sz w:val="18"/>
          <w:szCs w:val="18"/>
          <w:color w:val="auto"/>
        </w:rPr>
        <w:t>Governing law</w:t>
      </w:r>
      <w:r>
        <w:rPr>
          <w:sz w:val="20"/>
          <w:szCs w:val="20"/>
          <w:color w:val="auto"/>
        </w:rPr>
        <w:tab/>
      </w:r>
      <w:r>
        <w:rPr>
          <w:rFonts w:ascii="Arial" w:cs="Arial" w:eastAsia="Arial" w:hAnsi="Arial"/>
          <w:sz w:val="16"/>
          <w:szCs w:val="16"/>
          <w:color w:val="auto"/>
        </w:rPr>
        <w:t>State of New York.</w:t>
      </w: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00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46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8"/>
                <w:szCs w:val="18"/>
                <w:color w:val="auto"/>
              </w:rPr>
              <w:t>U.S. Bank National Association.</w:t>
            </w:r>
          </w:p>
        </w:tc>
      </w:tr>
      <w:tr>
        <w:trPr>
          <w:trHeight w:val="372"/>
        </w:trPr>
        <w:tc>
          <w:tcPr>
            <w:tcW w:w="30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46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2"/>
              </w:rPr>
              <w:t>Investing in the Notes involves risks. You should consider carefully all of the information</w:t>
            </w:r>
          </w:p>
        </w:tc>
      </w:tr>
      <w:tr>
        <w:trPr>
          <w:trHeight w:val="216"/>
        </w:trPr>
        <w:tc>
          <w:tcPr>
            <w:tcW w:w="300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7"/>
              </w:rPr>
              <w:t>in this prospectus supplement, the accompanying base prospectus, any free writing</w:t>
            </w:r>
          </w:p>
        </w:tc>
      </w:tr>
      <w:tr>
        <w:trPr>
          <w:trHeight w:val="216"/>
        </w:trPr>
        <w:tc>
          <w:tcPr>
            <w:tcW w:w="300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3"/>
              </w:rPr>
              <w:t>prospectus relating to this offering and the documents incorporated by reference herein</w:t>
            </w:r>
          </w:p>
        </w:tc>
      </w:tr>
      <w:tr>
        <w:trPr>
          <w:trHeight w:val="216"/>
        </w:trPr>
        <w:tc>
          <w:tcPr>
            <w:tcW w:w="300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7"/>
              </w:rPr>
              <w:t>and therein. In particular, you should consider carefully the specific risks set forth in</w:t>
            </w:r>
          </w:p>
        </w:tc>
      </w:tr>
      <w:tr>
        <w:trPr>
          <w:trHeight w:val="222"/>
        </w:trPr>
        <w:tc>
          <w:tcPr>
            <w:tcW w:w="3000" w:type="dxa"/>
            <w:vAlign w:val="bottom"/>
            <w:tcBorders>
              <w:left w:val="single" w:sz="8" w:color="auto"/>
            </w:tcBorders>
          </w:tcPr>
          <w:p>
            <w:pPr>
              <w:spacing w:after="0"/>
              <w:rPr>
                <w:sz w:val="19"/>
                <w:szCs w:val="19"/>
                <w:color w:val="auto"/>
              </w:rPr>
            </w:pPr>
          </w:p>
        </w:tc>
        <w:tc>
          <w:tcPr>
            <w:tcW w:w="846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“Risk Factors” beginning on page S-6 of this prospectus supplement.</w:t>
            </w:r>
          </w:p>
        </w:tc>
      </w:tr>
      <w:tr>
        <w:trPr>
          <w:trHeight w:val="161"/>
        </w:trPr>
        <w:tc>
          <w:tcPr>
            <w:tcW w:w="3000" w:type="dxa"/>
            <w:vAlign w:val="bottom"/>
            <w:tcBorders>
              <w:left w:val="single" w:sz="8" w:color="auto"/>
              <w:bottom w:val="single" w:sz="8" w:color="auto"/>
            </w:tcBorders>
          </w:tcPr>
          <w:p>
            <w:pPr>
              <w:spacing w:after="0"/>
              <w:rPr>
                <w:sz w:val="13"/>
                <w:szCs w:val="13"/>
                <w:color w:val="auto"/>
              </w:rPr>
            </w:pPr>
          </w:p>
        </w:tc>
        <w:tc>
          <w:tcPr>
            <w:tcW w:w="8460" w:type="dxa"/>
            <w:vAlign w:val="bottom"/>
            <w:tcBorders>
              <w:bottom w:val="single" w:sz="8" w:color="auto"/>
              <w:right w:val="single" w:sz="8" w:color="auto"/>
            </w:tcBorders>
          </w:tcPr>
          <w:p>
            <w:pPr>
              <w:spacing w:after="0"/>
              <w:rPr>
                <w:sz w:val="13"/>
                <w:szCs w:val="13"/>
                <w:color w:val="auto"/>
              </w:rPr>
            </w:pPr>
          </w:p>
        </w:tc>
      </w:tr>
      <w:tr>
        <w:trPr>
          <w:trHeight w:val="359"/>
        </w:trPr>
        <w:tc>
          <w:tcPr>
            <w:tcW w:w="3000" w:type="dxa"/>
            <w:vAlign w:val="bottom"/>
          </w:tcPr>
          <w:p>
            <w:pPr>
              <w:spacing w:after="0"/>
              <w:rPr>
                <w:sz w:val="24"/>
                <w:szCs w:val="24"/>
                <w:color w:val="auto"/>
              </w:rPr>
            </w:pPr>
          </w:p>
        </w:tc>
        <w:tc>
          <w:tcPr>
            <w:tcW w:w="8460" w:type="dxa"/>
            <w:vAlign w:val="bottom"/>
          </w:tcPr>
          <w:p>
            <w:pPr>
              <w:ind w:left="260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50" w:lineRule="exact"/>
        <w:rPr>
          <w:sz w:val="20"/>
          <w:szCs w:val="20"/>
          <w:color w:val="auto"/>
        </w:rPr>
      </w:pPr>
    </w:p>
    <w:p>
      <w:pPr>
        <w:ind w:right="80" w:firstLine="342"/>
        <w:spacing w:after="0" w:line="255" w:lineRule="auto"/>
        <w:rPr>
          <w:sz w:val="20"/>
          <w:szCs w:val="20"/>
          <w:color w:val="auto"/>
        </w:rPr>
      </w:pPr>
      <w:r>
        <w:rPr>
          <w:rFonts w:ascii="Arial" w:cs="Arial" w:eastAsia="Arial" w:hAnsi="Arial"/>
          <w:sz w:val="18"/>
          <w:szCs w:val="18"/>
          <w:i w:val="1"/>
          <w:iCs w:val="1"/>
          <w:color w:val="auto"/>
        </w:rPr>
        <w:t>Before making an investment in the Notes offered hereby, you should carefully consider the risk factors included below and those included in Item 1A. “Risk Factors” in our Annual Report on Form 10-K for the fiscal year ended December 31, 2012 (File No. 001-14569), which is incorporated by reference herein, together with all of the other information included or incorporated by reference in this prospectus supplement. If any of these risks were to occur, our business, financial condition or results of operations could be materially adversely affected. In such case, the value of the Notes could decline, and you could lose all or part of your investment.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13" w:lineRule="exact"/>
        <w:rPr>
          <w:sz w:val="20"/>
          <w:szCs w:val="20"/>
          <w:color w:val="auto"/>
        </w:rPr>
      </w:pPr>
    </w:p>
    <w:p>
      <w:pPr>
        <w:ind w:firstLine="342"/>
        <w:spacing w:after="0" w:line="305" w:lineRule="auto"/>
        <w:rPr>
          <w:sz w:val="20"/>
          <w:szCs w:val="20"/>
          <w:color w:val="auto"/>
        </w:rPr>
      </w:pPr>
      <w:r>
        <w:rPr>
          <w:rFonts w:ascii="Arial" w:cs="Arial" w:eastAsia="Arial" w:hAnsi="Arial"/>
          <w:sz w:val="15"/>
          <w:szCs w:val="15"/>
          <w:color w:val="auto"/>
        </w:rPr>
        <w:t>The Notes are effectively subordinated to claims of our secured creditors and to any existing and future indebtedness and other obligations of our subsidiaries, including trade payables, other than subsidiaries that may guarantee the Notes in the future. As of June 30, 2013, on an as adjusted basis as described</w:t>
      </w:r>
    </w:p>
    <w:p>
      <w:pPr>
        <w:spacing w:after="0" w:line="281" w:lineRule="auto"/>
        <w:rPr>
          <w:sz w:val="20"/>
          <w:szCs w:val="20"/>
          <w:color w:val="auto"/>
        </w:rPr>
      </w:pPr>
      <w:r>
        <w:rPr>
          <w:rFonts w:ascii="Arial" w:cs="Arial" w:eastAsia="Arial" w:hAnsi="Arial"/>
          <w:sz w:val="16"/>
          <w:szCs w:val="16"/>
          <w:color w:val="auto"/>
        </w:rPr>
        <w:t>under “Capitalization,” the Notes would have been effectively subordinated to $ million of our short-term secured indebtedness and structurally subordinated to all of our subsidiaries’ indebtedness, which totaled approximately $ million at that date. In the event of the insolvency, bankruptcy, liquidation,</w:t>
      </w:r>
    </w:p>
    <w:p>
      <w:pPr>
        <w:spacing w:after="0" w:line="1"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leverage is significant in relation to our partners’ capital. As of June 30, 2013, on an as adjusted basis as described under “Capitalization,” our total</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outstanding long-term debt was approximately $ billion, and our total outstanding short-term debt was approximately $ million (including current maturities of senior notes). See “Capitalization.”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17" w:lineRule="exact"/>
        <w:rPr>
          <w:sz w:val="20"/>
          <w:szCs w:val="20"/>
          <w:color w:val="auto"/>
        </w:rPr>
      </w:pPr>
    </w:p>
    <w:p>
      <w:pPr>
        <w:ind w:firstLine="342"/>
        <w:spacing w:after="0" w:line="28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93" w:lineRule="exact"/>
        <w:rPr>
          <w:sz w:val="20"/>
          <w:szCs w:val="20"/>
          <w:color w:val="auto"/>
        </w:rPr>
      </w:pPr>
    </w:p>
    <w:p>
      <w:pPr>
        <w:ind w:right="660" w:firstLine="342"/>
        <w:spacing w:after="0" w:line="268"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144" w:lineRule="exact"/>
        <w:rPr>
          <w:sz w:val="20"/>
          <w:szCs w:val="20"/>
          <w:color w:val="auto"/>
        </w:rPr>
      </w:pPr>
    </w:p>
    <w:p>
      <w:pPr>
        <w:ind w:right="60" w:firstLine="342"/>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144" w:lineRule="exact"/>
        <w:rPr>
          <w:sz w:val="20"/>
          <w:szCs w:val="20"/>
          <w:color w:val="auto"/>
        </w:rPr>
      </w:pPr>
    </w:p>
    <w:p>
      <w:pPr>
        <w:ind w:firstLine="342"/>
        <w:spacing w:after="0" w:line="253"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05" w:lineRule="exact"/>
        <w:rPr>
          <w:sz w:val="20"/>
          <w:szCs w:val="20"/>
          <w:color w:val="auto"/>
        </w:rPr>
      </w:pPr>
    </w:p>
    <w:p>
      <w:pPr>
        <w:ind w:right="240" w:firstLine="342"/>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99" w:lineRule="exact"/>
        <w:rPr>
          <w:sz w:val="20"/>
          <w:szCs w:val="20"/>
          <w:color w:val="auto"/>
        </w:rPr>
      </w:pPr>
    </w:p>
    <w:p>
      <w:pPr>
        <w:ind w:left="800" w:right="200" w:hanging="454"/>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the general partner for any one or more of the next four calendar quarters; or</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44"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50" w:lineRule="exact"/>
        <w:rPr>
          <w:sz w:val="20"/>
          <w:szCs w:val="20"/>
          <w:color w:val="auto"/>
        </w:rPr>
      </w:pPr>
    </w:p>
    <w:p>
      <w:pPr>
        <w:ind w:firstLine="342"/>
        <w:spacing w:after="0" w:line="256" w:lineRule="auto"/>
        <w:rPr>
          <w:sz w:val="20"/>
          <w:szCs w:val="20"/>
          <w:color w:val="auto"/>
        </w:rPr>
      </w:pPr>
      <w:r>
        <w:rPr>
          <w:rFonts w:ascii="Arial" w:cs="Arial" w:eastAsia="Arial" w:hAnsi="Arial"/>
          <w:sz w:val="18"/>
          <w:szCs w:val="18"/>
          <w:color w:val="auto"/>
        </w:rPr>
        <w:t>The net proceeds of this offering will be approximately $ million after deducting the underwriting discounts and our estimated offering expenses. We expect to use the net proceeds from this offering to repay outstanding borrowings under our credit facilities and for general partnership purposes. Amounts repaid under our credit facilities may be reborrowed, as necessary, to fund our ongoing expansion capital program, future acquisitions, or for general partnership purposes.</w:t>
      </w:r>
    </w:p>
    <w:p>
      <w:pPr>
        <w:spacing w:after="0" w:line="116" w:lineRule="exact"/>
        <w:rPr>
          <w:sz w:val="20"/>
          <w:szCs w:val="20"/>
          <w:color w:val="auto"/>
        </w:rPr>
      </w:pPr>
    </w:p>
    <w:p>
      <w:pPr>
        <w:ind w:right="320" w:firstLine="342"/>
        <w:spacing w:after="0" w:line="332" w:lineRule="auto"/>
        <w:rPr>
          <w:sz w:val="20"/>
          <w:szCs w:val="20"/>
          <w:color w:val="auto"/>
        </w:rPr>
      </w:pPr>
      <w:r>
        <w:rPr>
          <w:rFonts w:ascii="Arial" w:cs="Arial" w:eastAsia="Arial" w:hAnsi="Arial"/>
          <w:sz w:val="16"/>
          <w:szCs w:val="16"/>
          <w:color w:val="auto"/>
        </w:rPr>
        <w:t>Affiliates of each of the underwriters are lenders under our credit facilities, and accordingly, may receive a portion of the net proceeds from this offering pursuant to the repayment of borrowings under such facilities. Please read “Underwriting” in this prospectus supplement for further information.</w:t>
      </w:r>
    </w:p>
    <w:p>
      <w:pPr>
        <w:spacing w:after="0" w:line="58" w:lineRule="exact"/>
        <w:rPr>
          <w:sz w:val="20"/>
          <w:szCs w:val="20"/>
          <w:color w:val="auto"/>
        </w:rPr>
      </w:pPr>
    </w:p>
    <w:p>
      <w:pPr>
        <w:jc w:val="both"/>
        <w:ind w:right="140" w:firstLine="342"/>
        <w:spacing w:after="0" w:line="259" w:lineRule="auto"/>
        <w:rPr>
          <w:sz w:val="20"/>
          <w:szCs w:val="20"/>
          <w:color w:val="auto"/>
        </w:rPr>
      </w:pPr>
      <w:r>
        <w:rPr>
          <w:rFonts w:ascii="Arial" w:cs="Arial" w:eastAsia="Arial" w:hAnsi="Arial"/>
          <w:sz w:val="18"/>
          <w:szCs w:val="18"/>
          <w:color w:val="auto"/>
        </w:rPr>
        <w:t>As of August 7, 2013, we had approximately $7 million and $410 million of debt outstanding under our senior unsecured revolving credit facility and our senior secured hedged inventory facility, respectively, with a weighted average interest rate of approximately 3.3% and 1.5%, respectively. Our revolving credit facility matures in August 2016 and our senior secured hedged inventory facility matures in August 2014.</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50" w:lineRule="exact"/>
        <w:rPr>
          <w:sz w:val="20"/>
          <w:szCs w:val="20"/>
          <w:color w:val="auto"/>
        </w:rPr>
      </w:pPr>
    </w:p>
    <w:p>
      <w:pPr>
        <w:ind w:right="60" w:firstLine="342"/>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Six Months</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w w:val="86"/>
              </w:rPr>
              <w:t>Years Ended December 31,</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0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4"/>
              </w:rPr>
              <w:t>Ended</w:t>
            </w: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5"/>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10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5.29x</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1"/>
              </w:rPr>
              <w:t>4.03x</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1"/>
              </w:rPr>
              <w:t>4.13x</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1"/>
              </w:rPr>
              <w:t>2.57x</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1"/>
              </w:rPr>
              <w:t>3.00x</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1"/>
              </w:rPr>
              <w:t>2.60x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89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4" w:lineRule="exact"/>
        <w:rPr>
          <w:sz w:val="20"/>
          <w:szCs w:val="20"/>
          <w:color w:val="auto"/>
        </w:rPr>
      </w:pPr>
    </w:p>
    <w:p>
      <w:pPr>
        <w:ind w:left="340" w:hanging="332"/>
        <w:spacing w:after="0" w:line="33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$10 million for the six months ended June 30, 2013, and $12 million, $20 million, $17 million, $11 million and $21 million for the years ended December 31, 2012, 2011, 2010, 2009 and 2008,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June 30, 2013:</w:t>
      </w:r>
    </w:p>
    <w:p>
      <w:pPr>
        <w:spacing w:after="0" w:line="158" w:lineRule="exact"/>
        <w:rPr>
          <w:sz w:val="20"/>
          <w:szCs w:val="20"/>
          <w:color w:val="auto"/>
        </w:rPr>
      </w:pPr>
    </w:p>
    <w:p>
      <w:pPr>
        <w:ind w:left="800" w:hanging="45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157" w:lineRule="exact"/>
        <w:rPr>
          <w:rFonts w:ascii="Arial" w:cs="Arial" w:eastAsia="Arial" w:hAnsi="Arial"/>
          <w:sz w:val="18"/>
          <w:szCs w:val="18"/>
          <w:color w:val="auto"/>
        </w:rPr>
      </w:pPr>
    </w:p>
    <w:p>
      <w:pPr>
        <w:ind w:left="800" w:right="100" w:hanging="454"/>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05" w:lineRule="exact"/>
        <w:rPr>
          <w:sz w:val="20"/>
          <w:szCs w:val="20"/>
          <w:color w:val="auto"/>
        </w:rPr>
      </w:pPr>
    </w:p>
    <w:p>
      <w:pPr>
        <w:ind w:right="120" w:firstLine="342"/>
        <w:spacing w:after="0" w:line="306" w:lineRule="auto"/>
        <w:rPr>
          <w:sz w:val="20"/>
          <w:szCs w:val="20"/>
          <w:color w:val="auto"/>
        </w:rPr>
      </w:pPr>
      <w:r>
        <w:rPr>
          <w:rFonts w:ascii="Arial" w:cs="Arial" w:eastAsia="Arial" w:hAnsi="Arial"/>
          <w:sz w:val="16"/>
          <w:szCs w:val="16"/>
          <w:color w:val="auto"/>
        </w:rPr>
        <w:t>This table should also be read in conjunction with our financial statements and the notes thereto that are incorporated by reference into this prospectus supplement. As of August 7, 2013, we had approximately $7 million, $410 million and $331 million of borrowings outstanding under our PAA senior unsecured revolving credit facility, our PAA senior secured hedged inventory facility and the PNG senior unsecured revolving credit facility, respectively.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86"/>
              </w:rPr>
              <w:t>As of June 30, 2013</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Historical</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SHORT-TERM DEBT</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PAA senior secured hedged inventory facility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PAA senior unsecured revolving credit facility(1)</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PNG senior unsecured revolving credit facility(2)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5.63% senior notes due December 2013(3)</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Total short-term debt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Senior notes, net of unamortized discounts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32"/>
              <w:spacing w:after="0"/>
              <w:rPr>
                <w:sz w:val="20"/>
                <w:szCs w:val="20"/>
                <w:color w:val="auto"/>
              </w:rPr>
            </w:pPr>
            <w:r>
              <w:rPr>
                <w:rFonts w:ascii="Arial" w:cs="Arial" w:eastAsia="Arial" w:hAnsi="Arial"/>
                <w:sz w:val="18"/>
                <w:szCs w:val="18"/>
                <w:color w:val="auto"/>
              </w:rPr>
              <w:t>6,011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offered hereby, net of unamortized discount</w:t>
            </w:r>
          </w:p>
        </w:tc>
        <w:tc>
          <w:tcPr>
            <w:tcW w:w="3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Long-term debt under credit facilities and other</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PARTNERS’ CAPITAL</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unitholders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partners’ capital excluding noncontrolling interests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partners’ capital</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Total capitalization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13,942</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089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5" w:lineRule="exact"/>
        <w:rPr>
          <w:sz w:val="20"/>
          <w:szCs w:val="20"/>
          <w:color w:val="auto"/>
        </w:rPr>
      </w:pPr>
    </w:p>
    <w:p>
      <w:pPr>
        <w:ind w:left="340" w:right="20" w:hanging="332"/>
        <w:spacing w:after="0" w:line="31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classify as short-term certain borrowings under the PAA senior unsecured revolving credit facility. These borrowings are primarily designated as working capital borrowings, must be repaid within one year and are primarily for hedged NGL and crude oil inventory and NYMEX and ICE margin deposits.</w:t>
      </w:r>
    </w:p>
    <w:p>
      <w:pPr>
        <w:ind w:left="340" w:right="720" w:hanging="332"/>
        <w:spacing w:after="0" w:line="31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PNG classifies as short-term any borrowings under the PNG senior unsecured revolving credit facility that have been designated as working capital borrowings and must be repaid within one year. Such borrowings are primarily related to a portion of PNG’s hedged natural gas inventory.</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$250 million 5.63% senior notes will mature in December 2013 and are thus classified as short-term debt at June 30,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50"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We will issue the Notes under an indenture (the “Base Indenture”) dated as of September 25, 2002, among us, the subsidiary guarantors and U.S. Bank</w:t>
      </w:r>
    </w:p>
    <w:p>
      <w:pPr>
        <w:spacing w:after="0" w:line="3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National Association, as successor trustee, and a supplemental indenture thereto with respect to the Notes to be dated as of , 2013 (the Base Indenture, as supplemented by such supplemental indenture, the “Indenture”). The Notes will constitute a new series of debt securities under the Indenture, and 15 other series are now outstanding under the Base Indenture, each issued under a separate supplemental indenture.</w:t>
      </w:r>
    </w:p>
    <w:p>
      <w:pPr>
        <w:spacing w:after="0" w:line="82" w:lineRule="exact"/>
        <w:rPr>
          <w:sz w:val="20"/>
          <w:szCs w:val="20"/>
          <w:color w:val="auto"/>
        </w:rPr>
      </w:pPr>
    </w:p>
    <w:p>
      <w:pPr>
        <w:ind w:firstLine="342"/>
        <w:spacing w:after="0" w:line="291" w:lineRule="auto"/>
        <w:rPr>
          <w:sz w:val="20"/>
          <w:szCs w:val="20"/>
          <w:color w:val="auto"/>
        </w:rPr>
      </w:pPr>
      <w:r>
        <w:rPr>
          <w:rFonts w:ascii="Arial" w:cs="Arial" w:eastAsia="Arial" w:hAnsi="Arial"/>
          <w:sz w:val="16"/>
          <w:szCs w:val="16"/>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93" w:lineRule="exact"/>
        <w:rPr>
          <w:sz w:val="20"/>
          <w:szCs w:val="20"/>
          <w:color w:val="auto"/>
        </w:rPr>
      </w:pPr>
    </w:p>
    <w:p>
      <w:pPr>
        <w:ind w:right="360" w:firstLine="342"/>
        <w:spacing w:after="0" w:line="306"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80" w:lineRule="exact"/>
        <w:rPr>
          <w:sz w:val="20"/>
          <w:szCs w:val="20"/>
          <w:color w:val="auto"/>
        </w:rPr>
      </w:pPr>
    </w:p>
    <w:p>
      <w:pPr>
        <w:jc w:val="both"/>
        <w:ind w:right="100" w:firstLine="342"/>
        <w:spacing w:after="0" w:line="306" w:lineRule="auto"/>
        <w:rPr>
          <w:sz w:val="20"/>
          <w:szCs w:val="20"/>
          <w:color w:val="auto"/>
        </w:rPr>
      </w:pPr>
      <w:r>
        <w:rPr>
          <w:rFonts w:ascii="Arial" w:cs="Arial" w:eastAsia="Arial" w:hAnsi="Arial"/>
          <w:sz w:val="16"/>
          <w:szCs w:val="16"/>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be:</w:t>
      </w:r>
    </w:p>
    <w:p>
      <w:pPr>
        <w:spacing w:after="0" w:line="158" w:lineRule="exact"/>
        <w:rPr>
          <w:sz w:val="20"/>
          <w:szCs w:val="20"/>
          <w:color w:val="auto"/>
        </w:rPr>
      </w:pPr>
    </w:p>
    <w:p>
      <w:pPr>
        <w:ind w:left="800" w:hanging="454"/>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indebtedness;</w:t>
      </w:r>
    </w:p>
    <w:p>
      <w:pPr>
        <w:spacing w:after="0" w:line="180" w:lineRule="exact"/>
        <w:rPr>
          <w:rFonts w:ascii="Arial" w:cs="Arial" w:eastAsia="Arial" w:hAnsi="Arial"/>
          <w:sz w:val="16"/>
          <w:szCs w:val="16"/>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series of debt securities issued under the Indenture;</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157" w:lineRule="exact"/>
        <w:rPr>
          <w:rFonts w:ascii="Arial" w:cs="Arial" w:eastAsia="Arial" w:hAnsi="Arial"/>
          <w:sz w:val="18"/>
          <w:szCs w:val="18"/>
          <w:color w:val="auto"/>
        </w:rPr>
      </w:pPr>
    </w:p>
    <w:p>
      <w:pPr>
        <w:ind w:left="800" w:right="260" w:hanging="454"/>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junior to existing and future indebtedness and other obligations of our subsidiaries, including trade payables, other than subsidiaries that may guarantee the Notes in the future.</w:t>
      </w:r>
    </w:p>
    <w:p>
      <w:pPr>
        <w:spacing w:after="0" w:line="105" w:lineRule="exact"/>
        <w:rPr>
          <w:sz w:val="20"/>
          <w:szCs w:val="20"/>
          <w:color w:val="auto"/>
        </w:rPr>
      </w:pPr>
    </w:p>
    <w:p>
      <w:pPr>
        <w:ind w:right="140" w:firstLine="342"/>
        <w:spacing w:after="0" w:line="286" w:lineRule="auto"/>
        <w:rPr>
          <w:sz w:val="20"/>
          <w:szCs w:val="20"/>
          <w:color w:val="auto"/>
        </w:rPr>
      </w:pPr>
      <w:r>
        <w:rPr>
          <w:rFonts w:ascii="Arial" w:cs="Arial" w:eastAsia="Arial" w:hAnsi="Arial"/>
          <w:sz w:val="16"/>
          <w:szCs w:val="16"/>
          <w:color w:val="auto"/>
        </w:rPr>
        <w:t>As of June 30, 2013, on an as adjusted basis as described under “Capitalization,” the Notes would have been effectively subordinated to $ million of short-term secured indebtedness and structurally subordinated to all of our subsidiaries’ outstanding indebtedness, which totaled approximately $ million at</w:t>
      </w:r>
    </w:p>
    <w:p>
      <w:pPr>
        <w:ind w:right="40"/>
        <w:spacing w:after="0" w:line="255" w:lineRule="auto"/>
        <w:rPr>
          <w:sz w:val="20"/>
          <w:szCs w:val="20"/>
          <w:color w:val="auto"/>
        </w:rPr>
      </w:pPr>
      <w:r>
        <w:rPr>
          <w:rFonts w:ascii="Arial" w:cs="Arial" w:eastAsia="Arial" w:hAnsi="Arial"/>
          <w:sz w:val="18"/>
          <w:szCs w:val="18"/>
          <w:color w:val="auto"/>
        </w:rPr>
        <w:t>that date.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342"/>
        <w:spacing w:after="0" w:line="259"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50" w:lineRule="exact"/>
        <w:rPr>
          <w:sz w:val="20"/>
          <w:szCs w:val="20"/>
          <w:color w:val="auto"/>
        </w:rPr>
      </w:pPr>
    </w:p>
    <w:p>
      <w:pPr>
        <w:ind w:right="20" w:firstLine="342"/>
        <w:spacing w:after="0" w:line="256" w:lineRule="auto"/>
        <w:rPr>
          <w:sz w:val="20"/>
          <w:szCs w:val="20"/>
          <w:color w:val="auto"/>
        </w:rPr>
      </w:pPr>
      <w:r>
        <w:rPr>
          <w:rFonts w:ascii="Arial" w:cs="Arial" w:eastAsia="Arial" w:hAnsi="Arial"/>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payment date, if applicable, and the payment of interest accruing prior to the issue date of such additional Notes).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50" w:lineRule="exact"/>
        <w:rPr>
          <w:sz w:val="20"/>
          <w:szCs w:val="20"/>
          <w:color w:val="auto"/>
        </w:rPr>
      </w:pPr>
    </w:p>
    <w:p>
      <w:pPr>
        <w:ind w:left="360"/>
        <w:spacing w:after="0"/>
        <w:tabs>
          <w:tab w:leader="none" w:pos="5500" w:val="left"/>
          <w:tab w:leader="none" w:pos="8820" w:val="left"/>
          <w:tab w:leader="none" w:pos="9440" w:val="left"/>
        </w:tabs>
        <w:rPr>
          <w:sz w:val="20"/>
          <w:szCs w:val="20"/>
          <w:color w:val="auto"/>
        </w:rPr>
      </w:pPr>
      <w:r>
        <w:rPr>
          <w:rFonts w:ascii="Arial" w:cs="Arial" w:eastAsia="Arial" w:hAnsi="Arial"/>
          <w:sz w:val="18"/>
          <w:szCs w:val="18"/>
          <w:color w:val="auto"/>
        </w:rPr>
        <w:t>We will issue the Notes in an initial aggregate principal amount of $</w:t>
      </w:r>
      <w:r>
        <w:rPr>
          <w:sz w:val="20"/>
          <w:szCs w:val="20"/>
          <w:color w:val="auto"/>
        </w:rPr>
        <w:tab/>
      </w:r>
      <w:r>
        <w:rPr>
          <w:rFonts w:ascii="Arial" w:cs="Arial" w:eastAsia="Arial" w:hAnsi="Arial"/>
          <w:sz w:val="18"/>
          <w:szCs w:val="18"/>
          <w:color w:val="auto"/>
        </w:rPr>
        <w:t>million. The Notes will mature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The Notes will bear</w:t>
      </w:r>
    </w:p>
    <w:p>
      <w:pPr>
        <w:spacing w:after="0" w:line="15" w:lineRule="exact"/>
        <w:rPr>
          <w:sz w:val="20"/>
          <w:szCs w:val="20"/>
          <w:color w:val="auto"/>
        </w:rPr>
      </w:pPr>
    </w:p>
    <w:p>
      <w:pPr>
        <w:spacing w:after="0"/>
        <w:tabs>
          <w:tab w:leader="none" w:pos="2340" w:val="left"/>
          <w:tab w:leader="none" w:pos="6160" w:val="left"/>
          <w:tab w:leader="none" w:pos="10900" w:val="left"/>
        </w:tabs>
        <w:rPr>
          <w:sz w:val="20"/>
          <w:szCs w:val="20"/>
          <w:color w:val="auto"/>
        </w:rPr>
      </w:pPr>
      <w:r>
        <w:rPr>
          <w:rFonts w:ascii="Arial" w:cs="Arial" w:eastAsia="Arial" w:hAnsi="Arial"/>
          <w:sz w:val="18"/>
          <w:szCs w:val="18"/>
          <w:color w:val="auto"/>
        </w:rPr>
        <w:t>interest at the annual rate of</w:t>
      </w:r>
      <w:r>
        <w:rPr>
          <w:sz w:val="20"/>
          <w:szCs w:val="20"/>
          <w:color w:val="auto"/>
        </w:rPr>
        <w:tab/>
      </w:r>
      <w:r>
        <w:rPr>
          <w:rFonts w:ascii="Arial" w:cs="Arial" w:eastAsia="Arial" w:hAnsi="Arial"/>
          <w:sz w:val="18"/>
          <w:szCs w:val="18"/>
          <w:color w:val="auto"/>
        </w:rPr>
        <w:t>%. Interest on the Notes will accrue from</w:t>
      </w:r>
      <w:r>
        <w:rPr>
          <w:sz w:val="20"/>
          <w:szCs w:val="20"/>
          <w:color w:val="auto"/>
        </w:rPr>
        <w:tab/>
      </w:r>
      <w:r>
        <w:rPr>
          <w:rFonts w:ascii="Arial" w:cs="Arial" w:eastAsia="Arial" w:hAnsi="Arial"/>
          <w:sz w:val="18"/>
          <w:szCs w:val="18"/>
          <w:color w:val="auto"/>
        </w:rPr>
        <w:t>, 2013 and will be payable semi-annually in arrears on</w:t>
      </w:r>
      <w:r>
        <w:rPr>
          <w:sz w:val="20"/>
          <w:szCs w:val="20"/>
          <w:color w:val="auto"/>
        </w:rPr>
        <w:tab/>
      </w:r>
      <w:r>
        <w:rPr>
          <w:rFonts w:ascii="Arial" w:cs="Arial" w:eastAsia="Arial" w:hAnsi="Arial"/>
          <w:sz w:val="14"/>
          <w:szCs w:val="14"/>
          <w:color w:val="auto"/>
        </w:rPr>
        <w:t>and</w:t>
      </w:r>
    </w:p>
    <w:p>
      <w:pPr>
        <w:spacing w:after="0" w:line="9" w:lineRule="exact"/>
        <w:rPr>
          <w:sz w:val="20"/>
          <w:szCs w:val="20"/>
          <w:color w:val="auto"/>
        </w:rPr>
      </w:pPr>
    </w:p>
    <w:p>
      <w:pPr>
        <w:ind w:left="880"/>
        <w:spacing w:after="0"/>
        <w:tabs>
          <w:tab w:leader="none" w:pos="3420" w:val="left"/>
        </w:tabs>
        <w:rPr>
          <w:sz w:val="20"/>
          <w:szCs w:val="20"/>
          <w:color w:val="auto"/>
        </w:rPr>
      </w:pPr>
      <w:r>
        <w:rPr>
          <w:rFonts w:ascii="Arial" w:cs="Arial" w:eastAsia="Arial" w:hAnsi="Arial"/>
          <w:sz w:val="18"/>
          <w:szCs w:val="18"/>
          <w:color w:val="auto"/>
        </w:rPr>
        <w:t>of each year, beginning</w:t>
      </w:r>
      <w:r>
        <w:rPr>
          <w:sz w:val="20"/>
          <w:szCs w:val="20"/>
          <w:color w:val="auto"/>
        </w:rPr>
        <w:tab/>
      </w:r>
      <w:r>
        <w:rPr>
          <w:rFonts w:ascii="Arial" w:cs="Arial" w:eastAsia="Arial" w:hAnsi="Arial"/>
          <w:sz w:val="15"/>
          <w:szCs w:val="15"/>
          <w:color w:val="auto"/>
        </w:rPr>
        <w:t>, 2014. We will make each interest payment to the holders of record at the close of business on the</w:t>
      </w:r>
    </w:p>
    <w:p>
      <w:pPr>
        <w:spacing w:after="0" w:line="9" w:lineRule="exact"/>
        <w:rPr>
          <w:sz w:val="20"/>
          <w:szCs w:val="20"/>
          <w:color w:val="auto"/>
        </w:rPr>
      </w:pPr>
    </w:p>
    <w:p>
      <w:pPr>
        <w:ind w:left="880"/>
        <w:spacing w:after="0"/>
        <w:tabs>
          <w:tab w:leader="none" w:pos="2040" w:val="left"/>
        </w:tabs>
        <w:rPr>
          <w:sz w:val="20"/>
          <w:szCs w:val="20"/>
          <w:color w:val="auto"/>
        </w:rPr>
      </w:pPr>
      <w:r>
        <w:rPr>
          <w:rFonts w:ascii="Arial" w:cs="Arial" w:eastAsia="Arial" w:hAnsi="Arial"/>
          <w:sz w:val="15"/>
          <w:szCs w:val="15"/>
          <w:color w:val="auto"/>
        </w:rPr>
        <w:t>and</w:t>
      </w:r>
      <w:r>
        <w:rPr>
          <w:sz w:val="20"/>
          <w:szCs w:val="20"/>
          <w:color w:val="auto"/>
        </w:rPr>
        <w:tab/>
      </w:r>
      <w:r>
        <w:rPr>
          <w:rFonts w:ascii="Arial" w:cs="Arial" w:eastAsia="Arial" w:hAnsi="Arial"/>
          <w:sz w:val="15"/>
          <w:szCs w:val="15"/>
          <w:color w:val="auto"/>
        </w:rPr>
        <w:t>preceding such interest payment dates. Interest will be computed on the basis of a 360-day year consisting of twelve 30-day months.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We will issue the Notes in minimum denominations of $2,000 and integral multiples of $1,000 in excess thereof.</w:t>
      </w:r>
    </w:p>
    <w:p>
      <w:pPr>
        <w:spacing w:after="0" w:line="138" w:lineRule="exact"/>
        <w:rPr>
          <w:sz w:val="20"/>
          <w:szCs w:val="20"/>
          <w:color w:val="auto"/>
        </w:rPr>
      </w:pPr>
    </w:p>
    <w:p>
      <w:pPr>
        <w:ind w:right="80" w:firstLine="342"/>
        <w:spacing w:after="0" w:line="259"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150" w:lineRule="exact"/>
        <w:rPr>
          <w:sz w:val="20"/>
          <w:szCs w:val="20"/>
          <w:color w:val="auto"/>
        </w:rPr>
      </w:pPr>
    </w:p>
    <w:p>
      <w:pPr>
        <w:ind w:firstLine="342"/>
        <w:spacing w:after="0" w:line="255" w:lineRule="auto"/>
        <w:rPr>
          <w:sz w:val="20"/>
          <w:szCs w:val="20"/>
          <w:color w:val="auto"/>
        </w:rPr>
      </w:pPr>
      <w:r>
        <w:rPr>
          <w:rFonts w:ascii="Arial" w:cs="Arial" w:eastAsia="Arial" w:hAnsi="Arial"/>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150" w:lineRule="exact"/>
        <w:rPr>
          <w:sz w:val="20"/>
          <w:szCs w:val="20"/>
          <w:color w:val="auto"/>
        </w:rPr>
      </w:pPr>
    </w:p>
    <w:p>
      <w:pPr>
        <w:ind w:right="40" w:firstLine="342"/>
        <w:spacing w:after="0" w:line="256"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16" w:lineRule="exact"/>
        <w:rPr>
          <w:sz w:val="20"/>
          <w:szCs w:val="20"/>
          <w:color w:val="auto"/>
        </w:rPr>
      </w:pPr>
    </w:p>
    <w:p>
      <w:pPr>
        <w:ind w:right="160" w:firstLine="342"/>
        <w:spacing w:after="0" w:line="268"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118" w:lineRule="exact"/>
        <w:rPr>
          <w:sz w:val="20"/>
          <w:szCs w:val="20"/>
          <w:color w:val="auto"/>
        </w:rPr>
      </w:pPr>
    </w:p>
    <w:p>
      <w:pPr>
        <w:ind w:left="800" w:right="360" w:hanging="454"/>
        <w:spacing w:after="0" w:line="332"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71" w:lineRule="exact"/>
        <w:rPr>
          <w:rFonts w:ascii="Arial" w:cs="Arial" w:eastAsia="Arial" w:hAnsi="Arial"/>
          <w:sz w:val="16"/>
          <w:szCs w:val="16"/>
          <w:color w:val="auto"/>
        </w:rPr>
      </w:pPr>
    </w:p>
    <w:p>
      <w:pPr>
        <w:ind w:left="5540" w:right="240" w:hanging="5194"/>
        <w:spacing w:after="0" w:line="440" w:lineRule="auto"/>
        <w:tabs>
          <w:tab w:leader="none" w:pos="7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 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580" w:hanging="454"/>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Indenture).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be redeemable, in whole or in part, at our option at any time and from time to time prior to maturity. If we redeem the Notes</w:t>
      </w:r>
    </w:p>
    <w:p>
      <w:pPr>
        <w:spacing w:after="0" w:line="15"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before , ( months prior to their maturity date), the Notes may be redeemed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w:t>
      </w:r>
    </w:p>
    <w:p>
      <w:pPr>
        <w:spacing w:after="0" w:line="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plus</w:t>
      </w:r>
      <w:r>
        <w:rPr>
          <w:sz w:val="20"/>
          <w:szCs w:val="20"/>
          <w:color w:val="auto"/>
        </w:rPr>
        <w:tab/>
      </w:r>
      <w:r>
        <w:rPr>
          <w:rFonts w:ascii="Arial" w:cs="Arial" w:eastAsia="Arial" w:hAnsi="Arial"/>
          <w:sz w:val="18"/>
          <w:szCs w:val="18"/>
          <w:color w:val="auto"/>
        </w:rPr>
        <w:t>basis points, together with accrued interest to the date of redemption.</w:t>
      </w:r>
    </w:p>
    <w:p>
      <w:pPr>
        <w:spacing w:after="0" w:line="138" w:lineRule="exact"/>
        <w:rPr>
          <w:sz w:val="20"/>
          <w:szCs w:val="20"/>
          <w:color w:val="auto"/>
        </w:rPr>
      </w:pPr>
    </w:p>
    <w:p>
      <w:pPr>
        <w:ind w:left="360"/>
        <w:spacing w:after="0"/>
        <w:tabs>
          <w:tab w:leader="none" w:pos="3660" w:val="left"/>
          <w:tab w:leader="none" w:pos="4320" w:val="left"/>
          <w:tab w:leader="none" w:pos="4960" w:val="left"/>
        </w:tabs>
        <w:rPr>
          <w:sz w:val="20"/>
          <w:szCs w:val="20"/>
          <w:color w:val="auto"/>
        </w:rPr>
      </w:pPr>
      <w:r>
        <w:rPr>
          <w:rFonts w:ascii="Arial" w:cs="Arial" w:eastAsia="Arial" w:hAnsi="Arial"/>
          <w:sz w:val="18"/>
          <w:szCs w:val="18"/>
          <w:color w:val="auto"/>
        </w:rPr>
        <w:t>If we redeem the Notes on or after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months prior to their maturity date), the redemption price will equal 100% of the principal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amount of the Notes to be redeemed plus accrued interest to the redemption date.</w:t>
      </w:r>
    </w:p>
    <w:p>
      <w:pPr>
        <w:spacing w:after="0" w:line="138" w:lineRule="exact"/>
        <w:rPr>
          <w:sz w:val="20"/>
          <w:szCs w:val="20"/>
          <w:color w:val="auto"/>
        </w:rPr>
      </w:pPr>
    </w:p>
    <w:p>
      <w:pPr>
        <w:ind w:right="360" w:firstLine="34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13" w:lineRule="exact"/>
        <w:rPr>
          <w:sz w:val="20"/>
          <w:szCs w:val="20"/>
          <w:color w:val="auto"/>
        </w:rPr>
      </w:pPr>
    </w:p>
    <w:p>
      <w:pPr>
        <w:ind w:right="120" w:firstLine="34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13" w:lineRule="exact"/>
        <w:rPr>
          <w:sz w:val="20"/>
          <w:szCs w:val="20"/>
          <w:color w:val="auto"/>
        </w:rPr>
      </w:pPr>
    </w:p>
    <w:p>
      <w:pPr>
        <w:ind w:right="100" w:firstLine="34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144"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each of J.P. Morgan Securities LLC and Merrill Lynch, Pierce, Fenner &amp; Smith Incorporated and each of their successors; provided, however, that if any of the foregoing shall cease to be a primary U.S. government securities dealer in the United States (a “Primary Treasury Dealer”), we shall substitute another Primary Treasury Dealer.</w:t>
      </w:r>
    </w:p>
    <w:p>
      <w:pPr>
        <w:spacing w:after="0" w:line="113" w:lineRule="exact"/>
        <w:rPr>
          <w:sz w:val="20"/>
          <w:szCs w:val="20"/>
          <w:color w:val="auto"/>
        </w:rPr>
      </w:pPr>
    </w:p>
    <w:p>
      <w:pPr>
        <w:ind w:right="40" w:firstLine="342"/>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80" w:lineRule="exact"/>
        <w:rPr>
          <w:sz w:val="20"/>
          <w:szCs w:val="20"/>
          <w:color w:val="auto"/>
        </w:rPr>
      </w:pPr>
    </w:p>
    <w:p>
      <w:pPr>
        <w:ind w:right="420" w:firstLine="342"/>
        <w:spacing w:after="0" w:line="268"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05" w:lineRule="exact"/>
        <w:rPr>
          <w:sz w:val="20"/>
          <w:szCs w:val="20"/>
          <w:color w:val="auto"/>
        </w:rPr>
      </w:pPr>
    </w:p>
    <w:p>
      <w:pPr>
        <w:ind w:right="180" w:firstLine="342"/>
        <w:spacing w:after="0" w:line="268"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342"/>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118" w:lineRule="exact"/>
        <w:rPr>
          <w:sz w:val="20"/>
          <w:szCs w:val="20"/>
          <w:color w:val="auto"/>
        </w:rPr>
      </w:pPr>
    </w:p>
    <w:p>
      <w:pPr>
        <w:ind w:left="800" w:hanging="454"/>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such Notes are listed; or</w:t>
      </w:r>
    </w:p>
    <w:p>
      <w:pPr>
        <w:spacing w:after="0" w:line="180" w:lineRule="exact"/>
        <w:rPr>
          <w:rFonts w:ascii="Arial" w:cs="Arial" w:eastAsia="Arial" w:hAnsi="Arial"/>
          <w:sz w:val="16"/>
          <w:szCs w:val="16"/>
          <w:color w:val="auto"/>
        </w:rPr>
      </w:pPr>
    </w:p>
    <w:p>
      <w:pPr>
        <w:ind w:left="800" w:right="720" w:hanging="454"/>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by such method as the trustee shall deem fair and appropriate.</w:t>
      </w:r>
    </w:p>
    <w:p>
      <w:pPr>
        <w:spacing w:after="0" w:line="105" w:lineRule="exact"/>
        <w:rPr>
          <w:sz w:val="20"/>
          <w:szCs w:val="20"/>
          <w:color w:val="auto"/>
        </w:rPr>
      </w:pPr>
    </w:p>
    <w:p>
      <w:pPr>
        <w:jc w:val="both"/>
        <w:ind w:right="260" w:firstLine="342"/>
        <w:spacing w:after="0" w:line="306"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158" w:lineRule="exact"/>
        <w:rPr>
          <w:sz w:val="20"/>
          <w:szCs w:val="20"/>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157" w:lineRule="exact"/>
        <w:rPr>
          <w:rFonts w:ascii="Arial" w:cs="Arial" w:eastAsia="Arial" w:hAnsi="Arial"/>
          <w:sz w:val="18"/>
          <w:szCs w:val="18"/>
          <w:color w:val="auto"/>
        </w:rPr>
      </w:pPr>
    </w:p>
    <w:p>
      <w:pPr>
        <w:ind w:left="800" w:right="200" w:hanging="454"/>
        <w:spacing w:after="0" w:line="306"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93" w:lineRule="exact"/>
        <w:rPr>
          <w:rFonts w:ascii="Arial" w:cs="Arial" w:eastAsia="Arial" w:hAnsi="Arial"/>
          <w:sz w:val="16"/>
          <w:szCs w:val="16"/>
          <w:color w:val="auto"/>
        </w:rPr>
      </w:pPr>
    </w:p>
    <w:p>
      <w:pPr>
        <w:ind w:left="800" w:hanging="454"/>
        <w:spacing w:after="0" w:line="287"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09" w:lineRule="exact"/>
        <w:rPr>
          <w:rFonts w:ascii="Arial" w:cs="Arial" w:eastAsia="Arial" w:hAnsi="Arial"/>
          <w:sz w:val="16"/>
          <w:szCs w:val="16"/>
          <w:color w:val="auto"/>
        </w:rPr>
      </w:pPr>
    </w:p>
    <w:p>
      <w:pPr>
        <w:ind w:left="800" w:right="360" w:hanging="454"/>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157" w:lineRule="exact"/>
        <w:rPr>
          <w:rFonts w:ascii="Arial" w:cs="Arial" w:eastAsia="Arial" w:hAnsi="Arial"/>
          <w:sz w:val="18"/>
          <w:szCs w:val="18"/>
          <w:color w:val="auto"/>
        </w:rPr>
      </w:pPr>
    </w:p>
    <w:p>
      <w:pPr>
        <w:ind w:left="1260" w:hanging="455"/>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342"/>
        <w:spacing w:after="0" w:line="255"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16" w:lineRule="exact"/>
        <w:rPr>
          <w:sz w:val="20"/>
          <w:szCs w:val="20"/>
          <w:color w:val="auto"/>
        </w:rPr>
      </w:pPr>
    </w:p>
    <w:p>
      <w:pPr>
        <w:ind w:right="40" w:firstLine="342"/>
        <w:spacing w:after="0" w:line="294" w:lineRule="auto"/>
        <w:rPr>
          <w:sz w:val="20"/>
          <w:szCs w:val="20"/>
          <w:color w:val="auto"/>
        </w:rPr>
      </w:pPr>
      <w:r>
        <w:rPr>
          <w:rFonts w:ascii="Arial" w:cs="Arial" w:eastAsia="Arial" w:hAnsi="Arial"/>
          <w:sz w:val="16"/>
          <w:szCs w:val="16"/>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89" w:lineRule="exact"/>
        <w:rPr>
          <w:sz w:val="20"/>
          <w:szCs w:val="20"/>
          <w:color w:val="auto"/>
        </w:rPr>
      </w:pPr>
    </w:p>
    <w:p>
      <w:pPr>
        <w:ind w:firstLine="342"/>
        <w:spacing w:after="0" w:line="256"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50" w:lineRule="exact"/>
        <w:rPr>
          <w:sz w:val="20"/>
          <w:szCs w:val="20"/>
          <w:color w:val="auto"/>
        </w:rPr>
      </w:pPr>
    </w:p>
    <w:p>
      <w:pPr>
        <w:ind w:right="40" w:firstLine="342"/>
        <w:spacing w:after="0" w:line="259"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127" w:lineRule="exact"/>
        <w:rPr>
          <w:sz w:val="20"/>
          <w:szCs w:val="20"/>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157" w:lineRule="exact"/>
        <w:rPr>
          <w:rFonts w:ascii="Arial" w:cs="Arial" w:eastAsia="Arial" w:hAnsi="Arial"/>
          <w:sz w:val="18"/>
          <w:szCs w:val="18"/>
          <w:color w:val="auto"/>
        </w:rPr>
      </w:pPr>
    </w:p>
    <w:p>
      <w:pPr>
        <w:ind w:left="1260" w:right="280" w:hanging="455"/>
        <w:spacing w:after="0" w:line="306" w:lineRule="auto"/>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93" w:lineRule="exact"/>
        <w:rPr>
          <w:rFonts w:ascii="Arial" w:cs="Arial" w:eastAsia="Arial" w:hAnsi="Arial"/>
          <w:sz w:val="16"/>
          <w:szCs w:val="16"/>
          <w:color w:val="auto"/>
        </w:rPr>
      </w:pPr>
    </w:p>
    <w:p>
      <w:pPr>
        <w:ind w:left="1260" w:right="180" w:hanging="455"/>
        <w:spacing w:after="0" w:line="259"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126"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or series of transactions, no Default or Event of Default has occurred and is continuing;</w:t>
      </w:r>
    </w:p>
    <w:p>
      <w:pPr>
        <w:spacing w:after="0" w:line="180" w:lineRule="exact"/>
        <w:rPr>
          <w:rFonts w:ascii="Arial" w:cs="Arial" w:eastAsia="Arial" w:hAnsi="Arial"/>
          <w:sz w:val="16"/>
          <w:szCs w:val="16"/>
          <w:color w:val="auto"/>
        </w:rPr>
      </w:pPr>
    </w:p>
    <w:p>
      <w:pPr>
        <w:ind w:left="800" w:right="80" w:hanging="454"/>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126" w:lineRule="exact"/>
        <w:rPr>
          <w:rFonts w:ascii="Arial" w:cs="Arial" w:eastAsia="Arial" w:hAnsi="Arial"/>
          <w:sz w:val="18"/>
          <w:szCs w:val="18"/>
          <w:color w:val="auto"/>
        </w:rPr>
      </w:pPr>
    </w:p>
    <w:p>
      <w:pPr>
        <w:ind w:left="800" w:hanging="454"/>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13" w:lineRule="exact"/>
        <w:rPr>
          <w:sz w:val="20"/>
          <w:szCs w:val="20"/>
          <w:color w:val="auto"/>
        </w:rPr>
      </w:pPr>
    </w:p>
    <w:p>
      <w:pPr>
        <w:ind w:right="200" w:firstLine="342"/>
        <w:spacing w:after="0" w:line="268"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will be released from all our liabilities and obligations under the Indenture. If we lease all or substantially all of our assets, we will not be so released from our obligations under the Indenture.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50"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127" w:lineRule="exact"/>
        <w:rPr>
          <w:sz w:val="20"/>
          <w:szCs w:val="20"/>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other provisions with respect to the redemption of any Notes;</w:t>
      </w:r>
    </w:p>
    <w:p>
      <w:pPr>
        <w:spacing w:after="0" w:line="180" w:lineRule="exact"/>
        <w:rPr>
          <w:rFonts w:ascii="Arial" w:cs="Arial" w:eastAsia="Arial" w:hAnsi="Arial"/>
          <w:sz w:val="16"/>
          <w:szCs w:val="16"/>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57" w:lineRule="exact"/>
        <w:rPr>
          <w:rFonts w:ascii="Arial" w:cs="Arial" w:eastAsia="Arial" w:hAnsi="Arial"/>
          <w:sz w:val="18"/>
          <w:szCs w:val="18"/>
          <w:color w:val="auto"/>
        </w:rPr>
      </w:pPr>
    </w:p>
    <w:p>
      <w:pPr>
        <w:ind w:left="800" w:right="80" w:hanging="454"/>
        <w:spacing w:after="0" w:line="25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126"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157" w:lineRule="exact"/>
        <w:rPr>
          <w:rFonts w:ascii="Arial" w:cs="Arial" w:eastAsia="Arial" w:hAnsi="Arial"/>
          <w:sz w:val="18"/>
          <w:szCs w:val="18"/>
          <w:color w:val="auto"/>
        </w:rPr>
      </w:pPr>
    </w:p>
    <w:p>
      <w:pPr>
        <w:ind w:left="800" w:right="580" w:hanging="454"/>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157" w:lineRule="exact"/>
        <w:rPr>
          <w:rFonts w:ascii="Arial" w:cs="Arial" w:eastAsia="Arial" w:hAnsi="Arial"/>
          <w:sz w:val="18"/>
          <w:szCs w:val="18"/>
          <w:color w:val="auto"/>
        </w:rPr>
      </w:pPr>
    </w:p>
    <w:p>
      <w:pPr>
        <w:ind w:left="800" w:right="20" w:hanging="454"/>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167" w:lineRule="exact"/>
        <w:rPr>
          <w:sz w:val="20"/>
          <w:szCs w:val="20"/>
          <w:color w:val="auto"/>
        </w:rPr>
      </w:pPr>
    </w:p>
    <w:p>
      <w:pPr>
        <w:ind w:right="760" w:firstLine="342"/>
        <w:spacing w:after="0" w:line="268"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w:t>
      </w:r>
    </w:p>
    <w:p>
      <w:pPr>
        <w:spacing w:after="0" w:line="118" w:lineRule="exact"/>
        <w:rPr>
          <w:sz w:val="20"/>
          <w:szCs w:val="20"/>
          <w:color w:val="auto"/>
        </w:rPr>
      </w:pPr>
    </w:p>
    <w:p>
      <w:pPr>
        <w:ind w:left="800" w:hanging="454"/>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57" w:lineRule="exact"/>
        <w:rPr>
          <w:rFonts w:ascii="Arial" w:cs="Arial" w:eastAsia="Arial" w:hAnsi="Arial"/>
          <w:sz w:val="18"/>
          <w:szCs w:val="18"/>
          <w:color w:val="auto"/>
        </w:rPr>
      </w:pPr>
    </w:p>
    <w:p>
      <w:pPr>
        <w:ind w:left="800" w:right="540" w:hanging="454"/>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add or release any subsidiary guarantors as permitted pursuant to the terms of the Indenture (see “—Possible Future Guarantees”);</w:t>
      </w:r>
    </w:p>
    <w:p>
      <w:pPr>
        <w:spacing w:after="0" w:line="180" w:lineRule="exact"/>
        <w:rPr>
          <w:rFonts w:ascii="Arial" w:cs="Arial" w:eastAsia="Arial" w:hAnsi="Arial"/>
          <w:sz w:val="16"/>
          <w:szCs w:val="16"/>
          <w:color w:val="auto"/>
        </w:rPr>
      </w:pPr>
    </w:p>
    <w:p>
      <w:pPr>
        <w:ind w:left="800" w:right="340" w:hanging="454"/>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44" w:lineRule="exact"/>
        <w:rPr>
          <w:sz w:val="20"/>
          <w:szCs w:val="20"/>
          <w:color w:val="auto"/>
        </w:rPr>
      </w:pPr>
    </w:p>
    <w:p>
      <w:pPr>
        <w:jc w:val="both"/>
        <w:ind w:right="140" w:firstLine="342"/>
        <w:spacing w:after="0" w:line="298" w:lineRule="auto"/>
        <w:rPr>
          <w:sz w:val="20"/>
          <w:szCs w:val="20"/>
          <w:color w:val="auto"/>
        </w:rPr>
      </w:pPr>
      <w:r>
        <w:rPr>
          <w:rFonts w:ascii="Arial" w:cs="Arial" w:eastAsia="Arial" w:hAnsi="Arial"/>
          <w:sz w:val="16"/>
          <w:szCs w:val="16"/>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99" w:lineRule="exact"/>
        <w:rPr>
          <w:sz w:val="20"/>
          <w:szCs w:val="20"/>
          <w:color w:val="auto"/>
        </w:rPr>
      </w:pPr>
    </w:p>
    <w:p>
      <w:pPr>
        <w:ind w:left="800" w:hanging="454"/>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57" w:lineRule="exact"/>
        <w:rPr>
          <w:rFonts w:ascii="Arial" w:cs="Arial" w:eastAsia="Arial" w:hAnsi="Arial"/>
          <w:sz w:val="18"/>
          <w:szCs w:val="18"/>
          <w:color w:val="auto"/>
        </w:rPr>
      </w:pPr>
    </w:p>
    <w:p>
      <w:pPr>
        <w:ind w:left="800" w:right="60" w:hanging="454"/>
        <w:spacing w:after="0" w:line="306"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93" w:lineRule="exact"/>
        <w:rPr>
          <w:rFonts w:ascii="Arial" w:cs="Arial" w:eastAsia="Arial" w:hAnsi="Arial"/>
          <w:sz w:val="16"/>
          <w:szCs w:val="16"/>
          <w:color w:val="auto"/>
        </w:rPr>
      </w:pPr>
    </w:p>
    <w:p>
      <w:pPr>
        <w:ind w:left="800" w:right="80" w:hanging="454"/>
        <w:spacing w:after="0" w:line="259"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26" w:lineRule="exact"/>
        <w:rPr>
          <w:rFonts w:ascii="Arial" w:cs="Arial" w:eastAsia="Arial" w:hAnsi="Arial"/>
          <w:sz w:val="18"/>
          <w:szCs w:val="18"/>
          <w:color w:val="auto"/>
        </w:rPr>
      </w:pPr>
    </w:p>
    <w:p>
      <w:pPr>
        <w:ind w:left="800" w:right="140" w:hanging="454"/>
        <w:spacing w:after="0" w:line="259"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126" w:lineRule="exact"/>
        <w:rPr>
          <w:rFonts w:ascii="Arial" w:cs="Arial" w:eastAsia="Arial" w:hAnsi="Arial"/>
          <w:sz w:val="18"/>
          <w:szCs w:val="18"/>
          <w:color w:val="auto"/>
        </w:rPr>
      </w:pPr>
    </w:p>
    <w:p>
      <w:pPr>
        <w:ind w:left="800" w:right="280" w:hanging="454"/>
        <w:spacing w:after="0" w:line="259"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26" w:lineRule="exact"/>
        <w:rPr>
          <w:rFonts w:ascii="Arial" w:cs="Arial" w:eastAsia="Arial" w:hAnsi="Arial"/>
          <w:sz w:val="18"/>
          <w:szCs w:val="18"/>
          <w:color w:val="auto"/>
        </w:rPr>
      </w:pPr>
    </w:p>
    <w:p>
      <w:pPr>
        <w:ind w:left="800" w:right="220" w:hanging="454"/>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118" w:lineRule="exact"/>
        <w:rPr>
          <w:rFonts w:ascii="Arial" w:cs="Arial" w:eastAsia="Arial" w:hAnsi="Arial"/>
          <w:sz w:val="18"/>
          <w:szCs w:val="18"/>
          <w:color w:val="auto"/>
        </w:rPr>
      </w:pPr>
    </w:p>
    <w:p>
      <w:pPr>
        <w:ind w:left="800" w:right="200" w:hanging="454"/>
        <w:spacing w:after="0" w:line="259"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126" w:lineRule="exact"/>
        <w:rPr>
          <w:rFonts w:ascii="Arial" w:cs="Arial" w:eastAsia="Arial" w:hAnsi="Arial"/>
          <w:sz w:val="18"/>
          <w:szCs w:val="18"/>
          <w:color w:val="auto"/>
        </w:rPr>
      </w:pPr>
    </w:p>
    <w:p>
      <w:pPr>
        <w:ind w:left="800" w:hanging="454"/>
        <w:spacing w:after="0" w:line="370" w:lineRule="auto"/>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right="80"/>
        <w:spacing w:after="0" w:line="298" w:lineRule="auto"/>
        <w:rPr>
          <w:sz w:val="20"/>
          <w:szCs w:val="20"/>
          <w:color w:val="auto"/>
        </w:rPr>
      </w:pPr>
      <w:r>
        <w:rPr>
          <w:rFonts w:ascii="Arial" w:cs="Arial" w:eastAsia="Arial" w:hAnsi="Arial"/>
          <w:sz w:val="16"/>
          <w:szCs w:val="16"/>
          <w:color w:val="auto"/>
        </w:rPr>
        <w:t>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99" w:lineRule="exact"/>
        <w:rPr>
          <w:sz w:val="20"/>
          <w:szCs w:val="20"/>
          <w:color w:val="auto"/>
        </w:rPr>
      </w:pPr>
    </w:p>
    <w:p>
      <w:pPr>
        <w:ind w:left="800" w:right="460" w:hanging="454"/>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05" w:lineRule="exact"/>
        <w:rPr>
          <w:sz w:val="20"/>
          <w:szCs w:val="20"/>
          <w:color w:val="auto"/>
        </w:rPr>
      </w:pPr>
    </w:p>
    <w:p>
      <w:pPr>
        <w:ind w:right="100" w:firstLine="342"/>
        <w:spacing w:after="0" w:line="294"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and will not permit any Subsidiary to, engage in a Sale-leaseback Transaction, unless:</w:t>
      </w:r>
    </w:p>
    <w:p>
      <w:pPr>
        <w:spacing w:after="0" w:line="158" w:lineRule="exact"/>
        <w:rPr>
          <w:sz w:val="20"/>
          <w:szCs w:val="20"/>
          <w:color w:val="auto"/>
        </w:rPr>
      </w:pPr>
    </w:p>
    <w:p>
      <w:pPr>
        <w:ind w:left="800" w:right="140" w:hanging="454"/>
        <w:spacing w:after="0" w:line="259"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26" w:lineRule="exact"/>
        <w:rPr>
          <w:rFonts w:ascii="Arial" w:cs="Arial" w:eastAsia="Arial" w:hAnsi="Arial"/>
          <w:sz w:val="18"/>
          <w:szCs w:val="18"/>
          <w:color w:val="auto"/>
        </w:rPr>
      </w:pPr>
    </w:p>
    <w:p>
      <w:pPr>
        <w:ind w:left="800" w:hanging="454"/>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157" w:lineRule="exact"/>
        <w:rPr>
          <w:rFonts w:ascii="Arial" w:cs="Arial" w:eastAsia="Arial" w:hAnsi="Arial"/>
          <w:sz w:val="18"/>
          <w:szCs w:val="18"/>
          <w:color w:val="auto"/>
        </w:rPr>
      </w:pPr>
    </w:p>
    <w:p>
      <w:pPr>
        <w:ind w:left="800" w:right="80" w:hanging="454"/>
        <w:spacing w:after="0" w:line="332"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71" w:lineRule="exact"/>
        <w:rPr>
          <w:rFonts w:ascii="Arial" w:cs="Arial" w:eastAsia="Arial" w:hAnsi="Arial"/>
          <w:sz w:val="16"/>
          <w:szCs w:val="16"/>
          <w:color w:val="auto"/>
        </w:rPr>
      </w:pPr>
    </w:p>
    <w:p>
      <w:pPr>
        <w:ind w:left="800" w:right="100" w:hanging="454"/>
        <w:spacing w:after="0" w:line="25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16" w:lineRule="exact"/>
        <w:rPr>
          <w:sz w:val="20"/>
          <w:szCs w:val="20"/>
          <w:color w:val="auto"/>
        </w:rPr>
      </w:pPr>
    </w:p>
    <w:p>
      <w:pPr>
        <w:ind w:right="40" w:firstLine="342"/>
        <w:spacing w:after="0" w:line="256" w:lineRule="auto"/>
        <w:rPr>
          <w:sz w:val="20"/>
          <w:szCs w:val="20"/>
          <w:color w:val="auto"/>
        </w:rPr>
      </w:pPr>
      <w:r>
        <w:rPr>
          <w:rFonts w:ascii="Arial" w:cs="Arial" w:eastAsia="Arial" w:hAnsi="Arial"/>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150" w:lineRule="exact"/>
        <w:rPr>
          <w:sz w:val="20"/>
          <w:szCs w:val="20"/>
          <w:color w:val="auto"/>
        </w:rPr>
      </w:pPr>
    </w:p>
    <w:p>
      <w:pPr>
        <w:ind w:firstLine="342"/>
        <w:spacing w:after="0" w:line="255"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342"/>
        <w:spacing w:after="0" w:line="259"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150" w:lineRule="exact"/>
        <w:rPr>
          <w:sz w:val="20"/>
          <w:szCs w:val="20"/>
          <w:color w:val="auto"/>
        </w:rPr>
      </w:pPr>
    </w:p>
    <w:p>
      <w:pPr>
        <w:ind w:right="220" w:firstLine="342"/>
        <w:spacing w:after="0" w:line="259"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13" w:lineRule="exact"/>
        <w:rPr>
          <w:sz w:val="20"/>
          <w:szCs w:val="20"/>
          <w:color w:val="auto"/>
        </w:rPr>
      </w:pPr>
    </w:p>
    <w:p>
      <w:pPr>
        <w:ind w:right="60" w:firstLine="342"/>
        <w:spacing w:after="0" w:line="259"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13" w:lineRule="exact"/>
        <w:rPr>
          <w:sz w:val="20"/>
          <w:szCs w:val="20"/>
          <w:color w:val="auto"/>
        </w:rPr>
      </w:pPr>
    </w:p>
    <w:p>
      <w:pPr>
        <w:ind w:right="380" w:firstLine="342"/>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05" w:lineRule="exact"/>
        <w:rPr>
          <w:sz w:val="20"/>
          <w:szCs w:val="20"/>
          <w:color w:val="auto"/>
        </w:rPr>
      </w:pPr>
    </w:p>
    <w:p>
      <w:pPr>
        <w:ind w:firstLine="342"/>
        <w:spacing w:after="0" w:line="314" w:lineRule="auto"/>
        <w:rPr>
          <w:sz w:val="20"/>
          <w:szCs w:val="20"/>
          <w:color w:val="auto"/>
        </w:rPr>
      </w:pPr>
      <w:r>
        <w:rPr>
          <w:rFonts w:ascii="Arial" w:cs="Arial" w:eastAsia="Arial" w:hAnsi="Arial"/>
          <w:sz w:val="15"/>
          <w:szCs w:val="15"/>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78" w:lineRule="exact"/>
        <w:rPr>
          <w:sz w:val="20"/>
          <w:szCs w:val="20"/>
          <w:color w:val="auto"/>
        </w:rPr>
      </w:pPr>
    </w:p>
    <w:p>
      <w:pPr>
        <w:ind w:right="160" w:firstLine="342"/>
        <w:spacing w:after="0" w:line="268"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05" w:lineRule="exact"/>
        <w:rPr>
          <w:sz w:val="20"/>
          <w:szCs w:val="20"/>
          <w:color w:val="auto"/>
        </w:rPr>
      </w:pPr>
    </w:p>
    <w:p>
      <w:pPr>
        <w:ind w:right="140" w:firstLine="342"/>
        <w:spacing w:after="0" w:line="256"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16" w:lineRule="exact"/>
        <w:rPr>
          <w:sz w:val="20"/>
          <w:szCs w:val="20"/>
          <w:color w:val="auto"/>
        </w:rPr>
      </w:pPr>
    </w:p>
    <w:p>
      <w:pPr>
        <w:ind w:right="180" w:firstLine="342"/>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118" w:lineRule="exact"/>
        <w:rPr>
          <w:sz w:val="20"/>
          <w:szCs w:val="20"/>
          <w:color w:val="auto"/>
        </w:rPr>
      </w:pPr>
    </w:p>
    <w:p>
      <w:pPr>
        <w:ind w:left="800" w:hanging="454"/>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157" w:lineRule="exact"/>
        <w:rPr>
          <w:rFonts w:ascii="Arial" w:cs="Arial" w:eastAsia="Arial" w:hAnsi="Arial"/>
          <w:sz w:val="18"/>
          <w:szCs w:val="18"/>
          <w:color w:val="auto"/>
        </w:rPr>
      </w:pPr>
    </w:p>
    <w:p>
      <w:pPr>
        <w:ind w:left="800" w:hanging="454"/>
        <w:spacing w:after="0" w:line="25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50" w:lineRule="exact"/>
        <w:rPr>
          <w:sz w:val="20"/>
          <w:szCs w:val="20"/>
          <w:color w:val="auto"/>
        </w:rPr>
      </w:pPr>
    </w:p>
    <w:p>
      <w:pPr>
        <w:ind w:firstLine="34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91" w:lineRule="exact"/>
        <w:rPr>
          <w:sz w:val="20"/>
          <w:szCs w:val="20"/>
          <w:color w:val="auto"/>
        </w:rPr>
      </w:pPr>
    </w:p>
    <w:p>
      <w:pPr>
        <w:ind w:right="20" w:firstLine="34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13" w:lineRule="exact"/>
        <w:rPr>
          <w:sz w:val="20"/>
          <w:szCs w:val="20"/>
          <w:color w:val="auto"/>
        </w:rPr>
      </w:pPr>
    </w:p>
    <w:p>
      <w:pPr>
        <w:ind w:right="80" w:firstLine="34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144" w:lineRule="exact"/>
        <w:rPr>
          <w:sz w:val="20"/>
          <w:szCs w:val="20"/>
          <w:color w:val="auto"/>
        </w:rPr>
      </w:pPr>
    </w:p>
    <w:p>
      <w:pPr>
        <w:ind w:left="1100" w:hanging="418"/>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144" w:lineRule="exact"/>
        <w:rPr>
          <w:rFonts w:ascii="Arial" w:cs="Arial" w:eastAsia="Arial" w:hAnsi="Arial"/>
          <w:sz w:val="18"/>
          <w:szCs w:val="18"/>
          <w:color w:val="auto"/>
        </w:rPr>
      </w:pPr>
    </w:p>
    <w:p>
      <w:pPr>
        <w:ind w:left="800" w:firstLine="325"/>
        <w:spacing w:after="0" w:line="268" w:lineRule="auto"/>
        <w:tabs>
          <w:tab w:leader="none" w:pos="148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04" w:lineRule="exact"/>
        <w:rPr>
          <w:rFonts w:ascii="Arial" w:cs="Arial" w:eastAsia="Arial" w:hAnsi="Arial"/>
          <w:sz w:val="18"/>
          <w:szCs w:val="18"/>
          <w:color w:val="auto"/>
        </w:rPr>
      </w:pPr>
    </w:p>
    <w:p>
      <w:pPr>
        <w:ind w:left="1500" w:hanging="375"/>
        <w:spacing w:after="0"/>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144" w:lineRule="exact"/>
        <w:rPr>
          <w:rFonts w:ascii="Arial" w:cs="Arial" w:eastAsia="Arial" w:hAnsi="Arial"/>
          <w:sz w:val="18"/>
          <w:szCs w:val="18"/>
          <w:color w:val="auto"/>
        </w:rPr>
      </w:pPr>
    </w:p>
    <w:p>
      <w:pPr>
        <w:ind w:left="1060" w:hanging="378"/>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14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44" w:lineRule="exact"/>
        <w:rPr>
          <w:sz w:val="20"/>
          <w:szCs w:val="20"/>
          <w:color w:val="auto"/>
        </w:rPr>
      </w:pPr>
    </w:p>
    <w:p>
      <w:pPr>
        <w:jc w:val="both"/>
        <w:ind w:right="60" w:firstLine="342"/>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144" w:lineRule="exact"/>
        <w:rPr>
          <w:sz w:val="20"/>
          <w:szCs w:val="20"/>
          <w:color w:val="auto"/>
        </w:rPr>
      </w:pPr>
    </w:p>
    <w:p>
      <w:pPr>
        <w:ind w:right="180" w:firstLine="34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assigns), as general partner of Plains All American Pipeline or (ii) the business entity with the ultimate authority to manage the business and operations of Plains All American Pipeline.</w:t>
      </w:r>
    </w:p>
    <w:p>
      <w:pPr>
        <w:spacing w:after="0" w:line="105" w:lineRule="exact"/>
        <w:rPr>
          <w:sz w:val="20"/>
          <w:szCs w:val="20"/>
          <w:color w:val="auto"/>
        </w:rPr>
      </w:pPr>
    </w:p>
    <w:p>
      <w:pPr>
        <w:jc w:val="both"/>
        <w:ind w:right="260" w:firstLine="34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44" w:lineRule="exact"/>
        <w:rPr>
          <w:sz w:val="20"/>
          <w:szCs w:val="20"/>
          <w:color w:val="auto"/>
        </w:rPr>
      </w:pPr>
    </w:p>
    <w:p>
      <w:pPr>
        <w:ind w:left="1060" w:hanging="378"/>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144" w:lineRule="exact"/>
        <w:rPr>
          <w:rFonts w:ascii="Arial" w:cs="Arial" w:eastAsia="Arial" w:hAnsi="Arial"/>
          <w:sz w:val="18"/>
          <w:szCs w:val="18"/>
          <w:color w:val="auto"/>
        </w:rPr>
      </w:pPr>
    </w:p>
    <w:p>
      <w:pPr>
        <w:ind w:left="360" w:right="440" w:firstLine="322"/>
        <w:spacing w:after="0" w:line="306" w:lineRule="auto"/>
        <w:tabs>
          <w:tab w:leader="none" w:pos="10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79" w:lineRule="exact"/>
        <w:rPr>
          <w:rFonts w:ascii="Arial" w:cs="Arial" w:eastAsia="Arial" w:hAnsi="Arial"/>
          <w:sz w:val="16"/>
          <w:szCs w:val="16"/>
          <w:color w:val="auto"/>
        </w:rPr>
      </w:pPr>
    </w:p>
    <w:p>
      <w:pPr>
        <w:ind w:left="360" w:right="120" w:firstLine="322"/>
        <w:spacing w:after="0" w:line="268" w:lineRule="auto"/>
        <w:tabs>
          <w:tab w:leader="none" w:pos="10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04" w:lineRule="exact"/>
        <w:rPr>
          <w:rFonts w:ascii="Arial" w:cs="Arial" w:eastAsia="Arial" w:hAnsi="Arial"/>
          <w:sz w:val="18"/>
          <w:szCs w:val="18"/>
          <w:color w:val="auto"/>
        </w:rPr>
      </w:pPr>
    </w:p>
    <w:p>
      <w:pPr>
        <w:ind w:left="360" w:right="160" w:firstLine="322"/>
        <w:spacing w:after="0" w:line="268" w:lineRule="auto"/>
        <w:tabs>
          <w:tab w:leader="none" w:pos="10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04" w:lineRule="exact"/>
        <w:rPr>
          <w:rFonts w:ascii="Arial" w:cs="Arial" w:eastAsia="Arial" w:hAnsi="Arial"/>
          <w:sz w:val="18"/>
          <w:szCs w:val="18"/>
          <w:color w:val="auto"/>
        </w:rPr>
      </w:pPr>
    </w:p>
    <w:p>
      <w:pPr>
        <w:ind w:left="1060" w:hanging="378"/>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144" w:lineRule="exact"/>
        <w:rPr>
          <w:rFonts w:ascii="Arial" w:cs="Arial" w:eastAsia="Arial" w:hAnsi="Arial"/>
          <w:sz w:val="18"/>
          <w:szCs w:val="18"/>
          <w:color w:val="auto"/>
        </w:rPr>
      </w:pPr>
    </w:p>
    <w:p>
      <w:pPr>
        <w:ind w:left="360" w:right="100" w:firstLine="322"/>
        <w:spacing w:after="0" w:line="268" w:lineRule="auto"/>
        <w:tabs>
          <w:tab w:leader="none" w:pos="10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04" w:lineRule="exact"/>
        <w:rPr>
          <w:rFonts w:ascii="Arial" w:cs="Arial" w:eastAsia="Arial" w:hAnsi="Arial"/>
          <w:sz w:val="18"/>
          <w:szCs w:val="18"/>
          <w:color w:val="auto"/>
        </w:rPr>
      </w:pPr>
    </w:p>
    <w:p>
      <w:pPr>
        <w:ind w:left="360" w:right="60" w:firstLine="322"/>
        <w:spacing w:after="0" w:line="268" w:lineRule="auto"/>
        <w:tabs>
          <w:tab w:leader="none" w:pos="10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104" w:lineRule="exact"/>
        <w:rPr>
          <w:rFonts w:ascii="Arial" w:cs="Arial" w:eastAsia="Arial" w:hAnsi="Arial"/>
          <w:sz w:val="18"/>
          <w:szCs w:val="18"/>
          <w:color w:val="auto"/>
        </w:rPr>
      </w:pPr>
    </w:p>
    <w:p>
      <w:pPr>
        <w:ind w:left="360" w:right="320" w:firstLine="322"/>
        <w:spacing w:after="0" w:line="332" w:lineRule="auto"/>
        <w:tabs>
          <w:tab w:leader="none" w:pos="10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58" w:lineRule="exact"/>
        <w:rPr>
          <w:rFonts w:ascii="Arial" w:cs="Arial" w:eastAsia="Arial" w:hAnsi="Arial"/>
          <w:sz w:val="16"/>
          <w:szCs w:val="16"/>
          <w:color w:val="auto"/>
        </w:rPr>
      </w:pPr>
    </w:p>
    <w:p>
      <w:pPr>
        <w:ind w:left="1060" w:hanging="378"/>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144" w:lineRule="exact"/>
        <w:rPr>
          <w:rFonts w:ascii="Arial" w:cs="Arial" w:eastAsia="Arial" w:hAnsi="Arial"/>
          <w:sz w:val="18"/>
          <w:szCs w:val="18"/>
          <w:color w:val="auto"/>
        </w:rPr>
      </w:pPr>
    </w:p>
    <w:p>
      <w:pPr>
        <w:ind w:left="360" w:right="60" w:firstLine="322"/>
        <w:spacing w:after="0" w:line="256" w:lineRule="auto"/>
        <w:tabs>
          <w:tab w:leader="none" w:pos="10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16" w:lineRule="exact"/>
        <w:rPr>
          <w:rFonts w:ascii="Arial" w:cs="Arial" w:eastAsia="Arial" w:hAnsi="Arial"/>
          <w:sz w:val="18"/>
          <w:szCs w:val="18"/>
          <w:color w:val="auto"/>
        </w:rPr>
      </w:pPr>
    </w:p>
    <w:p>
      <w:pPr>
        <w:ind w:left="1060" w:hanging="378"/>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144" w:lineRule="exact"/>
        <w:rPr>
          <w:rFonts w:ascii="Arial" w:cs="Arial" w:eastAsia="Arial" w:hAnsi="Arial"/>
          <w:sz w:val="18"/>
          <w:szCs w:val="18"/>
          <w:color w:val="auto"/>
        </w:rPr>
      </w:pPr>
    </w:p>
    <w:p>
      <w:pPr>
        <w:ind w:left="360" w:firstLine="322"/>
        <w:spacing w:after="0" w:line="255" w:lineRule="auto"/>
        <w:tabs>
          <w:tab w:leader="none" w:pos="10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of all accrued interest thereon and reasonable fees and expenses and premium, if any, incurred by us or any Restricted Subsidiary in connection therewith;</w:t>
      </w:r>
    </w:p>
    <w:p>
      <w:pPr>
        <w:spacing w:after="0" w:line="167" w:lineRule="exact"/>
        <w:rPr>
          <w:sz w:val="20"/>
          <w:szCs w:val="20"/>
          <w:color w:val="auto"/>
        </w:rPr>
      </w:pPr>
    </w:p>
    <w:p>
      <w:pPr>
        <w:ind w:left="360" w:firstLine="322"/>
        <w:spacing w:after="0" w:line="268" w:lineRule="auto"/>
        <w:tabs>
          <w:tab w:leader="none" w:pos="10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04" w:lineRule="exact"/>
        <w:rPr>
          <w:rFonts w:ascii="Arial" w:cs="Arial" w:eastAsia="Arial" w:hAnsi="Arial"/>
          <w:sz w:val="18"/>
          <w:szCs w:val="18"/>
          <w:color w:val="auto"/>
        </w:rPr>
      </w:pPr>
    </w:p>
    <w:p>
      <w:pPr>
        <w:ind w:left="1060" w:hanging="378"/>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144" w:lineRule="exact"/>
        <w:rPr>
          <w:rFonts w:ascii="Arial" w:cs="Arial" w:eastAsia="Arial" w:hAnsi="Arial"/>
          <w:sz w:val="18"/>
          <w:szCs w:val="18"/>
          <w:color w:val="auto"/>
        </w:rPr>
      </w:pPr>
    </w:p>
    <w:p>
      <w:pPr>
        <w:ind w:left="360" w:right="20" w:firstLine="322"/>
        <w:spacing w:after="0" w:line="298" w:lineRule="auto"/>
        <w:tabs>
          <w:tab w:leader="none" w:pos="10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85" w:lineRule="exact"/>
        <w:rPr>
          <w:rFonts w:ascii="Arial" w:cs="Arial" w:eastAsia="Arial" w:hAnsi="Arial"/>
          <w:sz w:val="16"/>
          <w:szCs w:val="16"/>
          <w:color w:val="auto"/>
        </w:rPr>
      </w:pPr>
    </w:p>
    <w:p>
      <w:pPr>
        <w:ind w:left="360" w:right="60" w:firstLine="322"/>
        <w:spacing w:after="0" w:line="256" w:lineRule="auto"/>
        <w:tabs>
          <w:tab w:leader="none" w:pos="10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16" w:lineRule="exact"/>
        <w:rPr>
          <w:rFonts w:ascii="Arial" w:cs="Arial" w:eastAsia="Arial" w:hAnsi="Arial"/>
          <w:sz w:val="18"/>
          <w:szCs w:val="18"/>
          <w:color w:val="auto"/>
        </w:rPr>
      </w:pPr>
    </w:p>
    <w:p>
      <w:pPr>
        <w:ind w:left="360" w:right="80" w:firstLine="322"/>
        <w:spacing w:after="0" w:line="298" w:lineRule="auto"/>
        <w:tabs>
          <w:tab w:leader="none" w:pos="10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85" w:lineRule="exact"/>
        <w:rPr>
          <w:rFonts w:ascii="Arial" w:cs="Arial" w:eastAsia="Arial" w:hAnsi="Arial"/>
          <w:sz w:val="16"/>
          <w:szCs w:val="16"/>
          <w:color w:val="auto"/>
        </w:rPr>
      </w:pPr>
    </w:p>
    <w:p>
      <w:pPr>
        <w:ind w:left="360" w:right="320" w:firstLine="322"/>
        <w:spacing w:after="0" w:line="268" w:lineRule="auto"/>
        <w:tabs>
          <w:tab w:leader="none" w:pos="10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05" w:lineRule="exact"/>
        <w:rPr>
          <w:sz w:val="20"/>
          <w:szCs w:val="20"/>
          <w:color w:val="auto"/>
        </w:rPr>
      </w:pPr>
    </w:p>
    <w:p>
      <w:pPr>
        <w:ind w:right="580" w:firstLine="34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144" w:lineRule="exact"/>
        <w:rPr>
          <w:sz w:val="20"/>
          <w:szCs w:val="20"/>
          <w:color w:val="auto"/>
        </w:rPr>
      </w:pPr>
    </w:p>
    <w:p>
      <w:pPr>
        <w:ind w:left="360" w:right="180" w:firstLine="322"/>
        <w:spacing w:after="0" w:line="259" w:lineRule="auto"/>
        <w:tabs>
          <w:tab w:leader="none" w:pos="10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13" w:lineRule="exact"/>
        <w:rPr>
          <w:rFonts w:ascii="Arial" w:cs="Arial" w:eastAsia="Arial" w:hAnsi="Arial"/>
          <w:sz w:val="18"/>
          <w:szCs w:val="18"/>
          <w:color w:val="auto"/>
        </w:rPr>
      </w:pPr>
    </w:p>
    <w:p>
      <w:pPr>
        <w:ind w:left="360" w:right="80" w:firstLine="322"/>
        <w:spacing w:after="0" w:line="255" w:lineRule="auto"/>
        <w:tabs>
          <w:tab w:leader="none" w:pos="10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16" w:lineRule="exact"/>
        <w:rPr>
          <w:sz w:val="20"/>
          <w:szCs w:val="20"/>
          <w:color w:val="auto"/>
        </w:rPr>
      </w:pPr>
    </w:p>
    <w:p>
      <w:pPr>
        <w:ind w:right="580" w:firstLine="34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44" w:lineRule="exact"/>
        <w:rPr>
          <w:sz w:val="20"/>
          <w:szCs w:val="20"/>
          <w:color w:val="auto"/>
        </w:rPr>
      </w:pPr>
    </w:p>
    <w:p>
      <w:pPr>
        <w:ind w:left="360" w:firstLine="322"/>
        <w:spacing w:after="0" w:line="306" w:lineRule="auto"/>
        <w:tabs>
          <w:tab w:leader="none" w:pos="10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79" w:lineRule="exact"/>
        <w:rPr>
          <w:rFonts w:ascii="Arial" w:cs="Arial" w:eastAsia="Arial" w:hAnsi="Arial"/>
          <w:sz w:val="16"/>
          <w:szCs w:val="16"/>
          <w:color w:val="auto"/>
        </w:rPr>
      </w:pPr>
    </w:p>
    <w:p>
      <w:pPr>
        <w:ind w:left="360" w:right="180" w:firstLine="322"/>
        <w:spacing w:after="0" w:line="332" w:lineRule="auto"/>
        <w:tabs>
          <w:tab w:leader="none" w:pos="10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 ENTRY, DELIVERY AND FORM</w:t>
      </w:r>
    </w:p>
    <w:p>
      <w:pPr>
        <w:spacing w:after="0" w:line="150" w:lineRule="exact"/>
        <w:rPr>
          <w:sz w:val="20"/>
          <w:szCs w:val="20"/>
          <w:color w:val="auto"/>
        </w:rPr>
      </w:pPr>
    </w:p>
    <w:p>
      <w:pPr>
        <w:ind w:firstLine="342"/>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93" w:lineRule="exact"/>
        <w:rPr>
          <w:sz w:val="20"/>
          <w:szCs w:val="20"/>
          <w:color w:val="auto"/>
        </w:rPr>
      </w:pPr>
    </w:p>
    <w:p>
      <w:pPr>
        <w:ind w:right="80" w:firstLine="342"/>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16" w:lineRule="exact"/>
        <w:rPr>
          <w:sz w:val="20"/>
          <w:szCs w:val="20"/>
          <w:color w:val="auto"/>
        </w:rPr>
      </w:pPr>
    </w:p>
    <w:p>
      <w:pPr>
        <w:ind w:right="20" w:firstLine="342"/>
        <w:spacing w:after="0" w:line="298"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150" w:lineRule="exact"/>
        <w:rPr>
          <w:sz w:val="20"/>
          <w:szCs w:val="20"/>
          <w:color w:val="auto"/>
        </w:rPr>
      </w:pPr>
    </w:p>
    <w:p>
      <w:pPr>
        <w:ind w:right="60" w:firstLine="342"/>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97" w:lineRule="exact"/>
        <w:rPr>
          <w:sz w:val="20"/>
          <w:szCs w:val="20"/>
          <w:color w:val="auto"/>
        </w:rPr>
      </w:pPr>
    </w:p>
    <w:p>
      <w:pPr>
        <w:ind w:right="220" w:firstLine="342"/>
        <w:spacing w:after="0" w:line="259"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ownership thereof will be effected only through, records maintained by DTC (with respect to the Participants) or by the Participants and the Indirect Participants (with respect to other owners of beneficial interests in the Global Notes).</w:t>
      </w:r>
    </w:p>
    <w:p>
      <w:pPr>
        <w:spacing w:after="0" w:line="105" w:lineRule="exact"/>
        <w:rPr>
          <w:sz w:val="20"/>
          <w:szCs w:val="20"/>
          <w:color w:val="auto"/>
        </w:rPr>
      </w:pPr>
    </w:p>
    <w:p>
      <w:pPr>
        <w:ind w:right="60" w:firstLine="342"/>
        <w:spacing w:after="0" w:line="294" w:lineRule="auto"/>
        <w:rPr>
          <w:sz w:val="20"/>
          <w:szCs w:val="20"/>
          <w:color w:val="auto"/>
        </w:rPr>
      </w:pPr>
      <w:r>
        <w:rPr>
          <w:rFonts w:ascii="Arial" w:cs="Arial" w:eastAsia="Arial" w:hAnsi="Arial"/>
          <w:sz w:val="16"/>
          <w:szCs w:val="16"/>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89" w:lineRule="exact"/>
        <w:rPr>
          <w:sz w:val="20"/>
          <w:szCs w:val="20"/>
          <w:color w:val="auto"/>
        </w:rPr>
      </w:pPr>
    </w:p>
    <w:p>
      <w:pPr>
        <w:ind w:firstLine="342"/>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w:t>
      </w:r>
    </w:p>
    <w:p>
      <w:pPr>
        <w:spacing w:after="0" w:line="111" w:lineRule="exact"/>
        <w:rPr>
          <w:sz w:val="20"/>
          <w:szCs w:val="20"/>
          <w:color w:val="auto"/>
        </w:rPr>
      </w:pPr>
    </w:p>
    <w:p>
      <w:pPr>
        <w:ind w:right="40" w:firstLine="342"/>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53" w:lineRule="exact"/>
        <w:rPr>
          <w:sz w:val="20"/>
          <w:szCs w:val="20"/>
          <w:color w:val="auto"/>
        </w:rPr>
      </w:pPr>
    </w:p>
    <w:p>
      <w:pPr>
        <w:ind w:right="120" w:firstLine="342"/>
        <w:spacing w:after="0" w:line="283" w:lineRule="auto"/>
        <w:rPr>
          <w:sz w:val="20"/>
          <w:szCs w:val="20"/>
          <w:color w:val="auto"/>
        </w:rPr>
      </w:pPr>
      <w:r>
        <w:rPr>
          <w:rFonts w:ascii="Arial" w:cs="Arial" w:eastAsia="Arial" w:hAnsi="Arial"/>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460" w:firstLine="8"/>
        <w:spacing w:after="0" w:line="261"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11" w:lineRule="exact"/>
        <w:rPr>
          <w:sz w:val="20"/>
          <w:szCs w:val="20"/>
          <w:color w:val="auto"/>
        </w:rPr>
      </w:pPr>
    </w:p>
    <w:p>
      <w:pPr>
        <w:ind w:right="60" w:firstLine="342"/>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87" w:lineRule="exact"/>
        <w:rPr>
          <w:sz w:val="20"/>
          <w:szCs w:val="20"/>
          <w:color w:val="auto"/>
        </w:rPr>
      </w:pPr>
    </w:p>
    <w:p>
      <w:pPr>
        <w:jc w:val="both"/>
        <w:ind w:right="240" w:firstLine="342"/>
        <w:spacing w:after="0" w:line="310"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76" w:lineRule="exact"/>
        <w:rPr>
          <w:sz w:val="20"/>
          <w:szCs w:val="20"/>
          <w:color w:val="auto"/>
        </w:rPr>
      </w:pPr>
    </w:p>
    <w:p>
      <w:pPr>
        <w:ind w:right="80" w:firstLine="342"/>
        <w:spacing w:after="0" w:line="259" w:lineRule="auto"/>
        <w:rPr>
          <w:sz w:val="20"/>
          <w:szCs w:val="20"/>
          <w:color w:val="auto"/>
        </w:rPr>
      </w:pPr>
      <w:r>
        <w:rPr>
          <w:rFonts w:ascii="Arial" w:cs="Arial" w:eastAsia="Arial" w:hAnsi="Arial"/>
          <w:sz w:val="18"/>
          <w:szCs w:val="18"/>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89" w:lineRule="exact"/>
        <w:rPr>
          <w:sz w:val="20"/>
          <w:szCs w:val="20"/>
          <w:color w:val="auto"/>
        </w:rPr>
      </w:pPr>
    </w:p>
    <w:p>
      <w:pPr>
        <w:ind w:right="100" w:firstLine="342"/>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93" w:lineRule="exact"/>
        <w:rPr>
          <w:sz w:val="20"/>
          <w:szCs w:val="20"/>
          <w:color w:val="auto"/>
        </w:rPr>
      </w:pPr>
    </w:p>
    <w:p>
      <w:pPr>
        <w:ind w:right="80" w:firstLine="342"/>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w:t>
      </w:r>
    </w:p>
    <w:p>
      <w:pPr>
        <w:spacing w:after="0" w:line="86" w:lineRule="exact"/>
        <w:rPr>
          <w:sz w:val="20"/>
          <w:szCs w:val="20"/>
          <w:color w:val="auto"/>
        </w:rPr>
      </w:pPr>
    </w:p>
    <w:p>
      <w:pPr>
        <w:ind w:right="40" w:firstLine="342"/>
        <w:spacing w:after="0" w:line="332" w:lineRule="auto"/>
        <w:rPr>
          <w:sz w:val="20"/>
          <w:szCs w:val="20"/>
          <w:color w:val="auto"/>
        </w:rPr>
      </w:pPr>
      <w:r>
        <w:rPr>
          <w:rFonts w:ascii="Arial" w:cs="Arial" w:eastAsia="Arial" w:hAnsi="Arial"/>
          <w:sz w:val="16"/>
          <w:szCs w:val="16"/>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 Entry Notes for Certificated Notes</w:t>
      </w:r>
    </w:p>
    <w:p>
      <w:pPr>
        <w:spacing w:after="0" w:line="150" w:lineRule="exact"/>
        <w:rPr>
          <w:sz w:val="20"/>
          <w:szCs w:val="20"/>
          <w:color w:val="auto"/>
        </w:rPr>
      </w:pPr>
    </w:p>
    <w:p>
      <w:pPr>
        <w:ind w:right="60" w:firstLine="342"/>
        <w:spacing w:after="0" w:line="298"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CONSEQUENCES</w:t>
      </w:r>
    </w:p>
    <w:p>
      <w:pPr>
        <w:spacing w:after="0" w:line="150" w:lineRule="exact"/>
        <w:rPr>
          <w:sz w:val="20"/>
          <w:szCs w:val="20"/>
          <w:color w:val="auto"/>
        </w:rPr>
      </w:pPr>
    </w:p>
    <w:p>
      <w:pPr>
        <w:ind w:firstLine="342"/>
        <w:spacing w:after="0" w:line="288" w:lineRule="auto"/>
        <w:rPr>
          <w:sz w:val="20"/>
          <w:szCs w:val="20"/>
          <w:color w:val="auto"/>
        </w:rPr>
      </w:pPr>
      <w:r>
        <w:rPr>
          <w:rFonts w:ascii="Arial" w:cs="Arial" w:eastAsia="Arial" w:hAnsi="Arial"/>
          <w:sz w:val="16"/>
          <w:szCs w:val="16"/>
          <w:color w:val="auto"/>
        </w:rPr>
        <w:t>The following discussion is a summary of the material U.S. federal income tax consequences, and in the case of a Non-U.S. Holder (as defined below), U.S. federal estate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w:t>
      </w:r>
    </w:p>
    <w:p>
      <w:pPr>
        <w:spacing w:after="0" w:line="93" w:lineRule="exact"/>
        <w:rPr>
          <w:sz w:val="20"/>
          <w:szCs w:val="20"/>
          <w:color w:val="auto"/>
        </w:rPr>
      </w:pPr>
    </w:p>
    <w:p>
      <w:pPr>
        <w:ind w:right="980" w:firstLine="342"/>
        <w:spacing w:after="0" w:line="268" w:lineRule="auto"/>
        <w:rPr>
          <w:sz w:val="20"/>
          <w:szCs w:val="20"/>
          <w:color w:val="auto"/>
        </w:rPr>
      </w:pPr>
      <w:r>
        <w:rPr>
          <w:rFonts w:ascii="Arial" w:cs="Arial" w:eastAsia="Arial" w:hAnsi="Arial"/>
          <w:sz w:val="18"/>
          <w:szCs w:val="18"/>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118" w:lineRule="exact"/>
        <w:rPr>
          <w:sz w:val="20"/>
          <w:szCs w:val="20"/>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former citizens or long-term residents of the United States;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157" w:lineRule="exact"/>
        <w:rPr>
          <w:rFonts w:ascii="Arial" w:cs="Arial" w:eastAsia="Arial" w:hAnsi="Arial"/>
          <w:sz w:val="18"/>
          <w:szCs w:val="18"/>
          <w:color w:val="auto"/>
        </w:rPr>
      </w:pPr>
    </w:p>
    <w:p>
      <w:pPr>
        <w:ind w:left="800" w:right="720" w:hanging="454"/>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deemed to sell the Notes under constructive sale provisions of the Code; and</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144" w:lineRule="exact"/>
        <w:rPr>
          <w:sz w:val="20"/>
          <w:szCs w:val="20"/>
          <w:color w:val="auto"/>
        </w:rPr>
      </w:pPr>
    </w:p>
    <w:p>
      <w:pPr>
        <w:ind w:right="360" w:firstLine="342"/>
        <w:spacing w:after="0" w:line="268" w:lineRule="auto"/>
        <w:rPr>
          <w:sz w:val="20"/>
          <w:szCs w:val="20"/>
          <w:color w:val="auto"/>
        </w:rPr>
      </w:pPr>
      <w:r>
        <w:rPr>
          <w:rFonts w:ascii="Arial" w:cs="Arial" w:eastAsia="Arial" w:hAnsi="Arial"/>
          <w:sz w:val="18"/>
          <w:szCs w:val="18"/>
          <w:color w:val="auto"/>
        </w:rPr>
        <w:t>In addition, the discussion does not consider the effect of U.S. federal estate tax laws (except in the case of a Non-U.S. Holder) or gift tax laws or of any applicable foreign, state, local or other tax laws or income tax treaties.</w:t>
      </w:r>
    </w:p>
    <w:p>
      <w:pPr>
        <w:spacing w:after="0" w:line="105" w:lineRule="exact"/>
        <w:rPr>
          <w:sz w:val="20"/>
          <w:szCs w:val="20"/>
          <w:color w:val="auto"/>
        </w:rPr>
      </w:pPr>
    </w:p>
    <w:p>
      <w:pPr>
        <w:ind w:right="320" w:firstLine="342"/>
        <w:spacing w:after="0" w:line="335" w:lineRule="auto"/>
        <w:rPr>
          <w:sz w:val="20"/>
          <w:szCs w:val="20"/>
          <w:color w:val="auto"/>
        </w:rPr>
      </w:pPr>
      <w:r>
        <w:rPr>
          <w:rFonts w:ascii="Arial" w:cs="Arial" w:eastAsia="Arial" w:hAnsi="Arial"/>
          <w:sz w:val="15"/>
          <w:szCs w:val="15"/>
          <w:color w:val="auto"/>
        </w:rPr>
        <w:t>If a partnership or other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should consult their tax advisors about the U.S. federal income tax consequences of acquiring, owning and disposing of the Notes.</w:t>
      </w:r>
    </w:p>
    <w:p>
      <w:pPr>
        <w:spacing w:after="0" w:line="61" w:lineRule="exact"/>
        <w:rPr>
          <w:sz w:val="20"/>
          <w:szCs w:val="20"/>
          <w:color w:val="auto"/>
        </w:rPr>
      </w:pPr>
    </w:p>
    <w:p>
      <w:pPr>
        <w:ind w:right="100" w:firstLine="342"/>
        <w:spacing w:after="0" w:line="259" w:lineRule="auto"/>
        <w:rPr>
          <w:sz w:val="20"/>
          <w:szCs w:val="20"/>
          <w:color w:val="auto"/>
        </w:rPr>
      </w:pPr>
      <w:r>
        <w:rPr>
          <w:rFonts w:ascii="Arial" w:cs="Arial" w:eastAsia="Arial" w:hAnsi="Arial"/>
          <w:sz w:val="18"/>
          <w:szCs w:val="18"/>
          <w:color w:val="auto"/>
        </w:rPr>
        <w:t>PROSPECTIVE INVESTORS ARE ADVISED TO CONSULT THEIR OWN TAX ADVISORS WITH REGARD TO THE APPLICATION OF THE TAX CONSEQUENCES DISCUSSED BELOW TO THEIR PARTICULAR SITUATIONS, AS WELL AS THE APPLICATION OF U.S. FEDERAL ESTATE OR GIFT TAX LAWS OR OF ANY STATE, LOCAL, FOREIGN OR OTHER TAX LAWS OR INCOME TAX TREATIES.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150" w:lineRule="exact"/>
        <w:rPr>
          <w:sz w:val="20"/>
          <w:szCs w:val="20"/>
          <w:color w:val="auto"/>
        </w:rPr>
      </w:pPr>
    </w:p>
    <w:p>
      <w:pPr>
        <w:ind w:right="120" w:firstLine="342"/>
        <w:spacing w:after="0" w:line="318" w:lineRule="auto"/>
        <w:rPr>
          <w:sz w:val="20"/>
          <w:szCs w:val="20"/>
          <w:color w:val="auto"/>
        </w:rPr>
      </w:pPr>
      <w:r>
        <w:rPr>
          <w:rFonts w:ascii="Arial" w:cs="Arial" w:eastAsia="Arial" w:hAnsi="Arial"/>
          <w:sz w:val="15"/>
          <w:szCs w:val="15"/>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used herein, a “U.S. Holder” means a beneficial owner of a Note that is:</w:t>
      </w:r>
    </w:p>
    <w:p>
      <w:pPr>
        <w:spacing w:after="0" w:line="158" w:lineRule="exact"/>
        <w:rPr>
          <w:sz w:val="20"/>
          <w:szCs w:val="20"/>
          <w:color w:val="auto"/>
        </w:rPr>
      </w:pPr>
    </w:p>
    <w:p>
      <w:pPr>
        <w:ind w:left="800" w:hanging="45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individual who is a citizen or resident alien of the United States;</w:t>
      </w:r>
    </w:p>
    <w:p>
      <w:pPr>
        <w:spacing w:after="0" w:line="157" w:lineRule="exact"/>
        <w:rPr>
          <w:rFonts w:ascii="Arial" w:cs="Arial" w:eastAsia="Arial" w:hAnsi="Arial"/>
          <w:sz w:val="18"/>
          <w:szCs w:val="18"/>
          <w:color w:val="auto"/>
        </w:rPr>
      </w:pPr>
    </w:p>
    <w:p>
      <w:pPr>
        <w:ind w:left="800" w:right="340" w:hanging="454"/>
        <w:spacing w:after="0" w:line="26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any political subdivision thereof;</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57" w:lineRule="exact"/>
        <w:rPr>
          <w:rFonts w:ascii="Arial" w:cs="Arial" w:eastAsia="Arial" w:hAnsi="Arial"/>
          <w:sz w:val="18"/>
          <w:szCs w:val="18"/>
          <w:color w:val="auto"/>
        </w:rPr>
      </w:pPr>
    </w:p>
    <w:p>
      <w:pPr>
        <w:ind w:left="800" w:right="20" w:hanging="454"/>
        <w:spacing w:after="0" w:line="259"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144" w:lineRule="exact"/>
        <w:rPr>
          <w:sz w:val="20"/>
          <w:szCs w:val="20"/>
          <w:color w:val="auto"/>
        </w:rPr>
      </w:pPr>
    </w:p>
    <w:p>
      <w:pPr>
        <w:ind w:right="240" w:firstLine="342"/>
        <w:spacing w:after="0" w:line="268" w:lineRule="auto"/>
        <w:rPr>
          <w:sz w:val="20"/>
          <w:szCs w:val="20"/>
          <w:color w:val="auto"/>
        </w:rPr>
      </w:pPr>
      <w:r>
        <w:rPr>
          <w:rFonts w:ascii="Arial" w:cs="Arial" w:eastAsia="Arial" w:hAnsi="Arial"/>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144" w:lineRule="exact"/>
        <w:rPr>
          <w:sz w:val="20"/>
          <w:szCs w:val="20"/>
          <w:color w:val="auto"/>
        </w:rPr>
      </w:pPr>
    </w:p>
    <w:p>
      <w:pPr>
        <w:ind w:right="60" w:firstLine="342"/>
        <w:spacing w:after="0" w:line="255" w:lineRule="auto"/>
        <w:rPr>
          <w:sz w:val="20"/>
          <w:szCs w:val="20"/>
          <w:color w:val="auto"/>
        </w:rPr>
      </w:pPr>
      <w:r>
        <w:rPr>
          <w:rFonts w:ascii="Arial" w:cs="Arial" w:eastAsia="Arial" w:hAnsi="Arial"/>
          <w:sz w:val="18"/>
          <w:szCs w:val="18"/>
          <w:color w:val="auto"/>
        </w:rPr>
        <w:t>Upon the sale, exchange, retirement, redemption or other taxable disposition of a Note, a U.S. Holder will generally recognize capital gain or loss equal to the difference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116" w:lineRule="exact"/>
        <w:rPr>
          <w:sz w:val="20"/>
          <w:szCs w:val="20"/>
          <w:color w:val="auto"/>
        </w:rPr>
      </w:pPr>
    </w:p>
    <w:p>
      <w:pPr>
        <w:jc w:val="both"/>
        <w:ind w:right="20" w:firstLine="342"/>
        <w:spacing w:after="0" w:line="306" w:lineRule="auto"/>
        <w:rPr>
          <w:sz w:val="20"/>
          <w:szCs w:val="20"/>
          <w:color w:val="auto"/>
        </w:rPr>
      </w:pPr>
      <w:r>
        <w:rPr>
          <w:rFonts w:ascii="Arial" w:cs="Arial" w:eastAsia="Arial" w:hAnsi="Arial"/>
          <w:sz w:val="16"/>
          <w:szCs w:val="16"/>
          <w:color w:val="auto"/>
        </w:rPr>
        <w:t>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penalties of perjury, as well as certain other information 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used herein, a “Non-U.S. Holder” means a beneficial owner of a Note that is an individual, corporation, estate or trust that is not a U.S. Holder.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144" w:lineRule="exact"/>
        <w:rPr>
          <w:sz w:val="20"/>
          <w:szCs w:val="20"/>
          <w:color w:val="auto"/>
        </w:rPr>
      </w:pPr>
    </w:p>
    <w:p>
      <w:pPr>
        <w:ind w:right="40" w:firstLine="342"/>
        <w:spacing w:after="0" w:line="332" w:lineRule="auto"/>
        <w:rPr>
          <w:sz w:val="20"/>
          <w:szCs w:val="20"/>
          <w:color w:val="auto"/>
        </w:rPr>
      </w:pPr>
      <w:r>
        <w:rPr>
          <w:rFonts w:ascii="Arial" w:cs="Arial" w:eastAsia="Arial" w:hAnsi="Arial"/>
          <w:sz w:val="16"/>
          <w:szCs w:val="16"/>
          <w:color w:val="auto"/>
        </w:rPr>
        <w:t>The payment to a Non-U.S. Holder of interest on a Note generally will be exempt from U.S. federal withholding tax under the “portfolio interest” exemption provided that interest on the Note is not effectively connected with a U.S. trade or business conducted by the Non-U.S. Holder and the Non-U.S. Holder:</w:t>
      </w:r>
    </w:p>
    <w:p>
      <w:pPr>
        <w:spacing w:after="0" w:line="72" w:lineRule="exact"/>
        <w:rPr>
          <w:sz w:val="20"/>
          <w:szCs w:val="20"/>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actually or constructively own 10% or more of our capital or profits interests;</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not a controlled foreign corporation for U.S. federal income tax purposes that is actually or constructively related to us; and</w:t>
      </w:r>
    </w:p>
    <w:p>
      <w:pPr>
        <w:spacing w:after="0" w:line="157" w:lineRule="exact"/>
        <w:rPr>
          <w:rFonts w:ascii="Arial" w:cs="Arial" w:eastAsia="Arial" w:hAnsi="Arial"/>
          <w:sz w:val="18"/>
          <w:szCs w:val="18"/>
          <w:color w:val="auto"/>
        </w:rPr>
      </w:pPr>
    </w:p>
    <w:p>
      <w:pPr>
        <w:ind w:left="800" w:right="220" w:hanging="454"/>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not a bank whose receipt of interest on the Note is in connection with an extension of credit made pursuant to a loan agreement entered into in the ordinary course of business; and</w:t>
      </w:r>
    </w:p>
    <w:p>
      <w:pPr>
        <w:spacing w:after="0" w:line="118" w:lineRule="exact"/>
        <w:rPr>
          <w:rFonts w:ascii="Arial" w:cs="Arial" w:eastAsia="Arial" w:hAnsi="Arial"/>
          <w:sz w:val="18"/>
          <w:szCs w:val="18"/>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Non-U.S. Holder properly certifies as to his foreign status as described below.</w:t>
      </w:r>
    </w:p>
    <w:p>
      <w:pPr>
        <w:spacing w:after="0" w:line="144"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The portfolio interest exemption and several of the special rules for Non-U.S. Holders described below generally apply only if a Non-U.S. Holder appropriately certifies as to its foreign status. A Non-U.S. Holder can generally meet this certification requirement by providing a properly executed IRS Form W-8BEN to the applicable withholding agent.</w:t>
      </w:r>
    </w:p>
    <w:p>
      <w:pPr>
        <w:spacing w:after="0" w:line="113" w:lineRule="exact"/>
        <w:rPr>
          <w:sz w:val="20"/>
          <w:szCs w:val="20"/>
          <w:color w:val="auto"/>
        </w:rPr>
      </w:pPr>
    </w:p>
    <w:p>
      <w:pPr>
        <w:ind w:right="180" w:firstLine="342"/>
        <w:spacing w:after="0" w:line="255" w:lineRule="auto"/>
        <w:rPr>
          <w:sz w:val="20"/>
          <w:szCs w:val="20"/>
          <w:color w:val="auto"/>
        </w:rPr>
      </w:pPr>
      <w:r>
        <w:rPr>
          <w:rFonts w:ascii="Arial" w:cs="Arial" w:eastAsia="Arial" w:hAnsi="Arial"/>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w:t>
      </w:r>
    </w:p>
    <w:p>
      <w:pPr>
        <w:spacing w:after="0" w:line="116" w:lineRule="exact"/>
        <w:rPr>
          <w:sz w:val="20"/>
          <w:szCs w:val="20"/>
          <w:color w:val="auto"/>
        </w:rPr>
      </w:pPr>
    </w:p>
    <w:p>
      <w:pPr>
        <w:ind w:right="80" w:firstLine="342"/>
        <w:spacing w:after="0" w:line="294" w:lineRule="auto"/>
        <w:rPr>
          <w:sz w:val="20"/>
          <w:szCs w:val="20"/>
          <w:color w:val="auto"/>
        </w:rPr>
      </w:pPr>
      <w:r>
        <w:rPr>
          <w:rFonts w:ascii="Arial" w:cs="Arial" w:eastAsia="Arial" w:hAnsi="Arial"/>
          <w:sz w:val="16"/>
          <w:szCs w:val="16"/>
          <w:color w:val="auto"/>
        </w:rPr>
        <w:t>If a Non-U.S. Holder cannot satisfy the requirements described in the preceding paragraphs, payments of interest made to the Non-U.S. Holder will be subject to a 30% U.S. federal withholding tax, unless the Non-U.S. Holder provides the applicable withholding agent with a properly executed (1) IRS Form W-8BEN (or successor form) claiming an exemption from or reduction of the rate of withholding under the benefit of an income tax treaty or (2) IRS Form W-8ECI (or successor form) stating that the interest paid on the Note is not subject to withholding tax because it is effectively connected with the Non-U.S. Holder’s conduct of a trade or business in the United States. See “—Income or Gain Effectively Connected with a U.S. Trade or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144" w:lineRule="exact"/>
        <w:rPr>
          <w:sz w:val="20"/>
          <w:szCs w:val="20"/>
          <w:color w:val="auto"/>
        </w:rPr>
      </w:pPr>
    </w:p>
    <w:p>
      <w:pPr>
        <w:ind w:right="300" w:firstLine="342"/>
        <w:spacing w:after="0" w:line="268" w:lineRule="auto"/>
        <w:rPr>
          <w:sz w:val="20"/>
          <w:szCs w:val="20"/>
          <w:color w:val="auto"/>
        </w:rPr>
      </w:pPr>
      <w:r>
        <w:rPr>
          <w:rFonts w:ascii="Arial" w:cs="Arial" w:eastAsia="Arial" w:hAnsi="Arial"/>
          <w:sz w:val="18"/>
          <w:szCs w:val="18"/>
          <w:color w:val="auto"/>
        </w:rPr>
        <w:t>Generally, a Non-U.S. Holder will not be subject to U.S. federal income tax with respect to gain realized on the sale, exchange, retirement, redemption or other disposition of a Note unless:</w:t>
      </w:r>
    </w:p>
    <w:p>
      <w:pPr>
        <w:spacing w:after="0" w:line="118" w:lineRule="exact"/>
        <w:rPr>
          <w:sz w:val="20"/>
          <w:szCs w:val="20"/>
          <w:color w:val="auto"/>
        </w:rPr>
      </w:pPr>
    </w:p>
    <w:p>
      <w:pPr>
        <w:ind w:left="800" w:hanging="454"/>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trade or business in the United States; or</w:t>
      </w:r>
    </w:p>
    <w:p>
      <w:pPr>
        <w:spacing w:after="0" w:line="157" w:lineRule="exact"/>
        <w:rPr>
          <w:rFonts w:ascii="Arial" w:cs="Arial" w:eastAsia="Arial" w:hAnsi="Arial"/>
          <w:sz w:val="18"/>
          <w:szCs w:val="18"/>
          <w:color w:val="auto"/>
        </w:rPr>
      </w:pPr>
    </w:p>
    <w:p>
      <w:pPr>
        <w:ind w:left="800" w:right="440" w:hanging="454"/>
        <w:spacing w:after="0" w:line="268"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105" w:lineRule="exact"/>
        <w:rPr>
          <w:sz w:val="20"/>
          <w:szCs w:val="20"/>
          <w:color w:val="auto"/>
        </w:rPr>
      </w:pPr>
    </w:p>
    <w:p>
      <w:pPr>
        <w:ind w:firstLine="342"/>
        <w:spacing w:after="0" w:line="256" w:lineRule="auto"/>
        <w:rPr>
          <w:sz w:val="20"/>
          <w:szCs w:val="20"/>
          <w:color w:val="auto"/>
        </w:rPr>
      </w:pPr>
      <w:r>
        <w:rPr>
          <w:rFonts w:ascii="Arial" w:cs="Arial" w:eastAsia="Arial" w:hAnsi="Arial"/>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applicable treaty rate) of U.S. federal income tax on the gain derived from the sale or other disposition, which may be offset by U.S. source capital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144" w:lineRule="exact"/>
        <w:rPr>
          <w:sz w:val="20"/>
          <w:szCs w:val="20"/>
          <w:color w:val="auto"/>
        </w:rPr>
      </w:pPr>
    </w:p>
    <w:p>
      <w:pPr>
        <w:ind w:right="20" w:firstLine="342"/>
        <w:spacing w:after="0" w:line="283" w:lineRule="auto"/>
        <w:rPr>
          <w:sz w:val="20"/>
          <w:szCs w:val="20"/>
          <w:color w:val="auto"/>
        </w:rPr>
      </w:pPr>
      <w:r>
        <w:rPr>
          <w:rFonts w:ascii="Arial" w:cs="Arial" w:eastAsia="Arial" w:hAnsi="Arial"/>
          <w:sz w:val="16"/>
          <w:szCs w:val="16"/>
          <w:color w:val="auto"/>
        </w:rPr>
        <w:t>If a Non-U.S. Holder of a Note is engaged in a trade or business in the United States and interest on the Note is effectively connected with the conduct of such trade or business, then the income or gain from the Note will generally be subject to U.S. federal income tax at regular graduated rates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United States. In addition, if such Non-U.S. Holder is a foreign corporation, it may be subject to a branch profits tax equal to 30% (or lower applicable treaty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claiming exemption under an applicable income tax treaty) or appropriate substitute form to the applicable withholding agent.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Estate Tax</w:t>
      </w:r>
    </w:p>
    <w:p>
      <w:pPr>
        <w:spacing w:after="0" w:line="144" w:lineRule="exact"/>
        <w:rPr>
          <w:sz w:val="20"/>
          <w:szCs w:val="20"/>
          <w:color w:val="auto"/>
        </w:rPr>
      </w:pPr>
    </w:p>
    <w:p>
      <w:pPr>
        <w:ind w:right="60" w:firstLine="342"/>
        <w:spacing w:after="0" w:line="256" w:lineRule="auto"/>
        <w:rPr>
          <w:sz w:val="20"/>
          <w:szCs w:val="20"/>
          <w:color w:val="auto"/>
        </w:rPr>
      </w:pPr>
      <w:r>
        <w:rPr>
          <w:rFonts w:ascii="Arial" w:cs="Arial" w:eastAsia="Arial" w:hAnsi="Arial"/>
          <w:sz w:val="18"/>
          <w:szCs w:val="18"/>
          <w:color w:val="auto"/>
        </w:rPr>
        <w:t>If an individual is not a resident of the United States (as specially defined for U.S. federal estate tax purposes) at the time of the individual’s death, the Notes will not be included in the individual’s estate for U.S. federal estate tax purposes provided that at the time of death, interest on the Notes owned by the individual qualifies for the portfolio interest exemption under the rules described above under “—Payments of Interest” (without regard to the certification requirement required to qualify for the portfolio interest exemption).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ind w:right="100" w:firstLine="342"/>
        <w:spacing w:after="0" w:line="259" w:lineRule="auto"/>
        <w:rPr>
          <w:sz w:val="20"/>
          <w:szCs w:val="20"/>
          <w:color w:val="auto"/>
        </w:rPr>
      </w:pPr>
      <w:r>
        <w:rPr>
          <w:rFonts w:ascii="Arial" w:cs="Arial" w:eastAsia="Arial" w:hAnsi="Arial"/>
          <w:sz w:val="18"/>
          <w:szCs w:val="18"/>
          <w:color w:val="auto"/>
        </w:rPr>
        <w:t>Payments to a Non-U.S. Holder of interest on a Note, and amounts withheld from such payments, if any, generally will be required to be reported to the IRS and to the Non-U.S. Holder. Copies of these information returns may also be made available to the tax authorities of the country in which the Non-U.S. Holder resides or is established under the provisions of a specific treaty or agreement.</w:t>
      </w:r>
    </w:p>
    <w:p>
      <w:pPr>
        <w:spacing w:after="0" w:line="113" w:lineRule="exact"/>
        <w:rPr>
          <w:sz w:val="20"/>
          <w:szCs w:val="20"/>
          <w:color w:val="auto"/>
        </w:rPr>
      </w:pPr>
    </w:p>
    <w:p>
      <w:pPr>
        <w:jc w:val="both"/>
        <w:ind w:right="20" w:firstLine="342"/>
        <w:spacing w:after="0" w:line="259" w:lineRule="auto"/>
        <w:rPr>
          <w:sz w:val="20"/>
          <w:szCs w:val="20"/>
          <w:color w:val="auto"/>
        </w:rPr>
      </w:pPr>
      <w:r>
        <w:rPr>
          <w:rFonts w:ascii="Arial" w:cs="Arial" w:eastAsia="Arial" w:hAnsi="Arial"/>
          <w:sz w:val="18"/>
          <w:szCs w:val="18"/>
          <w:color w:val="auto"/>
        </w:rPr>
        <w:t>United States backup withholding generally will not apply to payments of interest and principal on a Note to a Non-U.S. Holder if the statement described in “—Payments of Interest” is duly provided by the holder or the holder otherwise establishes an exemption, provided that the applicable withholding agent does not have actual knowledge or reason to know that the holder is a United States person.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342"/>
        <w:spacing w:after="0" w:line="291" w:lineRule="auto"/>
        <w:rPr>
          <w:sz w:val="20"/>
          <w:szCs w:val="20"/>
          <w:color w:val="auto"/>
        </w:rPr>
      </w:pPr>
      <w:r>
        <w:rPr>
          <w:rFonts w:ascii="Arial" w:cs="Arial" w:eastAsia="Arial" w:hAnsi="Arial"/>
          <w:sz w:val="16"/>
          <w:szCs w:val="16"/>
          <w:color w:val="auto"/>
        </w:rPr>
        <w:t>Payment of the proceeds of a sale of a Note effected by the U.S. office of a U.S. or foreign broker will be subject to information reporting requirements and backup withholding unless the Non-U.S. Holder 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107" w:lineRule="exact"/>
        <w:rPr>
          <w:sz w:val="20"/>
          <w:szCs w:val="20"/>
          <w:color w:val="auto"/>
        </w:rPr>
      </w:pPr>
    </w:p>
    <w:p>
      <w:pPr>
        <w:ind w:left="800" w:hanging="454"/>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foreign person that derives 50% or more of its gross income for certain periods from the conduct of a trade or business in the United States;</w:t>
      </w:r>
    </w:p>
    <w:p>
      <w:pPr>
        <w:spacing w:after="0" w:line="180" w:lineRule="exact"/>
        <w:rPr>
          <w:rFonts w:ascii="Arial" w:cs="Arial" w:eastAsia="Arial" w:hAnsi="Arial"/>
          <w:sz w:val="16"/>
          <w:szCs w:val="16"/>
          <w:color w:val="auto"/>
        </w:rPr>
      </w:pPr>
    </w:p>
    <w:p>
      <w:pPr>
        <w:ind w:left="800" w:hanging="454"/>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 or</w:t>
      </w:r>
    </w:p>
    <w:p>
      <w:pPr>
        <w:spacing w:after="0" w:line="157" w:lineRule="exact"/>
        <w:rPr>
          <w:rFonts w:ascii="Arial" w:cs="Arial" w:eastAsia="Arial" w:hAnsi="Arial"/>
          <w:sz w:val="18"/>
          <w:szCs w:val="18"/>
          <w:color w:val="auto"/>
        </w:rPr>
      </w:pPr>
    </w:p>
    <w:p>
      <w:pPr>
        <w:ind w:left="800" w:hanging="454"/>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05" w:lineRule="exact"/>
        <w:rPr>
          <w:sz w:val="20"/>
          <w:szCs w:val="20"/>
          <w:color w:val="auto"/>
        </w:rPr>
      </w:pPr>
    </w:p>
    <w:p>
      <w:pPr>
        <w:ind w:right="200" w:firstLine="342"/>
        <w:spacing w:after="0" w:line="268" w:lineRule="auto"/>
        <w:rPr>
          <w:sz w:val="20"/>
          <w:szCs w:val="20"/>
          <w:color w:val="auto"/>
        </w:rPr>
      </w:pPr>
      <w:r>
        <w:rPr>
          <w:rFonts w:ascii="Arial" w:cs="Arial" w:eastAsia="Arial" w:hAnsi="Arial"/>
          <w:sz w:val="18"/>
          <w:szCs w:val="18"/>
          <w:color w:val="auto"/>
        </w:rPr>
        <w:t>Any amount withheld from payments to a Non-U.S. Holder under the backup withholding rules may be credited against such holder’s U.S. federal income tax liability, if any, and any excess may be refundable if the proper information is timely provided to the IRS.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Tax on Net Investment Income</w:t>
      </w:r>
    </w:p>
    <w:p>
      <w:pPr>
        <w:spacing w:after="0" w:line="150" w:lineRule="exact"/>
        <w:rPr>
          <w:sz w:val="20"/>
          <w:szCs w:val="20"/>
          <w:color w:val="auto"/>
        </w:rPr>
      </w:pPr>
    </w:p>
    <w:p>
      <w:pPr>
        <w:ind w:firstLine="342"/>
        <w:spacing w:after="0" w:line="256" w:lineRule="auto"/>
        <w:rPr>
          <w:sz w:val="20"/>
          <w:szCs w:val="20"/>
          <w:color w:val="auto"/>
        </w:rPr>
      </w:pPr>
      <w:r>
        <w:rPr>
          <w:rFonts w:ascii="Arial" w:cs="Arial" w:eastAsia="Arial" w:hAnsi="Arial"/>
          <w:sz w:val="18"/>
          <w:szCs w:val="18"/>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w:t>
      </w:r>
    </w:p>
    <w:p>
      <w:pPr>
        <w:spacing w:after="0" w:line="116" w:lineRule="exact"/>
        <w:rPr>
          <w:sz w:val="20"/>
          <w:szCs w:val="20"/>
          <w:color w:val="auto"/>
        </w:rPr>
      </w:pPr>
    </w:p>
    <w:p>
      <w:pPr>
        <w:ind w:right="60" w:firstLine="342"/>
        <w:spacing w:after="0" w:line="256" w:lineRule="auto"/>
        <w:rPr>
          <w:sz w:val="20"/>
          <w:szCs w:val="20"/>
          <w:color w:val="auto"/>
        </w:rPr>
      </w:pPr>
      <w:r>
        <w:rPr>
          <w:rFonts w:ascii="Arial" w:cs="Arial" w:eastAsia="Arial" w:hAnsi="Arial"/>
          <w:sz w:val="18"/>
          <w:szCs w:val="18"/>
          <w:color w:val="auto"/>
        </w:rPr>
        <w:t>THE PRECEDING DISCUSSION OF MATERIAL U.S. FEDERAL INCOME AND ESTATE TAX CONSEQUENCES IS FOR GENERAL INFORMATION ONLY AND IS NOT TAX ADVICE. EACH PROSPECTIVE INVESTOR SHOULD CONSULT ITS OWN TAX ADVISOR REGARDING THE PARTICULAR U.S. FEDERAL, STATE, LOCAL AND FOREIGN TAX CONSEQUENCES OF PURCHASING, HOLDING AND DISPOSING OF THE NOTES, INCLUDING THE CONSEQUENCES OF ANY PROPOSED CHANGE IN APPLICABLE LAWS.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50" w:lineRule="exact"/>
        <w:rPr>
          <w:sz w:val="20"/>
          <w:szCs w:val="20"/>
          <w:color w:val="auto"/>
        </w:rPr>
      </w:pPr>
    </w:p>
    <w:p>
      <w:pPr>
        <w:ind w:right="140" w:firstLine="342"/>
        <w:spacing w:after="0" w:line="256" w:lineRule="auto"/>
        <w:rPr>
          <w:sz w:val="20"/>
          <w:szCs w:val="20"/>
          <w:color w:val="auto"/>
        </w:rPr>
      </w:pPr>
      <w:r>
        <w:rPr>
          <w:rFonts w:ascii="Arial" w:cs="Arial" w:eastAsia="Arial" w:hAnsi="Arial"/>
          <w:sz w:val="18"/>
          <w:szCs w:val="18"/>
          <w:color w:val="auto"/>
        </w:rPr>
        <w:t>Subject to the terms and conditions set forth in an underwriting agreement, dated the date of this prospectus supplement, between us and the underwriters named below, we have agreed to sell to each of the underwriters, for whom J.P. Morgan Securities LLC and Merrill Lynch, Pierce, Fenner &amp; Smith Incorporated are acting as representatives, and the underwriters have agreed, severally and not jointly, to purchase the principal amount of the Notes set forth opposite their respective names below:</w:t>
      </w:r>
    </w:p>
    <w:p>
      <w:pPr>
        <w:spacing w:after="0" w:line="125" w:lineRule="exact"/>
        <w:rPr>
          <w:sz w:val="20"/>
          <w:szCs w:val="20"/>
          <w:color w:val="auto"/>
        </w:rPr>
      </w:pPr>
    </w:p>
    <w:p>
      <w:pPr>
        <w:ind w:left="10580"/>
        <w:spacing w:after="0"/>
        <w:rPr>
          <w:sz w:val="20"/>
          <w:szCs w:val="20"/>
          <w:color w:val="auto"/>
        </w:rPr>
      </w:pPr>
      <w:r>
        <w:rPr>
          <w:rFonts w:ascii="Arial" w:cs="Arial" w:eastAsia="Arial" w:hAnsi="Arial"/>
          <w:sz w:val="14"/>
          <w:szCs w:val="14"/>
          <w:b w:val="1"/>
          <w:bCs w:val="1"/>
          <w:color w:val="auto"/>
        </w:rPr>
        <w:t>Principal</w:t>
      </w:r>
    </w:p>
    <w:p>
      <w:pPr>
        <w:ind w:left="10620"/>
        <w:spacing w:after="0" w:line="203" w:lineRule="auto"/>
        <w:rPr>
          <w:sz w:val="20"/>
          <w:szCs w:val="20"/>
          <w:color w:val="auto"/>
        </w:rPr>
      </w:pPr>
      <w:r>
        <w:rPr>
          <w:rFonts w:ascii="Arial" w:cs="Arial" w:eastAsia="Arial" w:hAnsi="Arial"/>
          <w:sz w:val="14"/>
          <w:szCs w:val="14"/>
          <w:b w:val="1"/>
          <w:bCs w:val="1"/>
          <w:color w:val="auto"/>
        </w:rPr>
        <w:t>Amount</w:t>
      </w:r>
    </w:p>
    <w:tbl>
      <w:tblPr>
        <w:tblLayout w:type="fixed"/>
        <w:tblInd w:w="0" w:type="dxa"/>
        <w:tblCellMar>
          <w:top w:w="0" w:type="dxa"/>
          <w:left w:w="0" w:type="dxa"/>
          <w:bottom w:w="0" w:type="dxa"/>
          <w:right w:w="0" w:type="dxa"/>
        </w:tblCellMar>
      </w:tblPr>
      <w:tr>
        <w:trPr>
          <w:trHeight w:val="161"/>
        </w:trPr>
        <w:tc>
          <w:tcPr>
            <w:tcW w:w="103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9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1036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0360" w:type="dxa"/>
            <w:vAlign w:val="bottom"/>
            <w:gridSpan w:val="2"/>
          </w:tcPr>
          <w:p>
            <w:pPr>
              <w:ind w:left="1020"/>
              <w:spacing w:after="0"/>
              <w:rPr>
                <w:sz w:val="20"/>
                <w:szCs w:val="20"/>
                <w:color w:val="auto"/>
              </w:rPr>
            </w:pPr>
            <w:r>
              <w:rPr>
                <w:rFonts w:ascii="Arial" w:cs="Arial" w:eastAsia="Arial" w:hAnsi="Arial"/>
                <w:sz w:val="18"/>
                <w:szCs w:val="18"/>
                <w:color w:val="auto"/>
              </w:rPr>
              <w:t>Incorporated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1036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right="60" w:firstLine="342"/>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propose initially to offer the Notes to the public at the public offering price set forth on the cover page of this prospectus supplement and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gridSpan w:val="3"/>
          </w:tcPr>
          <w:p>
            <w:pPr>
              <w:spacing w:after="0"/>
              <w:rPr>
                <w:sz w:val="20"/>
                <w:szCs w:val="20"/>
                <w:color w:val="auto"/>
              </w:rPr>
            </w:pPr>
            <w:r>
              <w:rPr>
                <w:rFonts w:ascii="Arial" w:cs="Arial" w:eastAsia="Arial" w:hAnsi="Arial"/>
                <w:sz w:val="18"/>
                <w:szCs w:val="18"/>
                <w:color w:val="auto"/>
                <w:w w:val="89"/>
              </w:rPr>
              <w:t>may offer the Notes to certain dealers at such price less a concession not in excess of</w:t>
            </w:r>
          </w:p>
        </w:tc>
        <w:tc>
          <w:tcPr>
            <w:tcW w:w="5120" w:type="dxa"/>
            <w:vAlign w:val="bottom"/>
            <w:gridSpan w:val="5"/>
          </w:tcPr>
          <w:p>
            <w:pPr>
              <w:ind w:left="200"/>
              <w:spacing w:after="0"/>
              <w:rPr>
                <w:sz w:val="20"/>
                <w:szCs w:val="20"/>
                <w:color w:val="auto"/>
              </w:rPr>
            </w:pPr>
            <w:r>
              <w:rPr>
                <w:rFonts w:ascii="Arial" w:cs="Arial" w:eastAsia="Arial" w:hAnsi="Arial"/>
                <w:sz w:val="18"/>
                <w:szCs w:val="18"/>
                <w:color w:val="auto"/>
                <w:w w:val="89"/>
              </w:rPr>
              <w:t>% of the principal amount of the Notes. The underwriters may allow a</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discount not in excess of</w:t>
            </w:r>
          </w:p>
        </w:tc>
        <w:tc>
          <w:tcPr>
            <w:tcW w:w="9220" w:type="dxa"/>
            <w:vAlign w:val="bottom"/>
            <w:gridSpan w:val="6"/>
          </w:tcPr>
          <w:p>
            <w:pPr>
              <w:ind w:left="80"/>
              <w:spacing w:after="0"/>
              <w:rPr>
                <w:sz w:val="20"/>
                <w:szCs w:val="20"/>
                <w:color w:val="auto"/>
              </w:rPr>
            </w:pPr>
            <w:r>
              <w:rPr>
                <w:rFonts w:ascii="Arial" w:cs="Arial" w:eastAsia="Arial" w:hAnsi="Arial"/>
                <w:sz w:val="18"/>
                <w:szCs w:val="18"/>
                <w:color w:val="auto"/>
                <w:w w:val="90"/>
              </w:rPr>
              <w:t>% of the principal amount of the Notes, on sales to certain other brokers and dealers. After this initial public offering, the public</w:t>
            </w:r>
          </w:p>
        </w:tc>
      </w:tr>
      <w:tr>
        <w:trPr>
          <w:trHeight w:val="222"/>
        </w:trPr>
        <w:tc>
          <w:tcPr>
            <w:tcW w:w="6160" w:type="dxa"/>
            <w:vAlign w:val="bottom"/>
            <w:gridSpan w:val="3"/>
          </w:tcPr>
          <w:p>
            <w:pPr>
              <w:spacing w:after="0"/>
              <w:rPr>
                <w:sz w:val="20"/>
                <w:szCs w:val="20"/>
                <w:color w:val="auto"/>
              </w:rPr>
            </w:pPr>
            <w:r>
              <w:rPr>
                <w:rFonts w:ascii="Arial" w:cs="Arial" w:eastAsia="Arial" w:hAnsi="Arial"/>
                <w:sz w:val="18"/>
                <w:szCs w:val="18"/>
                <w:color w:val="auto"/>
              </w:rPr>
              <w:t>offering price, concession and discount may be changed.</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51"/>
        </w:trPr>
        <w:tc>
          <w:tcPr>
            <w:tcW w:w="9180" w:type="dxa"/>
            <w:vAlign w:val="bottom"/>
            <w:gridSpan w:val="5"/>
          </w:tcPr>
          <w:p>
            <w:pPr>
              <w:ind w:left="3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6"/>
        </w:trPr>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300" w:type="dxa"/>
            <w:vAlign w:val="bottom"/>
            <w:gridSpan w:val="4"/>
          </w:tcPr>
          <w:p>
            <w:pPr>
              <w:ind w:left="80"/>
              <w:spacing w:after="0"/>
              <w:rPr>
                <w:sz w:val="20"/>
                <w:szCs w:val="20"/>
                <w:color w:val="auto"/>
              </w:rPr>
            </w:pPr>
            <w:r>
              <w:rPr>
                <w:rFonts w:ascii="Arial" w:cs="Arial" w:eastAsia="Arial" w:hAnsi="Arial"/>
                <w:sz w:val="14"/>
                <w:szCs w:val="14"/>
                <w:b w:val="1"/>
                <w:bCs w:val="1"/>
                <w:color w:val="auto"/>
              </w:rPr>
              <w:t>Underwriting</w:t>
            </w:r>
          </w:p>
        </w:tc>
      </w:tr>
      <w:tr>
        <w:trPr>
          <w:trHeight w:val="174"/>
        </w:trPr>
        <w:tc>
          <w:tcPr>
            <w:tcW w:w="1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Discount</w:t>
            </w:r>
          </w:p>
        </w:tc>
      </w:tr>
      <w:tr>
        <w:trPr>
          <w:trHeight w:val="136"/>
        </w:trPr>
        <w:tc>
          <w:tcPr>
            <w:tcW w:w="1380" w:type="dxa"/>
            <w:vAlign w:val="bottom"/>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4100" w:type="dxa"/>
            <w:vAlign w:val="bottom"/>
            <w:tcBorders>
              <w:bottom w:val="single" w:sz="8" w:color="CCEEFF"/>
            </w:tcBorders>
          </w:tcPr>
          <w:p>
            <w:pPr>
              <w:spacing w:after="0"/>
              <w:rPr>
                <w:sz w:val="11"/>
                <w:szCs w:val="11"/>
                <w:color w:val="auto"/>
              </w:rPr>
            </w:pPr>
          </w:p>
        </w:tc>
        <w:tc>
          <w:tcPr>
            <w:tcW w:w="28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Pr>
          <w:p>
            <w:pPr>
              <w:spacing w:after="0"/>
              <w:rPr>
                <w:sz w:val="11"/>
                <w:szCs w:val="11"/>
                <w:color w:val="auto"/>
              </w:rPr>
            </w:pPr>
          </w:p>
        </w:tc>
      </w:tr>
      <w:tr>
        <w:trPr>
          <w:trHeight w:val="210"/>
        </w:trPr>
        <w:tc>
          <w:tcPr>
            <w:tcW w:w="1380" w:type="dxa"/>
            <w:vAlign w:val="bottom"/>
          </w:tcPr>
          <w:p>
            <w:pPr>
              <w:spacing w:after="0"/>
              <w:rPr>
                <w:sz w:val="18"/>
                <w:szCs w:val="18"/>
                <w:color w:val="auto"/>
              </w:rPr>
            </w:pPr>
          </w:p>
        </w:tc>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2"/>
              </w:rPr>
              <w:t>Per Note</w:t>
            </w:r>
          </w:p>
        </w:tc>
        <w:tc>
          <w:tcPr>
            <w:tcW w:w="4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Total</w:t>
            </w:r>
          </w:p>
        </w:tc>
        <w:tc>
          <w:tcPr>
            <w:tcW w:w="4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8980" w:type="dxa"/>
            <w:vAlign w:val="bottom"/>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344"/>
        </w:trPr>
        <w:tc>
          <w:tcPr>
            <w:tcW w:w="9180" w:type="dxa"/>
            <w:vAlign w:val="bottom"/>
            <w:gridSpan w:val="5"/>
          </w:tcPr>
          <w:p>
            <w:pPr>
              <w:ind w:left="360"/>
              <w:spacing w:after="0"/>
              <w:rPr>
                <w:sz w:val="20"/>
                <w:szCs w:val="20"/>
                <w:color w:val="auto"/>
              </w:rPr>
            </w:pPr>
            <w:r>
              <w:rPr>
                <w:rFonts w:ascii="Arial" w:cs="Arial" w:eastAsia="Arial" w:hAnsi="Arial"/>
                <w:sz w:val="18"/>
                <w:szCs w:val="18"/>
                <w:color w:val="auto"/>
                <w:w w:val="89"/>
              </w:rPr>
              <w:t>We estimate that our share of the total expenses of the offering, excluding the underwriting discount, will be approximately $</w:t>
            </w:r>
          </w:p>
        </w:tc>
        <w:tc>
          <w:tcPr>
            <w:tcW w:w="2100" w:type="dxa"/>
            <w:vAlign w:val="bottom"/>
            <w:gridSpan w:val="3"/>
          </w:tcPr>
          <w:p>
            <w:pPr>
              <w:ind w:left="520"/>
              <w:spacing w:after="0"/>
              <w:rPr>
                <w:sz w:val="20"/>
                <w:szCs w:val="20"/>
                <w:color w:val="auto"/>
              </w:rPr>
            </w:pPr>
            <w:r>
              <w:rPr>
                <w:rFonts w:ascii="Arial" w:cs="Arial" w:eastAsia="Arial" w:hAnsi="Arial"/>
                <w:sz w:val="18"/>
                <w:szCs w:val="18"/>
                <w:color w:val="auto"/>
              </w:rPr>
              <w:t>million.</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50" w:lineRule="exact"/>
        <w:rPr>
          <w:sz w:val="20"/>
          <w:szCs w:val="20"/>
          <w:color w:val="auto"/>
        </w:rPr>
      </w:pPr>
    </w:p>
    <w:p>
      <w:pPr>
        <w:ind w:right="120" w:firstLine="342"/>
        <w:spacing w:after="0" w:line="298"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150" w:lineRule="exact"/>
        <w:rPr>
          <w:sz w:val="20"/>
          <w:szCs w:val="20"/>
          <w:color w:val="auto"/>
        </w:rPr>
      </w:pPr>
    </w:p>
    <w:p>
      <w:pPr>
        <w:ind w:right="40" w:firstLine="342"/>
        <w:spacing w:after="0" w:line="306"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150" w:lineRule="exact"/>
        <w:rPr>
          <w:sz w:val="20"/>
          <w:szCs w:val="20"/>
          <w:color w:val="auto"/>
        </w:rPr>
      </w:pPr>
    </w:p>
    <w:p>
      <w:pPr>
        <w:ind w:firstLine="342"/>
        <w:spacing w:after="0" w:line="284" w:lineRule="auto"/>
        <w:rPr>
          <w:sz w:val="20"/>
          <w:szCs w:val="20"/>
          <w:color w:val="auto"/>
        </w:rPr>
      </w:pPr>
      <w:r>
        <w:rPr>
          <w:rFonts w:ascii="Arial" w:cs="Arial" w:eastAsia="Arial" w:hAnsi="Arial"/>
          <w:sz w:val="16"/>
          <w:szCs w:val="16"/>
          <w:color w:val="auto"/>
        </w:rPr>
        <w:t>We expect delivery of the Notes will be made against payment therefor on or about , 2013, which is the business day following the date of pricing of the Notes (such settlement being referred to as “T+ ”). Under Rule 15c6-1 of the Securities Exchange Act of 1934, trades in the secondary market generally are required to settle in three business days unless the parties to any such trade expressly agree otherwise. Accordingly, purchasers who wish to trade the</w:t>
      </w:r>
    </w:p>
    <w:p>
      <w:pPr>
        <w:spacing w:after="0" w:line="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44" w:lineRule="exact"/>
        <w:rPr>
          <w:sz w:val="20"/>
          <w:szCs w:val="20"/>
          <w:color w:val="auto"/>
        </w:rPr>
      </w:pPr>
    </w:p>
    <w:p>
      <w:pPr>
        <w:ind w:right="20" w:firstLine="342"/>
        <w:spacing w:after="0" w:line="254" w:lineRule="auto"/>
        <w:rPr>
          <w:sz w:val="20"/>
          <w:szCs w:val="20"/>
          <w:color w:val="auto"/>
        </w:rPr>
      </w:pPr>
      <w:r>
        <w:rPr>
          <w:rFonts w:ascii="Arial" w:cs="Arial" w:eastAsia="Arial" w:hAnsi="Arial"/>
          <w:sz w:val="18"/>
          <w:szCs w:val="18"/>
          <w:color w:val="auto"/>
        </w:rPr>
        <w:t>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w:t>
      </w:r>
    </w:p>
    <w:p>
      <w:pPr>
        <w:spacing w:after="0" w:line="117" w:lineRule="exact"/>
        <w:rPr>
          <w:sz w:val="20"/>
          <w:szCs w:val="20"/>
          <w:color w:val="auto"/>
        </w:rPr>
      </w:pPr>
    </w:p>
    <w:p>
      <w:pPr>
        <w:ind w:right="180" w:firstLine="342"/>
        <w:spacing w:after="0" w:line="332" w:lineRule="auto"/>
        <w:rPr>
          <w:sz w:val="20"/>
          <w:szCs w:val="20"/>
          <w:color w:val="auto"/>
        </w:rPr>
      </w:pPr>
      <w:r>
        <w:rPr>
          <w:rFonts w:ascii="Arial" w:cs="Arial" w:eastAsia="Arial" w:hAnsi="Arial"/>
          <w:sz w:val="16"/>
          <w:szCs w:val="16"/>
          <w:color w:val="auto"/>
        </w:rPr>
        <w:t>The Notes are only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58" w:lineRule="exact"/>
        <w:rPr>
          <w:sz w:val="20"/>
          <w:szCs w:val="20"/>
          <w:color w:val="auto"/>
        </w:rPr>
      </w:pPr>
    </w:p>
    <w:p>
      <w:pPr>
        <w:ind w:right="140" w:firstLine="342"/>
        <w:spacing w:after="0" w:line="259" w:lineRule="auto"/>
        <w:rPr>
          <w:sz w:val="20"/>
          <w:szCs w:val="20"/>
          <w:color w:val="auto"/>
        </w:rPr>
      </w:pPr>
      <w:r>
        <w:rPr>
          <w:rFonts w:ascii="Arial" w:cs="Arial" w:eastAsia="Arial" w:hAnsi="Arial"/>
          <w:sz w:val="18"/>
          <w:szCs w:val="18"/>
          <w:color w:val="auto"/>
        </w:rPr>
        <w:t>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44" w:lineRule="exact"/>
        <w:rPr>
          <w:sz w:val="20"/>
          <w:szCs w:val="20"/>
          <w:color w:val="auto"/>
        </w:rPr>
      </w:pPr>
    </w:p>
    <w:p>
      <w:pPr>
        <w:ind w:right="160" w:firstLine="342"/>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w:t>
      </w:r>
    </w:p>
    <w:p>
      <w:pPr>
        <w:spacing w:after="0" w:line="93"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ind w:left="800" w:right="260" w:hanging="454"/>
        <w:spacing w:after="0" w:line="26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20"/>
        <w:spacing w:after="0" w:line="268" w:lineRule="auto"/>
        <w:rPr>
          <w:sz w:val="20"/>
          <w:szCs w:val="20"/>
          <w:color w:val="auto"/>
        </w:rPr>
      </w:pPr>
      <w:r>
        <w:rPr>
          <w:rFonts w:ascii="Arial" w:cs="Arial" w:eastAsia="Arial" w:hAnsi="Arial"/>
          <w:sz w:val="18"/>
          <w:szCs w:val="18"/>
          <w:color w:val="auto"/>
        </w:rPr>
        <w:t>Prospectus Directive), as permitted under the Prospectus Directive, subject to obtaining the prior consent of the relevant Dealer or Dealers nominated by the issuers of the Notes for any such offer; or</w:t>
      </w:r>
    </w:p>
    <w:p>
      <w:pPr>
        <w:spacing w:after="0" w:line="118" w:lineRule="exact"/>
        <w:rPr>
          <w:sz w:val="20"/>
          <w:szCs w:val="20"/>
          <w:color w:val="auto"/>
        </w:rPr>
      </w:pPr>
    </w:p>
    <w:p>
      <w:pPr>
        <w:ind w:left="800" w:hanging="45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67" w:lineRule="exact"/>
        <w:rPr>
          <w:sz w:val="20"/>
          <w:szCs w:val="20"/>
          <w:color w:val="auto"/>
        </w:rPr>
      </w:pPr>
    </w:p>
    <w:p>
      <w:pPr>
        <w:ind w:right="40" w:firstLine="342"/>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17" w:lineRule="exact"/>
        <w:rPr>
          <w:sz w:val="20"/>
          <w:szCs w:val="20"/>
          <w:color w:val="auto"/>
        </w:rPr>
      </w:pPr>
    </w:p>
    <w:p>
      <w:pPr>
        <w:ind w:firstLine="342"/>
        <w:spacing w:after="0" w:line="306"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50" w:lineRule="exact"/>
        <w:rPr>
          <w:sz w:val="20"/>
          <w:szCs w:val="20"/>
          <w:color w:val="auto"/>
        </w:rPr>
      </w:pPr>
    </w:p>
    <w:p>
      <w:pPr>
        <w:ind w:right="360" w:firstLine="342"/>
        <w:spacing w:after="0" w:line="268" w:lineRule="auto"/>
        <w:rPr>
          <w:sz w:val="20"/>
          <w:szCs w:val="20"/>
          <w:color w:val="auto"/>
        </w:rPr>
      </w:pPr>
      <w:r>
        <w:rPr>
          <w:rFonts w:ascii="Arial" w:cs="Arial" w:eastAsia="Arial" w:hAnsi="Arial"/>
          <w:sz w:val="18"/>
          <w:szCs w:val="18"/>
          <w:color w:val="auto"/>
        </w:rPr>
        <w:t>Affiliates of each of the underwriters are lenders under our credit facilities, and, accordingly, will receive a portion of the net proceeds from this offering pursuant to any repayment of borrowings under our credit facilities.</w:t>
      </w:r>
    </w:p>
    <w:p>
      <w:pPr>
        <w:spacing w:after="0" w:line="105" w:lineRule="exact"/>
        <w:rPr>
          <w:sz w:val="20"/>
          <w:szCs w:val="20"/>
          <w:color w:val="auto"/>
        </w:rPr>
      </w:pPr>
    </w:p>
    <w:p>
      <w:pPr>
        <w:jc w:val="both"/>
        <w:ind w:right="220" w:firstLine="342"/>
        <w:spacing w:after="0" w:line="259"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13" w:lineRule="exact"/>
        <w:rPr>
          <w:sz w:val="20"/>
          <w:szCs w:val="20"/>
          <w:color w:val="auto"/>
        </w:rPr>
      </w:pPr>
    </w:p>
    <w:p>
      <w:pPr>
        <w:ind w:firstLine="342"/>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50" w:lineRule="exact"/>
        <w:rPr>
          <w:sz w:val="20"/>
          <w:szCs w:val="20"/>
          <w:color w:val="auto"/>
        </w:rPr>
      </w:pPr>
    </w:p>
    <w:p>
      <w:pPr>
        <w:ind w:right="540" w:firstLine="342"/>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50" w:lineRule="exact"/>
        <w:rPr>
          <w:sz w:val="20"/>
          <w:szCs w:val="20"/>
          <w:color w:val="auto"/>
        </w:rPr>
      </w:pPr>
    </w:p>
    <w:p>
      <w:pPr>
        <w:ind w:right="260" w:firstLine="342"/>
        <w:spacing w:after="0" w:line="268"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50" w:lineRule="exact"/>
        <w:rPr>
          <w:sz w:val="20"/>
          <w:szCs w:val="20"/>
          <w:color w:val="auto"/>
        </w:rPr>
      </w:pPr>
    </w:p>
    <w:p>
      <w:pPr>
        <w:ind w:right="80" w:firstLine="342"/>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2012, have been incorporated in reliance on the report of PricewaterhouseCoopers LLP, an independent registered public accounting firm, given on the authority of said firm as experts in auditing and accounting.</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50" w:lineRule="exact"/>
        <w:rPr>
          <w:sz w:val="20"/>
          <w:szCs w:val="20"/>
          <w:color w:val="auto"/>
        </w:rPr>
      </w:pPr>
    </w:p>
    <w:p>
      <w:pPr>
        <w:ind w:right="200" w:firstLine="342"/>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131" w:lineRule="exact"/>
        <w:rPr>
          <w:sz w:val="20"/>
          <w:szCs w:val="20"/>
          <w:color w:val="auto"/>
        </w:rPr>
      </w:pPr>
    </w:p>
    <w:p>
      <w:pPr>
        <w:ind w:left="800" w:hanging="454"/>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2012;</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2013 and June 30, 2013;</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22, 2013 (grant of phantom units to named executive officers); and</w:t>
      </w:r>
    </w:p>
    <w:p>
      <w:pPr>
        <w:spacing w:after="0" w:line="157" w:lineRule="exact"/>
        <w:rPr>
          <w:rFonts w:ascii="Arial" w:cs="Arial" w:eastAsia="Arial" w:hAnsi="Arial"/>
          <w:sz w:val="18"/>
          <w:szCs w:val="18"/>
          <w:color w:val="auto"/>
        </w:rPr>
      </w:pPr>
    </w:p>
    <w:p>
      <w:pPr>
        <w:ind w:left="800" w:hanging="454"/>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29, 2013 (continuous equity offering program).</w:t>
      </w:r>
    </w:p>
    <w:p>
      <w:pPr>
        <w:spacing w:after="0" w:line="144" w:lineRule="exact"/>
        <w:rPr>
          <w:sz w:val="20"/>
          <w:szCs w:val="20"/>
          <w:color w:val="auto"/>
        </w:rPr>
      </w:pPr>
    </w:p>
    <w:p>
      <w:pPr>
        <w:ind w:right="560" w:firstLine="342"/>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38" w:lineRule="exact"/>
        <w:rPr>
          <w:sz w:val="20"/>
          <w:szCs w:val="20"/>
          <w:color w:val="auto"/>
        </w:rPr>
      </w:pPr>
    </w:p>
    <w:p>
      <w:pPr>
        <w:ind w:firstLine="342"/>
        <w:spacing w:after="0" w:line="306"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80" w:lineRule="exact"/>
        <w:rPr>
          <w:sz w:val="20"/>
          <w:szCs w:val="20"/>
          <w:color w:val="auto"/>
        </w:rPr>
      </w:pPr>
    </w:p>
    <w:p>
      <w:pPr>
        <w:jc w:val="both"/>
        <w:ind w:firstLine="342"/>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PAA Finance Corp.</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Common Units</w:t>
      </w:r>
    </w:p>
    <w:p>
      <w:pPr>
        <w:spacing w:after="0" w:line="78"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1" w:lineRule="exact"/>
        <w:rPr>
          <w:sz w:val="20"/>
          <w:szCs w:val="20"/>
          <w:color w:val="auto"/>
        </w:rPr>
      </w:pPr>
    </w:p>
    <w:p>
      <w:pPr>
        <w:ind w:right="4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units and the debt securities involves risks. Limited partnerships are inherently different from corporations. You should carefully consider the risk factors described under “</w:t>
      </w:r>
      <w:hyperlink w:anchor="page4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before you make an investment in our securities.</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September 27, 2012.</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2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Ratio Of Earnings To Fixed Charges</w:t>
              </w:r>
            </w:hyperlink>
          </w:p>
        </w:tc>
        <w:tc>
          <w:tcPr>
            <w:tcW w:w="15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Description of Our Debt Securities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make available free of charge on our website, at </w:t>
      </w:r>
      <w:r>
        <w:rPr>
          <w:rFonts w:ascii="Arial" w:cs="Arial" w:eastAsia="Arial" w:hAnsi="Arial"/>
          <w:sz w:val="18"/>
          <w:szCs w:val="18"/>
          <w:i w:val="1"/>
          <w:iCs w:val="1"/>
          <w:color w:val="auto"/>
        </w:rPr>
        <w:t>www.paalp.com</w:t>
      </w:r>
      <w:r>
        <w:rPr>
          <w:rFonts w:ascii="Arial" w:cs="Arial" w:eastAsia="Arial" w:hAnsi="Arial"/>
          <w:sz w:val="18"/>
          <w:szCs w:val="18"/>
          <w:color w:val="auto"/>
        </w:rPr>
        <w:t>, all materials that we file electronically with the SEC, including our Annual Report on Form 10-K, Quarterly Reports on Form 10-Q,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w:t>
      </w:r>
    </w:p>
    <w:p>
      <w:pPr>
        <w:spacing w:after="0" w:line="37" w:lineRule="exact"/>
        <w:rPr>
          <w:sz w:val="20"/>
          <w:szCs w:val="20"/>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2012 and June 30,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(documentation related to debt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w:t>
      </w:r>
    </w:p>
    <w:p>
      <w:pPr>
        <w:spacing w:after="0" w:line="90" w:lineRule="exact"/>
        <w:rPr>
          <w:rFonts w:ascii="Arial" w:cs="Arial" w:eastAsia="Arial" w:hAnsi="Arial"/>
          <w:sz w:val="18"/>
          <w:szCs w:val="18"/>
          <w:color w:val="auto"/>
        </w:rPr>
      </w:pPr>
    </w:p>
    <w:p>
      <w:pPr>
        <w:ind w:left="440" w:right="500" w:hanging="324"/>
        <w:spacing w:after="0" w:line="268"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(completion of acquisition of BP Canada Energy Company; amendment of Limited Partnership Agreement of Plains All American Pipeline, L.P.);</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17, 2012 (announcement to withdraw offer to acquire SemGroup Corporation);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50" w:lineRule="exact"/>
        <w:rPr>
          <w:rFonts w:ascii="Arial" w:cs="Arial" w:eastAsia="Arial" w:hAnsi="Arial"/>
          <w:sz w:val="18"/>
          <w:szCs w:val="18"/>
          <w:color w:val="auto"/>
        </w:rPr>
      </w:pPr>
    </w:p>
    <w:p>
      <w:pPr>
        <w:ind w:left="440" w:right="660" w:hanging="324"/>
        <w:spacing w:after="0" w:line="268"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left="320" w:right="540"/>
        <w:spacing w:after="0" w:line="440" w:lineRule="auto"/>
        <w:rPr>
          <w:sz w:val="20"/>
          <w:szCs w:val="20"/>
          <w:color w:val="auto"/>
        </w:rPr>
      </w:pPr>
      <w:r>
        <w:rPr>
          <w:rFonts w:ascii="Arial" w:cs="Arial" w:eastAsia="Arial" w:hAnsi="Arial"/>
          <w:sz w:val="18"/>
          <w:szCs w:val="18"/>
          <w:color w:val="auto"/>
        </w:rPr>
        <w:t>Plains All American Pipeline, L.P. 333 Clay Street, Suite 1600 Houston, Texas 77002 Attention: Corporate Secretary Telephone: (713) 646-4100 iii</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440" w:right="780" w:hanging="324"/>
        <w:spacing w:after="0" w:line="268"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440" w:right="540" w:hanging="324"/>
        <w:spacing w:after="0" w:line="26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ind w:left="440" w:right="200" w:hanging="324"/>
        <w:spacing w:after="0" w:line="259"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(as defined under “— Events of Default and Remedies” below) may exist.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440" w:right="380" w:hanging="324"/>
        <w:spacing w:after="0" w:line="259"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440" w:right="22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440" w:right="22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440" w:right="720" w:hanging="324"/>
        <w:spacing w:after="0" w:line="26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440" w:right="260" w:hanging="324"/>
        <w:spacing w:after="0" w:line="26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9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440" w:right="360" w:hanging="324"/>
        <w:spacing w:after="0" w:line="259"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440" w:right="480" w:hanging="324"/>
        <w:spacing w:after="0" w:line="268"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440" w:right="400" w:hanging="324"/>
        <w:spacing w:after="0" w:line="268"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0"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71"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90" w:lineRule="exact"/>
        <w:rPr>
          <w:sz w:val="20"/>
          <w:szCs w:val="20"/>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90" w:lineRule="exact"/>
        <w:rPr>
          <w:sz w:val="20"/>
          <w:szCs w:val="20"/>
          <w:color w:val="auto"/>
        </w:rPr>
      </w:pPr>
    </w:p>
    <w:p>
      <w:pPr>
        <w:ind w:left="440" w:hanging="32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440" w:right="20" w:hanging="324"/>
        <w:spacing w:after="0" w:line="268"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440" w:right="200" w:hanging="324"/>
        <w:spacing w:after="0" w:line="268"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How Distributions from Capital Surplus Will Be Made. </w:t>
      </w:r>
      <w:r>
        <w:rPr>
          <w:rFonts w:ascii="Arial" w:cs="Arial" w:eastAsia="Arial" w:hAnsi="Arial"/>
          <w:sz w:val="16"/>
          <w:szCs w:val="16"/>
          <w:color w:val="auto"/>
        </w:rPr>
        <w:t>We will make distributions of available cash from capital surplus in the following manner:</w:t>
      </w:r>
    </w:p>
    <w:p>
      <w:pPr>
        <w:spacing w:after="0" w:line="113" w:lineRule="exact"/>
        <w:rPr>
          <w:sz w:val="20"/>
          <w:szCs w:val="20"/>
          <w:color w:val="auto"/>
        </w:rPr>
      </w:pPr>
    </w:p>
    <w:p>
      <w:pPr>
        <w:ind w:left="440" w:right="160" w:hanging="324"/>
        <w:spacing w:after="0" w:line="268" w:lineRule="auto"/>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Effect of a Distribution from Capital Surplus</w:t>
      </w:r>
      <w:r>
        <w:rPr>
          <w:rFonts w:ascii="Arial" w:cs="Arial" w:eastAsia="Arial" w:hAnsi="Arial"/>
          <w:sz w:val="18"/>
          <w:szCs w:val="18"/>
          <w:color w:val="auto"/>
        </w:rPr>
        <w:t>. 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i.e., when the unrecovered capital of the common units is zero, then</w:t>
      </w:r>
    </w:p>
    <w:p>
      <w:pPr>
        <w:spacing w:after="0" w:line="113" w:lineRule="exact"/>
        <w:rPr>
          <w:sz w:val="20"/>
          <w:szCs w:val="20"/>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440" w:right="140" w:hanging="324"/>
        <w:spacing w:after="0" w:line="259"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If we dissolve and liquidate, we will sell our assets or otherwise dispose of our assets and we will adjust the partners’ capital account balances to</w:t>
      </w:r>
      <w:r>
        <w:rPr>
          <w:rFonts w:ascii="Arial" w:cs="Arial" w:eastAsia="Arial" w:hAnsi="Arial"/>
          <w:sz w:val="15"/>
          <w:szCs w:val="15"/>
          <w:i w:val="1"/>
          <w:iCs w:val="1"/>
          <w:color w:val="auto"/>
        </w:rPr>
        <w:t xml:space="preserve"> </w:t>
      </w:r>
      <w:r>
        <w:rPr>
          <w:rFonts w:ascii="Arial" w:cs="Arial" w:eastAsia="Arial" w:hAnsi="Arial"/>
          <w:sz w:val="15"/>
          <w:szCs w:val="15"/>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90" w:lineRule="exact"/>
        <w:rPr>
          <w:sz w:val="20"/>
          <w:szCs w:val="20"/>
          <w:color w:val="auto"/>
        </w:rPr>
      </w:pPr>
    </w:p>
    <w:p>
      <w:pPr>
        <w:ind w:left="440" w:right="500" w:hanging="324"/>
        <w:spacing w:after="0" w:line="268"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440" w:hanging="324"/>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440" w:right="220" w:hanging="324"/>
        <w:spacing w:after="0" w:line="268"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firstLine="8"/>
        <w:spacing w:after="0" w:line="261" w:lineRule="auto"/>
        <w:tabs>
          <w:tab w:leader="none" w:pos="2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7704 of the Code generally provides that publicly-traded partnerships will be treated as corporations for federal income tax purposes. However, if 90% or more of a partnership’s gross income for every taxable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43" w:lineRule="exact"/>
        <w:rPr>
          <w:sz w:val="20"/>
          <w:szCs w:val="20"/>
          <w:color w:val="auto"/>
        </w:rPr>
      </w:pPr>
    </w:p>
    <w:p>
      <w:pPr>
        <w:ind w:left="700" w:hanging="236"/>
        <w:spacing w:after="0"/>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64"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16"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9" w:lineRule="exact"/>
        <w:rPr>
          <w:sz w:val="20"/>
          <w:szCs w:val="20"/>
          <w:color w:val="auto"/>
        </w:rPr>
      </w:pPr>
    </w:p>
    <w:p>
      <w:pPr>
        <w:ind w:left="440" w:hanging="324"/>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unitholder’s tax basis in its units initially will be the amount paid for those units plus the unitholder’s share of our liabilities. That basis generally will be</w:t>
      </w:r>
    </w:p>
    <w:p>
      <w:pPr>
        <w:spacing w:after="0" w:line="38" w:lineRule="exact"/>
        <w:rPr>
          <w:sz w:val="20"/>
          <w:szCs w:val="20"/>
          <w:color w:val="auto"/>
        </w:rPr>
      </w:pPr>
    </w:p>
    <w:p>
      <w:pPr>
        <w:ind w:right="140" w:firstLine="8"/>
        <w:spacing w:after="0" w:line="261" w:lineRule="auto"/>
        <w:tabs>
          <w:tab w:leader="none" w:pos="2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deductibility of a non-corporate taxpayer’s “investment interest expense” generally is limited to the amount of that taxpayer’s “net investment income.” Investment interest expense includes:</w:t>
      </w:r>
    </w:p>
    <w:p>
      <w:pPr>
        <w:spacing w:after="0" w:line="51" w:lineRule="exact"/>
        <w:rPr>
          <w:sz w:val="20"/>
          <w:szCs w:val="20"/>
          <w:color w:val="auto"/>
        </w:rPr>
      </w:pPr>
    </w:p>
    <w:p>
      <w:pPr>
        <w:ind w:left="440" w:hanging="324"/>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Rates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9" w:lineRule="exact"/>
        <w:rPr>
          <w:sz w:val="20"/>
          <w:szCs w:val="20"/>
          <w:color w:val="auto"/>
        </w:rPr>
      </w:pPr>
    </w:p>
    <w:p>
      <w:pPr>
        <w:ind w:left="440" w:hanging="324"/>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Allocations Between Transferors and Transferee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disposition. More than 50% of our assets may consist of U.S. real property interests. Therefore, non-U.S. unitholders may be subject to federal income tax on gain from the sale or disposition of their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2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171" w:lineRule="exact"/>
        <w:rPr>
          <w:sz w:val="20"/>
          <w:szCs w:val="20"/>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237"/>
        <w:spacing w:after="0"/>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949325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1360805</wp:posOffset>
            </wp:positionV>
            <wp:extent cx="1697990" cy="540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97990" cy="5403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60" w:hanging="1148"/>
        <w:spacing w:after="0"/>
        <w:tabs>
          <w:tab w:leader="none" w:pos="4860"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color w:val="auto"/>
        </w:rPr>
        <w:t>% Senior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224790</wp:posOffset>
            </wp:positionV>
            <wp:extent cx="16725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PROSPECTUS SUPPLEMENT</w:t>
      </w:r>
    </w:p>
    <w:p>
      <w:pPr>
        <w:spacing w:after="0" w:line="194" w:lineRule="exact"/>
        <w:rPr>
          <w:sz w:val="20"/>
          <w:szCs w:val="20"/>
          <w:color w:val="auto"/>
        </w:rPr>
      </w:pPr>
    </w:p>
    <w:p>
      <w:pPr>
        <w:jc w:val="center"/>
        <w:ind w:left="600"/>
        <w:spacing w:after="0"/>
        <w:tabs>
          <w:tab w:leader="none" w:pos="240" w:val="left"/>
        </w:tabs>
        <w:rPr>
          <w:sz w:val="20"/>
          <w:szCs w:val="20"/>
          <w:color w:val="auto"/>
        </w:rPr>
      </w:pPr>
      <w:r>
        <w:rPr>
          <w:rFonts w:ascii="Arial" w:cs="Arial" w:eastAsia="Arial" w:hAnsi="Arial"/>
          <w:sz w:val="18"/>
          <w:szCs w:val="18"/>
          <w:b w:val="1"/>
          <w:bCs w:val="1"/>
          <w:color w:val="auto"/>
        </w:rPr>
        <w:t>August</w:t>
        <w:tab/>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203835</wp:posOffset>
            </wp:positionV>
            <wp:extent cx="16725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640"/>
        <w:spacing w:after="0"/>
        <w:rPr>
          <w:sz w:val="20"/>
          <w:szCs w:val="20"/>
          <w:color w:val="auto"/>
        </w:rPr>
      </w:pPr>
      <w:r>
        <w:rPr>
          <w:rFonts w:ascii="Arial" w:cs="Arial" w:eastAsia="Arial" w:hAnsi="Arial"/>
          <w:sz w:val="16"/>
          <w:szCs w:val="16"/>
          <w:i w:val="1"/>
          <w:iCs w:val="1"/>
          <w:color w:val="auto"/>
        </w:rPr>
        <w:t>Joint Book-Running Managers</w:t>
      </w:r>
    </w:p>
    <w:p>
      <w:pPr>
        <w:spacing w:after="0" w:line="200" w:lineRule="exact"/>
        <w:rPr>
          <w:sz w:val="20"/>
          <w:szCs w:val="20"/>
          <w:color w:val="auto"/>
        </w:rPr>
      </w:pPr>
    </w:p>
    <w:p>
      <w:pPr>
        <w:spacing w:after="0" w:line="298" w:lineRule="exact"/>
        <w:rPr>
          <w:sz w:val="20"/>
          <w:szCs w:val="20"/>
          <w:color w:val="auto"/>
        </w:rPr>
      </w:pPr>
    </w:p>
    <w:p>
      <w:pPr>
        <w:ind w:left="5080"/>
        <w:spacing w:after="0"/>
        <w:rPr>
          <w:sz w:val="20"/>
          <w:szCs w:val="20"/>
          <w:color w:val="auto"/>
        </w:rPr>
      </w:pPr>
      <w:r>
        <w:rPr>
          <w:rFonts w:ascii="Arial" w:cs="Arial" w:eastAsia="Arial" w:hAnsi="Arial"/>
          <w:sz w:val="24"/>
          <w:szCs w:val="24"/>
          <w:b w:val="1"/>
          <w:bCs w:val="1"/>
          <w:color w:val="auto"/>
        </w:rPr>
        <w:t>J.P. Morgan</w:t>
      </w:r>
    </w:p>
    <w:p>
      <w:pPr>
        <w:spacing w:after="0" w:line="200" w:lineRule="exact"/>
        <w:rPr>
          <w:sz w:val="20"/>
          <w:szCs w:val="20"/>
          <w:color w:val="auto"/>
        </w:rPr>
      </w:pPr>
    </w:p>
    <w:p>
      <w:pPr>
        <w:spacing w:after="0" w:line="294" w:lineRule="exact"/>
        <w:rPr>
          <w:sz w:val="20"/>
          <w:szCs w:val="20"/>
          <w:color w:val="auto"/>
        </w:rPr>
      </w:pPr>
    </w:p>
    <w:p>
      <w:pPr>
        <w:ind w:left="4680"/>
        <w:spacing w:after="0"/>
        <w:rPr>
          <w:sz w:val="20"/>
          <w:szCs w:val="20"/>
          <w:color w:val="auto"/>
        </w:rPr>
      </w:pPr>
      <w:r>
        <w:rPr>
          <w:rFonts w:ascii="Arial" w:cs="Arial" w:eastAsia="Arial" w:hAnsi="Arial"/>
          <w:sz w:val="24"/>
          <w:szCs w:val="24"/>
          <w:b w:val="1"/>
          <w:bCs w:val="1"/>
          <w:color w:val="auto"/>
        </w:rPr>
        <w:t>BofA Merrill Lynch</w:t>
      </w:r>
    </w:p>
    <w:p>
      <w:pPr>
        <w:spacing w:after="0" w:line="200" w:lineRule="exact"/>
        <w:rPr>
          <w:sz w:val="20"/>
          <w:szCs w:val="20"/>
          <w:color w:val="auto"/>
        </w:rPr>
      </w:pPr>
    </w:p>
    <w:p>
      <w:pPr>
        <w:spacing w:after="0" w:line="294" w:lineRule="exact"/>
        <w:rPr>
          <w:sz w:val="20"/>
          <w:szCs w:val="20"/>
          <w:color w:val="auto"/>
        </w:rPr>
      </w:pPr>
    </w:p>
    <w:p>
      <w:pPr>
        <w:ind w:left="4980"/>
        <w:spacing w:after="0"/>
        <w:rPr>
          <w:sz w:val="20"/>
          <w:szCs w:val="20"/>
          <w:color w:val="auto"/>
        </w:rPr>
      </w:pPr>
      <w:r>
        <w:rPr>
          <w:rFonts w:ascii="Arial" w:cs="Arial" w:eastAsia="Arial" w:hAnsi="Arial"/>
          <w:sz w:val="24"/>
          <w:szCs w:val="24"/>
          <w:b w:val="1"/>
          <w:bCs w:val="1"/>
          <w:color w:val="auto"/>
        </w:rPr>
        <w:t>DNB Markets</w:t>
      </w:r>
    </w:p>
    <w:p>
      <w:pPr>
        <w:spacing w:after="0" w:line="200" w:lineRule="exact"/>
        <w:rPr>
          <w:sz w:val="20"/>
          <w:szCs w:val="20"/>
          <w:color w:val="auto"/>
        </w:rPr>
      </w:pPr>
    </w:p>
    <w:p>
      <w:pPr>
        <w:spacing w:after="0" w:line="294" w:lineRule="exact"/>
        <w:rPr>
          <w:sz w:val="20"/>
          <w:szCs w:val="20"/>
          <w:color w:val="auto"/>
        </w:rPr>
      </w:pPr>
    </w:p>
    <w:p>
      <w:pPr>
        <w:ind w:left="4780"/>
        <w:spacing w:after="0"/>
        <w:rPr>
          <w:sz w:val="20"/>
          <w:szCs w:val="20"/>
          <w:color w:val="auto"/>
        </w:rPr>
      </w:pPr>
      <w:r>
        <w:rPr>
          <w:rFonts w:ascii="Arial" w:cs="Arial" w:eastAsia="Arial" w:hAnsi="Arial"/>
          <w:sz w:val="24"/>
          <w:szCs w:val="24"/>
          <w:b w:val="1"/>
          <w:bCs w:val="1"/>
          <w:color w:val="auto"/>
        </w:rPr>
        <w:t>Mizuho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1)"/>
      <w:numFmt w:val="decimal"/>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lvl w:ilvl="1">
      <w:lvlJc w:val="left"/>
      <w:lvlText w:val="•"/>
      <w:numFmt w:val="bullet"/>
      <w:start w:val="1"/>
    </w:lvl>
  </w:abstractNum>
  <w:abstractNum w:abstractNumId="15">
    <w:nsid w:val="7644A45C"/>
    <w:multiLevelType w:val="hybridMultilevel"/>
    <w:lvl w:ilvl="0">
      <w:lvlJc w:val="left"/>
      <w:lvlText w:val="•"/>
      <w:numFmt w:val="bullet"/>
      <w:start w:val="1"/>
    </w:lvl>
    <w:lvl w:ilvl="1">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decimal"/>
      <w:start w:val="1"/>
    </w:lvl>
    <w:lvl w:ilvl="1">
      <w:lvlJc w:val="left"/>
      <w:lvlText w:val="(%2)"/>
      <w:numFmt w:val="lowerLetter"/>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decimal"/>
      <w:start w:val="13"/>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1)"/>
      <w:numFmt w:val="decimal"/>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1)"/>
      <w:numFmt w:val="lowerLetter"/>
      <w:start w:val="1"/>
    </w:lvl>
    <w:lvl w:ilvl="1">
      <w:lvlJc w:val="left"/>
      <w:lvlText w:val="(%2)"/>
      <w:numFmt w:val="decimal"/>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1)"/>
      <w:numFmt w:val="decimal"/>
      <w:start w:val="2"/>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1)"/>
      <w:numFmt w:val="lowerRoman"/>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1)"/>
      <w:numFmt w:val="decimal"/>
      <w:start w:val="1"/>
    </w:lvl>
    <w:lvl w:ilvl="1">
      <w:lvlJc w:val="left"/>
      <w:lvlText w:val="(%2)"/>
      <w:numFmt w:val="lowerLetter"/>
      <w:start w:val="1"/>
    </w:lvl>
  </w:abstractNum>
  <w:abstractNum w:abstractNumId="74">
    <w:nsid w:val="42963E5A"/>
    <w:multiLevelType w:val="hybridMultilevel"/>
    <w:lvl w:ilvl="0">
      <w:lvlJc w:val="left"/>
      <w:lvlText w:val="%1"/>
      <w:numFmt w:val="decimal"/>
      <w:start w:val="1"/>
    </w:lvl>
    <w:lvl w:ilvl="1">
      <w:lvlJc w:val="left"/>
      <w:lvlText w:val="(%2)"/>
      <w:numFmt w:val="lowerLetter"/>
      <w:start w:val="3"/>
    </w:lvl>
  </w:abstractNum>
  <w:abstractNum w:abstractNumId="75">
    <w:nsid w:val="A0382C5"/>
    <w:multiLevelType w:val="hybridMultilevel"/>
    <w:lvl w:ilvl="0">
      <w:lvlJc w:val="left"/>
      <w:lvlText w:val="(%1)"/>
      <w:numFmt w:val="decimal"/>
      <w:start w:val="3"/>
    </w:lvl>
    <w:lvl w:ilvl="1">
      <w:lvlJc w:val="left"/>
      <w:lvlText w:val="%2"/>
      <w:numFmt w:val="lowerLetter"/>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2020-02-24T09:49:37Z</dcterms:created>
  <dcterms:modified xsi:type="dcterms:W3CDTF">2020-02-24T09:49:37Z</dcterms:modified>
</cp:coreProperties>
</file>