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5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-639445</wp:posOffset>
            </wp:positionV>
            <wp:extent cx="59055" cy="652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78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-639445</wp:posOffset>
            </wp:positionV>
            <wp:extent cx="59055" cy="652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78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18415</wp:posOffset>
            </wp:positionV>
            <wp:extent cx="7324725" cy="8646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8646795"/>
                    </a:xfrm>
                    <a:prstGeom prst="rect">
                      <a:avLst/>
                    </a:prstGeom>
                    <a:noFill/>
                  </pic:spPr>
                </pic:pic>
              </a:graphicData>
            </a:graphic>
          </wp:anchor>
        </w:drawing>
      </w:r>
    </w:p>
    <w:p>
      <w:pPr>
        <w:spacing w:after="0" w:line="44" w:lineRule="exact"/>
        <w:rPr>
          <w:sz w:val="24"/>
          <w:szCs w:val="24"/>
          <w:color w:val="auto"/>
        </w:rPr>
      </w:pPr>
    </w:p>
    <w:p>
      <w:pPr>
        <w:sectPr>
          <w:pgSz w:w="11900" w:h="16921" w:orient="portrait"/>
          <w:cols w:equalWidth="0" w:num="2">
            <w:col w:w="2320" w:space="400"/>
            <w:col w:w="8800"/>
          </w:cols>
          <w:pgMar w:left="240" w:top="223"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4"/>
          </w:tcPr>
          <w:p>
            <w:pPr>
              <w:ind w:left="4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SINNOTT ROBERT V</w:t>
              </w:r>
            </w:hyperlink>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380" w:type="dxa"/>
            <w:vAlign w:val="bottom"/>
            <w:gridSpan w:val="6"/>
          </w:tcPr>
          <w:p>
            <w:pPr>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PLAINS GP HOLDINGS LP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PAGP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gridSpan w:val="2"/>
            <w:vMerge w:val="restart"/>
          </w:tcPr>
          <w:p>
            <w:pPr>
              <w:ind w:left="40"/>
              <w:spacing w:after="0"/>
              <w:rPr>
                <w:sz w:val="20"/>
                <w:szCs w:val="20"/>
                <w:color w:val="auto"/>
              </w:rPr>
            </w:pPr>
            <w:r>
              <w:rPr>
                <w:rFonts w:ascii="Arial" w:cs="Arial" w:eastAsia="Arial" w:hAnsi="Arial"/>
                <w:sz w:val="13"/>
                <w:szCs w:val="13"/>
                <w:color w:val="auto"/>
              </w:rPr>
              <w:t>(Check all applicable)</w:t>
            </w: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3"/>
            <w:vMerge w:val="continue"/>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100" w:type="dxa"/>
            <w:vAlign w:val="bottom"/>
            <w:gridSpan w:val="2"/>
            <w:vMerge w:val="continue"/>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3"/>
            <w:vMerge w:val="continue"/>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1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vMerge w:val="restart"/>
          </w:tcPr>
          <w:p>
            <w:pPr>
              <w:ind w:left="2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960" w:type="dxa"/>
            <w:vAlign w:val="bottom"/>
          </w:tcPr>
          <w:p>
            <w:pPr>
              <w:spacing w:after="0"/>
              <w:rPr>
                <w:sz w:val="2"/>
                <w:szCs w:val="2"/>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2100" w:type="dxa"/>
            <w:vAlign w:val="bottom"/>
            <w:gridSpan w:val="2"/>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320" w:type="dxa"/>
            <w:vAlign w:val="bottom"/>
            <w:gridSpan w:val="2"/>
            <w:vMerge w:val="restart"/>
          </w:tcPr>
          <w:p>
            <w:pPr>
              <w:ind w:left="1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100" w:type="dxa"/>
            <w:vAlign w:val="bottom"/>
            <w:gridSpan w:val="2"/>
            <w:vMerge w:val="continue"/>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6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2100" w:type="dxa"/>
            <w:vAlign w:val="bottom"/>
            <w:gridSpan w:val="2"/>
            <w:vMerge w:val="continue"/>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vMerge w:val="restart"/>
          </w:tcPr>
          <w:p>
            <w:pPr>
              <w:ind w:left="60"/>
              <w:spacing w:after="0"/>
              <w:rPr>
                <w:sz w:val="20"/>
                <w:szCs w:val="20"/>
                <w:color w:val="auto"/>
              </w:rPr>
            </w:pPr>
            <w:r>
              <w:rPr>
                <w:rFonts w:ascii="Arial" w:cs="Arial" w:eastAsia="Arial" w:hAnsi="Arial"/>
                <w:sz w:val="13"/>
                <w:szCs w:val="13"/>
                <w:color w:val="auto"/>
              </w:rPr>
              <w:t>(First)</w:t>
            </w:r>
          </w:p>
        </w:tc>
        <w:tc>
          <w:tcPr>
            <w:tcW w:w="1420" w:type="dxa"/>
            <w:vAlign w:val="bottom"/>
            <w:gridSpan w:val="3"/>
            <w:vMerge w:val="restart"/>
          </w:tcPr>
          <w:p>
            <w:pPr>
              <w:ind w:left="20"/>
              <w:spacing w:after="0"/>
              <w:rPr>
                <w:sz w:val="20"/>
                <w:szCs w:val="20"/>
                <w:color w:val="auto"/>
              </w:rPr>
            </w:pPr>
            <w:r>
              <w:rPr>
                <w:rFonts w:ascii="Arial" w:cs="Arial" w:eastAsia="Arial" w:hAnsi="Arial"/>
                <w:sz w:val="13"/>
                <w:szCs w:val="13"/>
                <w:color w:val="auto"/>
              </w:rPr>
              <w:t>(Middle)</w:t>
            </w:r>
          </w:p>
        </w:tc>
        <w:tc>
          <w:tcPr>
            <w:tcW w:w="2860" w:type="dxa"/>
            <w:vAlign w:val="bottom"/>
            <w:gridSpan w:val="5"/>
            <w:vMerge w:val="continue"/>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ind w:left="600"/>
              <w:spacing w:after="0" w:line="124" w:lineRule="exact"/>
              <w:rPr>
                <w:sz w:val="20"/>
                <w:szCs w:val="20"/>
                <w:color w:val="auto"/>
              </w:rPr>
            </w:pPr>
            <w:r>
              <w:rPr>
                <w:rFonts w:ascii="Arial" w:cs="Arial" w:eastAsia="Arial" w:hAnsi="Arial"/>
                <w:sz w:val="13"/>
                <w:szCs w:val="13"/>
                <w:color w:val="auto"/>
              </w:rPr>
              <w:t>below)</w:t>
            </w:r>
          </w:p>
        </w:tc>
        <w:tc>
          <w:tcPr>
            <w:tcW w:w="960" w:type="dxa"/>
            <w:vAlign w:val="bottom"/>
          </w:tcPr>
          <w:p>
            <w:pPr>
              <w:spacing w:after="0"/>
              <w:rPr>
                <w:sz w:val="10"/>
                <w:szCs w:val="10"/>
                <w:color w:val="auto"/>
              </w:rPr>
            </w:pPr>
          </w:p>
        </w:tc>
        <w:tc>
          <w:tcPr>
            <w:tcW w:w="1320" w:type="dxa"/>
            <w:vAlign w:val="bottom"/>
            <w:gridSpan w:val="2"/>
          </w:tcPr>
          <w:p>
            <w:pPr>
              <w:ind w:left="120"/>
              <w:spacing w:after="0" w:line="12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11/30/2017</w:t>
            </w: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3"/>
            <w:vMerge w:val="restart"/>
          </w:tcPr>
          <w:p>
            <w:pPr>
              <w:spacing w:after="0"/>
              <w:rPr>
                <w:sz w:val="20"/>
                <w:szCs w:val="20"/>
                <w:color w:val="auto"/>
              </w:rPr>
            </w:pPr>
            <w:r>
              <w:rPr>
                <w:rFonts w:ascii="Arial" w:cs="Arial" w:eastAsia="Arial" w:hAnsi="Arial"/>
                <w:sz w:val="17"/>
                <w:szCs w:val="17"/>
                <w:color w:val="0000FF"/>
              </w:rPr>
              <w:t>1800 AVE OF THE STATE</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continue"/>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2ND FLR</w:t>
            </w: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38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20" w:type="dxa"/>
            <w:vAlign w:val="bottom"/>
            <w:gridSpan w:val="4"/>
            <w:vMerge w:val="restart"/>
          </w:tcPr>
          <w:p>
            <w:pPr>
              <w:ind w:left="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380" w:type="dxa"/>
            <w:vAlign w:val="bottom"/>
            <w:gridSpan w:val="6"/>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2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Line)</w:t>
            </w:r>
          </w:p>
        </w:tc>
        <w:tc>
          <w:tcPr>
            <w:tcW w:w="9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gridSpan w:val="4"/>
          </w:tcPr>
          <w:p>
            <w:pPr>
              <w:ind w:left="2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w w:val="99"/>
              </w:rPr>
              <w:t>LOS ANGELES</w:t>
            </w:r>
          </w:p>
        </w:tc>
        <w:tc>
          <w:tcPr>
            <w:tcW w:w="1320" w:type="dxa"/>
            <w:vAlign w:val="bottom"/>
            <w:gridSpan w:val="2"/>
          </w:tcPr>
          <w:p>
            <w:pPr>
              <w:ind w:left="60"/>
              <w:spacing w:after="0"/>
              <w:rPr>
                <w:sz w:val="20"/>
                <w:szCs w:val="20"/>
                <w:color w:val="auto"/>
              </w:rPr>
            </w:pPr>
            <w:r>
              <w:rPr>
                <w:rFonts w:ascii="Arial" w:cs="Arial" w:eastAsia="Arial" w:hAnsi="Arial"/>
                <w:sz w:val="17"/>
                <w:szCs w:val="17"/>
                <w:color w:val="0000FF"/>
              </w:rPr>
              <w:t>CA</w:t>
            </w:r>
          </w:p>
        </w:tc>
        <w:tc>
          <w:tcPr>
            <w:tcW w:w="1260" w:type="dxa"/>
            <w:vAlign w:val="bottom"/>
          </w:tcPr>
          <w:p>
            <w:pPr>
              <w:ind w:left="2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20" w:type="dxa"/>
            <w:vAlign w:val="bottom"/>
            <w:gridSpan w:val="4"/>
          </w:tcPr>
          <w:p>
            <w:pPr>
              <w:ind w:left="6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040" w:type="dxa"/>
            <w:vAlign w:val="bottom"/>
            <w:tcBorders>
              <w:top w:val="single" w:sz="8" w:color="2C2C2C"/>
            </w:tcBorders>
            <w:gridSpan w:val="13"/>
          </w:tcPr>
          <w:p>
            <w:pPr>
              <w:ind w:left="3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1"/>
                <w:szCs w:val="21"/>
                <w:color w:val="auto"/>
              </w:rPr>
            </w:pPr>
          </w:p>
        </w:tc>
        <w:tc>
          <w:tcPr>
            <w:tcW w:w="13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0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20" w:type="dxa"/>
            <w:vAlign w:val="bottom"/>
            <w:gridSpan w:val="3"/>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11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 Direct</w:t>
            </w:r>
          </w:p>
        </w:tc>
        <w:tc>
          <w:tcPr>
            <w:tcW w:w="1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20" w:type="dxa"/>
            <w:vAlign w:val="bottom"/>
            <w:gridSpan w:val="4"/>
          </w:tcPr>
          <w:p>
            <w:pPr>
              <w:ind w:left="48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 or Indirect</w:t>
            </w: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(I) (Instr. 4)</w:t>
            </w: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163"/>
              <w:spacing w:after="0"/>
              <w:rPr>
                <w:sz w:val="20"/>
                <w:szCs w:val="20"/>
                <w:color w:val="auto"/>
              </w:rPr>
            </w:pPr>
            <w:r>
              <w:rPr>
                <w:rFonts w:ascii="Arial" w:cs="Arial" w:eastAsia="Arial" w:hAnsi="Arial"/>
                <w:sz w:val="12"/>
                <w:szCs w:val="12"/>
                <w:b w:val="1"/>
                <w:bCs w:val="1"/>
                <w:color w:val="auto"/>
                <w:w w:val="95"/>
              </w:rPr>
              <w:t>Price</w:t>
            </w:r>
          </w:p>
        </w:tc>
        <w:tc>
          <w:tcPr>
            <w:tcW w:w="20" w:type="dxa"/>
            <w:vAlign w:val="bottom"/>
          </w:tcPr>
          <w:p>
            <w:pPr>
              <w:spacing w:after="0"/>
              <w:rPr>
                <w:sz w:val="11"/>
                <w:szCs w:val="11"/>
                <w:color w:val="auto"/>
              </w:rPr>
            </w:pP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20" w:type="dxa"/>
            <w:vAlign w:val="bottom"/>
            <w:gridSpan w:val="3"/>
            <w:vMerge w:val="restart"/>
          </w:tcPr>
          <w:p>
            <w:pPr>
              <w:ind w:left="580"/>
              <w:spacing w:after="0"/>
              <w:rPr>
                <w:sz w:val="20"/>
                <w:szCs w:val="20"/>
                <w:color w:val="auto"/>
              </w:rPr>
            </w:pPr>
            <w:r>
              <w:rPr>
                <w:rFonts w:ascii="Arial" w:cs="Arial" w:eastAsia="Arial" w:hAnsi="Arial"/>
                <w:sz w:val="17"/>
                <w:szCs w:val="17"/>
                <w:color w:val="0000FF"/>
                <w:w w:val="96"/>
              </w:rPr>
              <w:t>11/30/2017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860" w:type="dxa"/>
            <w:vAlign w:val="bottom"/>
            <w:gridSpan w:val="2"/>
            <w:vMerge w:val="restart"/>
          </w:tcPr>
          <w:p>
            <w:pPr>
              <w:ind w:left="180"/>
              <w:spacing w:after="0"/>
              <w:rPr>
                <w:sz w:val="20"/>
                <w:szCs w:val="20"/>
                <w:color w:val="auto"/>
              </w:rPr>
            </w:pPr>
            <w:r>
              <w:rPr>
                <w:rFonts w:ascii="Arial" w:cs="Arial" w:eastAsia="Arial" w:hAnsi="Arial"/>
                <w:sz w:val="17"/>
                <w:szCs w:val="17"/>
                <w:color w:val="0000FF"/>
              </w:rPr>
              <w:t>44,481</w:t>
            </w:r>
          </w:p>
        </w:tc>
        <w:tc>
          <w:tcPr>
            <w:tcW w:w="52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jc w:val="right"/>
              <w:ind w:right="12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44,481</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1320" w:type="dxa"/>
            <w:vAlign w:val="bottom"/>
            <w:gridSpan w:val="2"/>
          </w:tcPr>
          <w:p>
            <w:pPr>
              <w:ind w:left="80"/>
              <w:spacing w:after="0"/>
              <w:rPr>
                <w:sz w:val="20"/>
                <w:szCs w:val="20"/>
                <w:color w:val="auto"/>
              </w:rPr>
            </w:pPr>
            <w:r>
              <w:rPr>
                <w:rFonts w:ascii="Arial" w:cs="Arial" w:eastAsia="Arial" w:hAnsi="Arial"/>
                <w:sz w:val="17"/>
                <w:szCs w:val="17"/>
                <w:color w:val="0000FF"/>
                <w:w w:val="99"/>
              </w:rPr>
              <w:t>See footnotes</w:t>
            </w:r>
            <w:r>
              <w:rPr>
                <w:rFonts w:ascii="Arial" w:cs="Arial" w:eastAsia="Arial" w:hAnsi="Arial"/>
                <w:sz w:val="21"/>
                <w:szCs w:val="21"/>
                <w:color w:val="008000"/>
                <w:w w:val="99"/>
                <w:vertAlign w:val="superscript"/>
              </w:rPr>
              <w:t>(1)</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300" w:type="dxa"/>
            <w:vAlign w:val="bottom"/>
            <w:vMerge w:val="restart"/>
          </w:tcPr>
          <w:p>
            <w:pPr>
              <w:ind w:left="80"/>
              <w:spacing w:after="0"/>
              <w:rPr>
                <w:sz w:val="20"/>
                <w:szCs w:val="20"/>
                <w:color w:val="auto"/>
              </w:rPr>
            </w:pPr>
            <w:r>
              <w:rPr>
                <w:rFonts w:ascii="Arial" w:cs="Arial" w:eastAsia="Arial" w:hAnsi="Arial"/>
                <w:sz w:val="11"/>
                <w:szCs w:val="11"/>
                <w:color w:val="008000"/>
              </w:rPr>
              <w:t>(2)(3)(4)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20" w:type="dxa"/>
            <w:vAlign w:val="bottom"/>
            <w:gridSpan w:val="3"/>
            <w:vMerge w:val="restart"/>
          </w:tcPr>
          <w:p>
            <w:pPr>
              <w:ind w:left="580"/>
              <w:spacing w:after="0"/>
              <w:rPr>
                <w:sz w:val="20"/>
                <w:szCs w:val="20"/>
                <w:color w:val="auto"/>
              </w:rPr>
            </w:pPr>
            <w:r>
              <w:rPr>
                <w:rFonts w:ascii="Arial" w:cs="Arial" w:eastAsia="Arial" w:hAnsi="Arial"/>
                <w:sz w:val="17"/>
                <w:szCs w:val="17"/>
                <w:color w:val="0000FF"/>
                <w:w w:val="96"/>
              </w:rPr>
              <w:t>11/30/2017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80" w:type="dxa"/>
            <w:vAlign w:val="bottom"/>
            <w:vMerge w:val="restart"/>
          </w:tcPr>
          <w:p>
            <w:pPr>
              <w:ind w:left="200"/>
              <w:spacing w:after="0"/>
              <w:rPr>
                <w:sz w:val="20"/>
                <w:szCs w:val="20"/>
                <w:color w:val="auto"/>
              </w:rPr>
            </w:pPr>
            <w:r>
              <w:rPr>
                <w:rFonts w:ascii="Arial" w:cs="Arial" w:eastAsia="Arial" w:hAnsi="Arial"/>
                <w:sz w:val="13"/>
                <w:szCs w:val="13"/>
                <w:color w:val="0000FF"/>
              </w:rPr>
              <w:t>J</w:t>
            </w:r>
          </w:p>
        </w:tc>
        <w:tc>
          <w:tcPr>
            <w:tcW w:w="860" w:type="dxa"/>
            <w:vAlign w:val="bottom"/>
            <w:gridSpan w:val="2"/>
            <w:vMerge w:val="restart"/>
          </w:tcPr>
          <w:p>
            <w:pPr>
              <w:ind w:left="180"/>
              <w:spacing w:after="0"/>
              <w:rPr>
                <w:sz w:val="20"/>
                <w:szCs w:val="20"/>
                <w:color w:val="auto"/>
              </w:rPr>
            </w:pPr>
            <w:r>
              <w:rPr>
                <w:rFonts w:ascii="Arial" w:cs="Arial" w:eastAsia="Arial" w:hAnsi="Arial"/>
                <w:sz w:val="17"/>
                <w:szCs w:val="17"/>
                <w:color w:val="0000FF"/>
              </w:rPr>
              <w:t>44,481</w:t>
            </w:r>
          </w:p>
        </w:tc>
        <w:tc>
          <w:tcPr>
            <w:tcW w:w="52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540" w:type="dxa"/>
            <w:vAlign w:val="bottom"/>
            <w:vMerge w:val="restart"/>
          </w:tcPr>
          <w:p>
            <w:pPr>
              <w:jc w:val="right"/>
              <w:ind w:right="12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0</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1320" w:type="dxa"/>
            <w:vAlign w:val="bottom"/>
            <w:gridSpan w:val="2"/>
          </w:tcPr>
          <w:p>
            <w:pPr>
              <w:ind w:left="80"/>
              <w:spacing w:after="0"/>
              <w:rPr>
                <w:sz w:val="20"/>
                <w:szCs w:val="20"/>
                <w:color w:val="auto"/>
              </w:rPr>
            </w:pPr>
            <w:r>
              <w:rPr>
                <w:rFonts w:ascii="Arial" w:cs="Arial" w:eastAsia="Arial" w:hAnsi="Arial"/>
                <w:sz w:val="17"/>
                <w:szCs w:val="17"/>
                <w:color w:val="0000FF"/>
                <w:w w:val="99"/>
              </w:rPr>
              <w:t>See footnotes</w:t>
            </w:r>
            <w:r>
              <w:rPr>
                <w:rFonts w:ascii="Arial" w:cs="Arial" w:eastAsia="Arial" w:hAnsi="Arial"/>
                <w:sz w:val="21"/>
                <w:szCs w:val="21"/>
                <w:color w:val="008000"/>
                <w:w w:val="99"/>
                <w:vertAlign w:val="superscript"/>
              </w:rPr>
              <w:t>(1)</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300" w:type="dxa"/>
            <w:vAlign w:val="bottom"/>
            <w:vMerge w:val="restart"/>
          </w:tcPr>
          <w:p>
            <w:pPr>
              <w:ind w:left="80"/>
              <w:spacing w:after="0"/>
              <w:rPr>
                <w:sz w:val="20"/>
                <w:szCs w:val="20"/>
                <w:color w:val="auto"/>
              </w:rPr>
            </w:pPr>
            <w:r>
              <w:rPr>
                <w:rFonts w:ascii="Arial" w:cs="Arial" w:eastAsia="Arial" w:hAnsi="Arial"/>
                <w:sz w:val="11"/>
                <w:szCs w:val="11"/>
                <w:color w:val="008000"/>
              </w:rPr>
              <w:t>(2)(3)(4)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0000FF"/>
              </w:rPr>
              <w:t>Rosa Sinnott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558,492</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1320" w:type="dxa"/>
            <w:vAlign w:val="bottom"/>
            <w:gridSpan w:val="2"/>
          </w:tcPr>
          <w:p>
            <w:pPr>
              <w:ind w:left="80"/>
              <w:spacing w:after="0"/>
              <w:rPr>
                <w:sz w:val="20"/>
                <w:szCs w:val="20"/>
                <w:color w:val="auto"/>
              </w:rPr>
            </w:pPr>
            <w:r>
              <w:rPr>
                <w:rFonts w:ascii="Arial" w:cs="Arial" w:eastAsia="Arial" w:hAnsi="Arial"/>
                <w:sz w:val="17"/>
                <w:szCs w:val="17"/>
                <w:color w:val="0000FF"/>
              </w:rPr>
              <w:t>2010 GRAT dtd</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7"/>
                <w:szCs w:val="17"/>
                <w:color w:val="0000FF"/>
              </w:rPr>
              <w:t>1/28/10 John</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0000FF"/>
              </w:rPr>
              <w:t>Sinnott, TTEE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0000FF"/>
              </w:rPr>
              <w:t>Robert Sinnott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558,492</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1320" w:type="dxa"/>
            <w:vAlign w:val="bottom"/>
            <w:gridSpan w:val="2"/>
          </w:tcPr>
          <w:p>
            <w:pPr>
              <w:ind w:left="80"/>
              <w:spacing w:after="0"/>
              <w:rPr>
                <w:sz w:val="20"/>
                <w:szCs w:val="20"/>
                <w:color w:val="auto"/>
              </w:rPr>
            </w:pPr>
            <w:r>
              <w:rPr>
                <w:rFonts w:ascii="Arial" w:cs="Arial" w:eastAsia="Arial" w:hAnsi="Arial"/>
                <w:sz w:val="17"/>
                <w:szCs w:val="17"/>
                <w:color w:val="0000FF"/>
              </w:rPr>
              <w:t>2010 GRAT dtd</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7"/>
                <w:szCs w:val="17"/>
                <w:color w:val="0000FF"/>
              </w:rPr>
              <w:t>1/28/10 John</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0000FF"/>
              </w:rPr>
              <w:t>Sinnott, TTEE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0000FF"/>
              </w:rPr>
              <w:t>Cliffwood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7"/>
                <w:szCs w:val="17"/>
                <w:color w:val="0000FF"/>
              </w:rPr>
              <w:t>Class A Shares</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92"/>
              </w:rPr>
              <w:t>75,104</w:t>
            </w:r>
          </w:p>
        </w:tc>
        <w:tc>
          <w:tcPr>
            <w:tcW w:w="960" w:type="dxa"/>
            <w:vAlign w:val="bottom"/>
          </w:tcPr>
          <w:p>
            <w:pPr>
              <w:ind w:left="480"/>
              <w:spacing w:after="0"/>
              <w:rPr>
                <w:sz w:val="20"/>
                <w:szCs w:val="20"/>
                <w:color w:val="auto"/>
              </w:rPr>
            </w:pPr>
            <w:r>
              <w:rPr>
                <w:rFonts w:ascii="Arial" w:cs="Arial" w:eastAsia="Arial" w:hAnsi="Arial"/>
                <w:sz w:val="17"/>
                <w:szCs w:val="17"/>
                <w:color w:val="0000FF"/>
              </w:rPr>
              <w:t>I</w:t>
            </w:r>
          </w:p>
        </w:tc>
        <w:tc>
          <w:tcPr>
            <w:tcW w:w="1320" w:type="dxa"/>
            <w:vAlign w:val="bottom"/>
            <w:gridSpan w:val="2"/>
          </w:tcPr>
          <w:p>
            <w:pPr>
              <w:ind w:left="80"/>
              <w:spacing w:after="0"/>
              <w:rPr>
                <w:sz w:val="20"/>
                <w:szCs w:val="20"/>
                <w:color w:val="auto"/>
              </w:rPr>
            </w:pPr>
            <w:r>
              <w:rPr>
                <w:rFonts w:ascii="Arial" w:cs="Arial" w:eastAsia="Arial" w:hAnsi="Arial"/>
                <w:sz w:val="17"/>
                <w:szCs w:val="17"/>
                <w:color w:val="0000FF"/>
              </w:rPr>
              <w:t>Energy</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0000FF"/>
              </w:rPr>
              <w:t>Partners</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bl>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gridSpan w:val="3"/>
          </w:tcPr>
          <w:p>
            <w:pPr>
              <w:ind w:left="440"/>
              <w:spacing w:after="0"/>
              <w:rPr>
                <w:sz w:val="20"/>
                <w:szCs w:val="20"/>
                <w:color w:val="auto"/>
              </w:rPr>
            </w:pPr>
            <w:r>
              <w:rPr>
                <w:rFonts w:ascii="Arial" w:cs="Arial" w:eastAsia="Arial" w:hAnsi="Arial"/>
                <w:sz w:val="17"/>
                <w:szCs w:val="17"/>
                <w:color w:val="0000FF"/>
                <w:w w:val="94"/>
              </w:rPr>
              <w:t>Robert and Rosa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gridSpan w:val="3"/>
          </w:tcPr>
          <w:p>
            <w:pPr>
              <w:ind w:left="440"/>
              <w:spacing w:after="0"/>
              <w:rPr>
                <w:sz w:val="20"/>
                <w:szCs w:val="20"/>
                <w:color w:val="auto"/>
              </w:rPr>
            </w:pPr>
            <w:r>
              <w:rPr>
                <w:rFonts w:ascii="Arial" w:cs="Arial" w:eastAsia="Arial" w:hAnsi="Arial"/>
                <w:sz w:val="17"/>
                <w:szCs w:val="17"/>
                <w:color w:val="0000FF"/>
              </w:rPr>
              <w:t>Sinnott Living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gridSpan w:val="3"/>
          </w:tcPr>
          <w:p>
            <w:pPr>
              <w:ind w:left="440"/>
              <w:spacing w:after="0"/>
              <w:rPr>
                <w:sz w:val="20"/>
                <w:szCs w:val="20"/>
                <w:color w:val="auto"/>
              </w:rPr>
            </w:pPr>
            <w:r>
              <w:rPr>
                <w:rFonts w:ascii="Arial" w:cs="Arial" w:eastAsia="Arial" w:hAnsi="Arial"/>
                <w:sz w:val="17"/>
                <w:szCs w:val="17"/>
                <w:color w:val="0000FF"/>
              </w:rPr>
              <w:t>Trust dtd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0000FF"/>
              </w:rPr>
              <w:t>37,552</w:t>
            </w:r>
          </w:p>
        </w:tc>
        <w:tc>
          <w:tcPr>
            <w:tcW w:w="880" w:type="dxa"/>
            <w:vAlign w:val="bottom"/>
            <w:vMerge w:val="restart"/>
          </w:tcPr>
          <w:p>
            <w:pPr>
              <w:ind w:left="760"/>
              <w:spacing w:after="0"/>
              <w:rPr>
                <w:sz w:val="20"/>
                <w:szCs w:val="20"/>
                <w:color w:val="auto"/>
              </w:rPr>
            </w:pPr>
            <w:r>
              <w:rPr>
                <w:rFonts w:ascii="Arial" w:cs="Arial" w:eastAsia="Arial" w:hAnsi="Arial"/>
                <w:sz w:val="17"/>
                <w:szCs w:val="17"/>
                <w:color w:val="0000FF"/>
              </w:rPr>
              <w:t>I</w:t>
            </w:r>
          </w:p>
        </w:tc>
        <w:tc>
          <w:tcPr>
            <w:tcW w:w="1660" w:type="dxa"/>
            <w:vAlign w:val="bottom"/>
            <w:gridSpan w:val="2"/>
          </w:tcPr>
          <w:p>
            <w:pPr>
              <w:ind w:left="440"/>
              <w:spacing w:after="0"/>
              <w:rPr>
                <w:sz w:val="20"/>
                <w:szCs w:val="20"/>
                <w:color w:val="auto"/>
              </w:rPr>
            </w:pPr>
            <w:r>
              <w:rPr>
                <w:rFonts w:ascii="Arial" w:cs="Arial" w:eastAsia="Arial" w:hAnsi="Arial"/>
                <w:sz w:val="17"/>
                <w:szCs w:val="17"/>
                <w:color w:val="0000FF"/>
              </w:rPr>
              <w:t>10/24/97,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80" w:type="dxa"/>
            <w:vAlign w:val="bottom"/>
            <w:gridSpan w:val="3"/>
            <w:vMerge w:val="restart"/>
          </w:tcPr>
          <w:p>
            <w:pPr>
              <w:ind w:left="440"/>
              <w:spacing w:after="0"/>
              <w:rPr>
                <w:sz w:val="20"/>
                <w:szCs w:val="20"/>
                <w:color w:val="auto"/>
              </w:rPr>
            </w:pPr>
            <w:r>
              <w:rPr>
                <w:rFonts w:ascii="Arial" w:cs="Arial" w:eastAsia="Arial" w:hAnsi="Arial"/>
                <w:sz w:val="17"/>
                <w:szCs w:val="17"/>
                <w:color w:val="0000FF"/>
              </w:rPr>
              <w:t>Robert V.</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gridSpan w:val="3"/>
          </w:tcPr>
          <w:p>
            <w:pPr>
              <w:ind w:left="440"/>
              <w:spacing w:after="0"/>
              <w:rPr>
                <w:sz w:val="20"/>
                <w:szCs w:val="20"/>
                <w:color w:val="auto"/>
              </w:rPr>
            </w:pPr>
            <w:r>
              <w:rPr>
                <w:rFonts w:ascii="Arial" w:cs="Arial" w:eastAsia="Arial" w:hAnsi="Arial"/>
                <w:sz w:val="17"/>
                <w:szCs w:val="17"/>
                <w:color w:val="0000FF"/>
              </w:rPr>
              <w:t>Sinnott and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gridSpan w:val="3"/>
          </w:tcPr>
          <w:p>
            <w:pPr>
              <w:ind w:left="440"/>
              <w:spacing w:after="0"/>
              <w:rPr>
                <w:sz w:val="20"/>
                <w:szCs w:val="20"/>
                <w:color w:val="auto"/>
              </w:rPr>
            </w:pPr>
            <w:r>
              <w:rPr>
                <w:rFonts w:ascii="Arial" w:cs="Arial" w:eastAsia="Arial" w:hAnsi="Arial"/>
                <w:sz w:val="17"/>
                <w:szCs w:val="17"/>
                <w:color w:val="0000FF"/>
              </w:rPr>
              <w:t>Rosa R. Sinnott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gridSpan w:val="3"/>
          </w:tcPr>
          <w:p>
            <w:pPr>
              <w:ind w:left="440"/>
              <w:spacing w:after="0"/>
              <w:rPr>
                <w:sz w:val="20"/>
                <w:szCs w:val="20"/>
                <w:color w:val="auto"/>
              </w:rPr>
            </w:pPr>
            <w:r>
              <w:rPr>
                <w:rFonts w:ascii="Arial" w:cs="Arial" w:eastAsia="Arial" w:hAnsi="Arial"/>
                <w:sz w:val="17"/>
                <w:szCs w:val="17"/>
                <w:color w:val="0000FF"/>
              </w:rPr>
              <w:t>Trustees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10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0000FF"/>
              </w:rPr>
              <w:t>257,624</w:t>
            </w:r>
          </w:p>
        </w:tc>
        <w:tc>
          <w:tcPr>
            <w:tcW w:w="880" w:type="dxa"/>
            <w:vAlign w:val="bottom"/>
            <w:vMerge w:val="restart"/>
          </w:tcPr>
          <w:p>
            <w:pPr>
              <w:ind w:left="760"/>
              <w:spacing w:after="0"/>
              <w:rPr>
                <w:sz w:val="20"/>
                <w:szCs w:val="20"/>
                <w:color w:val="auto"/>
              </w:rPr>
            </w:pPr>
            <w:r>
              <w:rPr>
                <w:rFonts w:ascii="Arial" w:cs="Arial" w:eastAsia="Arial" w:hAnsi="Arial"/>
                <w:sz w:val="17"/>
                <w:szCs w:val="17"/>
                <w:color w:val="0000FF"/>
              </w:rPr>
              <w:t>I</w:t>
            </w:r>
          </w:p>
        </w:tc>
        <w:tc>
          <w:tcPr>
            <w:tcW w:w="1680" w:type="dxa"/>
            <w:vAlign w:val="bottom"/>
            <w:gridSpan w:val="3"/>
          </w:tcPr>
          <w:p>
            <w:pPr>
              <w:ind w:left="440"/>
              <w:spacing w:after="0"/>
              <w:rPr>
                <w:sz w:val="20"/>
                <w:szCs w:val="20"/>
                <w:color w:val="auto"/>
              </w:rPr>
            </w:pPr>
            <w:r>
              <w:rPr>
                <w:rFonts w:ascii="Arial" w:cs="Arial" w:eastAsia="Arial" w:hAnsi="Arial"/>
                <w:sz w:val="17"/>
                <w:szCs w:val="17"/>
                <w:color w:val="0000FF"/>
                <w:w w:val="99"/>
              </w:rPr>
              <w:t>See footnotes</w:t>
            </w:r>
            <w:r>
              <w:rPr>
                <w:rFonts w:ascii="Arial" w:cs="Arial" w:eastAsia="Arial" w:hAnsi="Arial"/>
                <w:sz w:val="21"/>
                <w:szCs w:val="21"/>
                <w:color w:val="008000"/>
                <w:w w:val="99"/>
                <w:vertAlign w:val="superscript"/>
              </w:rPr>
              <w:t>(3)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10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vMerge w:val="restart"/>
          </w:tcPr>
          <w:p>
            <w:pPr>
              <w:ind w:left="440"/>
              <w:spacing w:after="0"/>
              <w:rPr>
                <w:sz w:val="20"/>
                <w:szCs w:val="20"/>
                <w:color w:val="auto"/>
              </w:rPr>
            </w:pPr>
            <w:r>
              <w:rPr>
                <w:rFonts w:ascii="Arial" w:cs="Arial" w:eastAsia="Arial" w:hAnsi="Arial"/>
                <w:sz w:val="11"/>
                <w:szCs w:val="11"/>
                <w:color w:val="008000"/>
              </w:rPr>
              <w:t>(7)</w:t>
            </w: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54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180" w:type="dxa"/>
            <w:vAlign w:val="bottom"/>
            <w:tcBorders>
              <w:top w:val="single" w:sz="8" w:color="2C2C2C"/>
            </w:tcBorders>
            <w:gridSpan w:val="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9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9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9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Indirect</w:t>
            </w:r>
          </w:p>
        </w:tc>
        <w:tc>
          <w:tcPr>
            <w:tcW w:w="9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vMerge w:val="restart"/>
          </w:tcPr>
          <w:p>
            <w:pPr>
              <w:ind w:left="100"/>
              <w:spacing w:after="0"/>
              <w:rPr>
                <w:sz w:val="20"/>
                <w:szCs w:val="20"/>
                <w:color w:val="auto"/>
              </w:rPr>
            </w:pPr>
            <w:r>
              <w:rPr>
                <w:rFonts w:ascii="Arial" w:cs="Arial" w:eastAsia="Arial" w:hAnsi="Arial"/>
                <w:sz w:val="13"/>
                <w:szCs w:val="13"/>
                <w:color w:val="0000FF"/>
              </w:rPr>
              <w:t>Class</w:t>
            </w: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0000FF"/>
                <w:w w:val="86"/>
              </w:rPr>
              <w:t>See footnotes</w:t>
            </w:r>
            <w:r>
              <w:rPr>
                <w:rFonts w:ascii="Arial" w:cs="Arial" w:eastAsia="Arial" w:hAnsi="Arial"/>
                <w:sz w:val="21"/>
                <w:szCs w:val="21"/>
                <w:color w:val="008000"/>
                <w:w w:val="86"/>
                <w:vertAlign w:val="superscript"/>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w w:val="93"/>
              </w:rPr>
              <w:t>Shares/Class</w:t>
            </w: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vMerge w:val="restart"/>
          </w:tcPr>
          <w:p>
            <w:pPr>
              <w:ind w:left="280"/>
              <w:spacing w:after="0"/>
              <w:rPr>
                <w:sz w:val="20"/>
                <w:szCs w:val="20"/>
                <w:color w:val="auto"/>
              </w:rPr>
            </w:pPr>
            <w:r>
              <w:rPr>
                <w:rFonts w:ascii="Arial" w:cs="Arial" w:eastAsia="Arial" w:hAnsi="Arial"/>
                <w:sz w:val="11"/>
                <w:szCs w:val="11"/>
                <w:color w:val="008000"/>
              </w:rPr>
              <w:t>(1)(2)</w:t>
            </w:r>
          </w:p>
        </w:tc>
        <w:tc>
          <w:tcPr>
            <w:tcW w:w="740" w:type="dxa"/>
            <w:vAlign w:val="bottom"/>
            <w:vMerge w:val="restart"/>
          </w:tcPr>
          <w:p>
            <w:pPr>
              <w:jc w:val="right"/>
              <w:ind w:right="182"/>
              <w:spacing w:after="0"/>
              <w:rPr>
                <w:sz w:val="20"/>
                <w:szCs w:val="20"/>
                <w:color w:val="auto"/>
              </w:rPr>
            </w:pPr>
            <w:r>
              <w:rPr>
                <w:rFonts w:ascii="Arial" w:cs="Arial" w:eastAsia="Arial" w:hAnsi="Arial"/>
                <w:sz w:val="11"/>
                <w:szCs w:val="11"/>
                <w:color w:val="008000"/>
              </w:rPr>
              <w:t>(1)(2)</w:t>
            </w:r>
          </w:p>
        </w:tc>
        <w:tc>
          <w:tcPr>
            <w:tcW w:w="480" w:type="dxa"/>
            <w:vAlign w:val="bottom"/>
            <w:vMerge w:val="continue"/>
          </w:tcPr>
          <w:p>
            <w:pPr>
              <w:spacing w:after="0"/>
              <w:rPr>
                <w:sz w:val="5"/>
                <w:szCs w:val="5"/>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44,481</w:t>
            </w: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vMerge w:val="restart"/>
          </w:tcPr>
          <w:p>
            <w:pPr>
              <w:ind w:left="60"/>
              <w:spacing w:after="0" w:line="207" w:lineRule="exact"/>
              <w:rPr>
                <w:sz w:val="20"/>
                <w:szCs w:val="20"/>
                <w:color w:val="auto"/>
              </w:rPr>
            </w:pPr>
            <w:r>
              <w:rPr>
                <w:rFonts w:ascii="Arial" w:cs="Arial" w:eastAsia="Arial" w:hAnsi="Arial"/>
                <w:sz w:val="13"/>
                <w:szCs w:val="13"/>
                <w:color w:val="0000FF"/>
                <w:w w:val="97"/>
              </w:rPr>
              <w:t>19,140,963</w:t>
            </w:r>
            <w:r>
              <w:rPr>
                <w:rFonts w:ascii="Arial" w:cs="Arial" w:eastAsia="Arial" w:hAnsi="Arial"/>
                <w:sz w:val="21"/>
                <w:szCs w:val="21"/>
                <w:color w:val="008000"/>
                <w:w w:val="97"/>
                <w:vertAlign w:val="superscript"/>
              </w:rPr>
              <w:t>(6)</w:t>
            </w:r>
          </w:p>
        </w:tc>
        <w:tc>
          <w:tcPr>
            <w:tcW w:w="7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tcPr>
          <w:p>
            <w:pPr>
              <w:ind w:left="34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60" w:type="dxa"/>
            <w:vAlign w:val="bottom"/>
          </w:tcPr>
          <w:p>
            <w:pPr>
              <w:jc w:val="right"/>
              <w:ind w:right="139"/>
              <w:spacing w:after="0" w:line="141" w:lineRule="exact"/>
              <w:rPr>
                <w:sz w:val="20"/>
                <w:szCs w:val="20"/>
                <w:color w:val="auto"/>
              </w:rPr>
            </w:pPr>
            <w:r>
              <w:rPr>
                <w:rFonts w:ascii="Arial" w:cs="Arial" w:eastAsia="Arial" w:hAnsi="Arial"/>
                <w:sz w:val="13"/>
                <w:szCs w:val="13"/>
                <w:color w:val="0000FF"/>
              </w:rPr>
              <w:t>11/30/2017</w:t>
            </w:r>
          </w:p>
        </w:tc>
        <w:tc>
          <w:tcPr>
            <w:tcW w:w="1160" w:type="dxa"/>
            <w:vAlign w:val="bottom"/>
          </w:tcPr>
          <w:p>
            <w:pPr>
              <w:spacing w:after="0"/>
              <w:rPr>
                <w:sz w:val="12"/>
                <w:szCs w:val="12"/>
                <w:color w:val="auto"/>
              </w:rPr>
            </w:pPr>
          </w:p>
        </w:tc>
        <w:tc>
          <w:tcPr>
            <w:tcW w:w="820" w:type="dxa"/>
            <w:vAlign w:val="bottom"/>
          </w:tcPr>
          <w:p>
            <w:pPr>
              <w:ind w:left="160"/>
              <w:spacing w:after="0" w:line="141" w:lineRule="exact"/>
              <w:rPr>
                <w:sz w:val="20"/>
                <w:szCs w:val="20"/>
                <w:color w:val="auto"/>
              </w:rPr>
            </w:pPr>
            <w:r>
              <w:rPr>
                <w:rFonts w:ascii="Arial" w:cs="Arial" w:eastAsia="Arial" w:hAnsi="Arial"/>
                <w:sz w:val="13"/>
                <w:szCs w:val="13"/>
                <w:color w:val="0000FF"/>
              </w:rPr>
              <w:t>M</w:t>
            </w:r>
          </w:p>
        </w:tc>
        <w:tc>
          <w:tcPr>
            <w:tcW w:w="800" w:type="dxa"/>
            <w:vAlign w:val="bottom"/>
          </w:tcPr>
          <w:p>
            <w:pPr>
              <w:ind w:left="380"/>
              <w:spacing w:after="0" w:line="141" w:lineRule="exact"/>
              <w:rPr>
                <w:sz w:val="20"/>
                <w:szCs w:val="20"/>
                <w:color w:val="auto"/>
              </w:rPr>
            </w:pPr>
            <w:r>
              <w:rPr>
                <w:rFonts w:ascii="Arial" w:cs="Arial" w:eastAsia="Arial" w:hAnsi="Arial"/>
                <w:sz w:val="13"/>
                <w:szCs w:val="13"/>
                <w:color w:val="0000FF"/>
              </w:rPr>
              <w:t>44,481</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480" w:type="dxa"/>
            <w:vAlign w:val="bottom"/>
          </w:tcPr>
          <w:p>
            <w:pPr>
              <w:ind w:left="200"/>
              <w:spacing w:after="0" w:line="141" w:lineRule="exact"/>
              <w:rPr>
                <w:sz w:val="20"/>
                <w:szCs w:val="20"/>
                <w:color w:val="auto"/>
              </w:rPr>
            </w:pPr>
            <w:r>
              <w:rPr>
                <w:rFonts w:ascii="Arial" w:cs="Arial" w:eastAsia="Arial" w:hAnsi="Arial"/>
                <w:sz w:val="13"/>
                <w:szCs w:val="13"/>
                <w:color w:val="0000FF"/>
              </w:rPr>
              <w:t>A</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ind w:left="24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vMerge w:val="continue"/>
          </w:tcPr>
          <w:p>
            <w:pPr>
              <w:spacing w:after="0"/>
              <w:rPr>
                <w:sz w:val="12"/>
                <w:szCs w:val="12"/>
                <w:color w:val="auto"/>
              </w:rPr>
            </w:pPr>
          </w:p>
        </w:tc>
        <w:tc>
          <w:tcPr>
            <w:tcW w:w="760" w:type="dxa"/>
            <w:vAlign w:val="bottom"/>
          </w:tcPr>
          <w:p>
            <w:pPr>
              <w:ind w:left="360"/>
              <w:spacing w:after="0" w:line="141" w:lineRule="exact"/>
              <w:rPr>
                <w:sz w:val="20"/>
                <w:szCs w:val="20"/>
                <w:color w:val="auto"/>
              </w:rPr>
            </w:pPr>
            <w:r>
              <w:rPr>
                <w:rFonts w:ascii="Arial" w:cs="Arial" w:eastAsia="Arial" w:hAnsi="Arial"/>
                <w:sz w:val="13"/>
                <w:szCs w:val="13"/>
                <w:color w:val="0000FF"/>
              </w:rPr>
              <w:t>I</w:t>
            </w: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0" w:type="dxa"/>
            <w:vAlign w:val="bottom"/>
          </w:tcPr>
          <w:p>
            <w:pPr>
              <w:ind w:left="60"/>
              <w:spacing w:after="0" w:line="84" w:lineRule="exact"/>
              <w:rPr>
                <w:sz w:val="20"/>
                <w:szCs w:val="20"/>
                <w:color w:val="auto"/>
              </w:rPr>
            </w:pPr>
            <w:r>
              <w:rPr>
                <w:rFonts w:ascii="Arial" w:cs="Arial" w:eastAsia="Arial" w:hAnsi="Arial"/>
                <w:sz w:val="9"/>
                <w:szCs w:val="9"/>
                <w:color w:val="0000FF"/>
              </w:rPr>
              <w:t>A Units/GP</w:t>
            </w:r>
          </w:p>
        </w:tc>
        <w:tc>
          <w:tcPr>
            <w:tcW w:w="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3"/>
                <w:szCs w:val="13"/>
                <w:color w:val="0000FF"/>
                <w:w w:val="97"/>
              </w:rPr>
              <w:t>Shares</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ind w:left="60"/>
              <w:spacing w:after="0" w:line="84" w:lineRule="exact"/>
              <w:rPr>
                <w:sz w:val="20"/>
                <w:szCs w:val="20"/>
                <w:color w:val="auto"/>
              </w:rPr>
            </w:pPr>
            <w:r>
              <w:rPr>
                <w:rFonts w:ascii="Arial" w:cs="Arial" w:eastAsia="Arial" w:hAnsi="Arial"/>
                <w:sz w:val="9"/>
                <w:szCs w:val="9"/>
                <w:color w:val="008000"/>
              </w:rPr>
              <w:t>(2)(3)</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jc w:val="both"/>
        <w:ind w:left="40" w:right="240" w:firstLine="5"/>
        <w:spacing w:after="0" w:line="245"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As of the date of this Form 4, the Reporting Person holds an indirect ownership interest in Plains GP Holdings, L.P. (the "Issuer") through his ownership in KAFU Holdings, L.P., KAFU Holdings (QP), L.P., and KAFU Holdings II, L.P. (collectively, "KAFU"). Further the Reporting Person is the Co-Chairman of Kayne Anderson Capital Advisors, L.P. ("KACALP"), an SEC registered investment adviser and the managing member of KAFU. The Reporting Person may be deemed to be the beneficial owner of all of the interests held by KAFU.</w:t>
      </w:r>
    </w:p>
    <w:p>
      <w:pPr>
        <w:spacing w:after="0" w:line="29" w:lineRule="exact"/>
        <w:rPr>
          <w:rFonts w:ascii="Arial" w:cs="Arial" w:eastAsia="Arial" w:hAnsi="Arial"/>
          <w:sz w:val="13"/>
          <w:szCs w:val="13"/>
          <w:color w:val="008000"/>
        </w:rPr>
      </w:pPr>
    </w:p>
    <w:p>
      <w:pPr>
        <w:ind w:left="40" w:right="560" w:firstLine="5"/>
        <w:spacing w:after="0" w:line="245"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Eighth Amended and Restated limited partnership agreement of Plains AAP, L.P. ("AAP") provides that each limited partner has the right at any time (without expiration) to immediately exchange (the "Exchange Right") its Class A units in AAP, together with a like number of associated Class B shares in the Issuer and GP units in PAA GP Holdings LLC, for a like number Class A shares of the Issuer. On November 30, 2017, and KAFU Holdings (QP), L.P. exercised the Exchange Right with respect to 44,481 Class A Units.</w:t>
      </w:r>
    </w:p>
    <w:p>
      <w:pPr>
        <w:sectPr>
          <w:pgSz w:w="11900" w:h="16921" w:orient="portrait"/>
          <w:cols w:equalWidth="0" w:num="1">
            <w:col w:w="11520"/>
          </w:cols>
          <w:pgMar w:left="240" w:top="223" w:right="139" w:bottom="0" w:gutter="0" w:footer="0" w:header="0"/>
          <w:type w:val="continuous"/>
        </w:sectPr>
      </w:pPr>
    </w:p>
    <w:bookmarkStart w:id="1" w:name="page2"/>
    <w:bookmarkEnd w:id="1"/>
    <w:p>
      <w:pPr>
        <w:ind w:left="140" w:hanging="135"/>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 securities held by KAFU and KACALP, except to the extent of his pecuniary interest therein.</w:t>
      </w:r>
    </w:p>
    <w:p>
      <w:pPr>
        <w:spacing w:after="0" w:line="48" w:lineRule="exact"/>
        <w:rPr>
          <w:rFonts w:ascii="Arial" w:cs="Arial" w:eastAsia="Arial" w:hAnsi="Arial"/>
          <w:sz w:val="13"/>
          <w:szCs w:val="13"/>
          <w:color w:val="008000"/>
        </w:rPr>
      </w:pPr>
    </w:p>
    <w:p>
      <w:pPr>
        <w:ind w:left="140" w:hanging="135"/>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transactions involve in-kind distributions to redeeming limited partners of KAFU Holdings (QP), L.P.</w:t>
      </w:r>
    </w:p>
    <w:p>
      <w:pPr>
        <w:spacing w:after="0" w:line="48" w:lineRule="exact"/>
        <w:rPr>
          <w:rFonts w:ascii="Arial" w:cs="Arial" w:eastAsia="Arial" w:hAnsi="Arial"/>
          <w:sz w:val="13"/>
          <w:szCs w:val="13"/>
          <w:color w:val="008000"/>
        </w:rPr>
      </w:pPr>
    </w:p>
    <w:p>
      <w:pPr>
        <w:ind w:left="140" w:hanging="135"/>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Cliffwood Energy Partners, L.P. is a family investment vehicle. Mr. Sinnott is the managing member of the general partner.</w:t>
      </w:r>
    </w:p>
    <w:p>
      <w:pPr>
        <w:spacing w:after="0" w:line="48" w:lineRule="exact"/>
        <w:rPr>
          <w:rFonts w:ascii="Arial" w:cs="Arial" w:eastAsia="Arial" w:hAnsi="Arial"/>
          <w:sz w:val="13"/>
          <w:szCs w:val="13"/>
          <w:color w:val="008000"/>
        </w:rPr>
      </w:pPr>
    </w:p>
    <w:p>
      <w:pPr>
        <w:ind w:firstLine="5"/>
        <w:spacing w:after="0" w:line="245" w:lineRule="auto"/>
        <w:tabs>
          <w:tab w:leader="none" w:pos="13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 simultaneous transaction, KAFU exercised the redemption right provided for in the limited partnership agreement of AAP with respect to 1,864,218 Class A units. As a result, such Class A units were cancelled and 1,864,218 Common Units of Plains All American Pipeline, L.P. were distributed by AAP to KAFU. The number of derivative securities owned reflects both the exchange transaction reported herein and the simultaneous redemption transaction.</w:t>
      </w:r>
    </w:p>
    <w:p>
      <w:pPr>
        <w:spacing w:after="0" w:line="29" w:lineRule="exact"/>
        <w:rPr>
          <w:rFonts w:ascii="Arial" w:cs="Arial" w:eastAsia="Arial" w:hAnsi="Arial"/>
          <w:sz w:val="13"/>
          <w:szCs w:val="13"/>
          <w:color w:val="008000"/>
        </w:rPr>
      </w:pPr>
    </w:p>
    <w:p>
      <w:pPr>
        <w:ind w:left="140" w:hanging="135"/>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KACALP. The Reporting Person is Co-Chairman of KACALP and may be deemed to beneficially own the Class A Shares.</w:t>
      </w:r>
    </w:p>
    <w:p>
      <w:pPr>
        <w:spacing w:after="0" w:line="59"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200" w:type="dxa"/>
            <w:vAlign w:val="bottom"/>
          </w:tcPr>
          <w:p>
            <w:pPr>
              <w:spacing w:after="0"/>
              <w:rPr>
                <w:sz w:val="20"/>
                <w:szCs w:val="20"/>
                <w:color w:val="auto"/>
              </w:rPr>
            </w:pPr>
            <w:r>
              <w:rPr>
                <w:rFonts w:ascii="Arial" w:cs="Arial" w:eastAsia="Arial" w:hAnsi="Arial"/>
                <w:sz w:val="17"/>
                <w:szCs w:val="17"/>
                <w:color w:val="0000FF"/>
                <w:w w:val="91"/>
              </w:rPr>
              <w:t>Robert V. Sinnott</w:t>
            </w:r>
          </w:p>
        </w:tc>
        <w:tc>
          <w:tcPr>
            <w:tcW w:w="900" w:type="dxa"/>
            <w:vAlign w:val="bottom"/>
          </w:tcPr>
          <w:p>
            <w:pPr>
              <w:spacing w:after="0"/>
              <w:rPr>
                <w:sz w:val="16"/>
                <w:szCs w:val="16"/>
                <w:color w:val="auto"/>
              </w:rPr>
            </w:pPr>
          </w:p>
        </w:tc>
        <w:tc>
          <w:tcPr>
            <w:tcW w:w="980" w:type="dxa"/>
            <w:vAlign w:val="bottom"/>
            <w:gridSpan w:val="2"/>
          </w:tcPr>
          <w:p>
            <w:pPr>
              <w:ind w:left="200"/>
              <w:spacing w:after="0"/>
              <w:rPr>
                <w:sz w:val="20"/>
                <w:szCs w:val="20"/>
                <w:color w:val="auto"/>
              </w:rPr>
            </w:pPr>
            <w:r>
              <w:rPr>
                <w:rFonts w:ascii="Arial" w:cs="Arial" w:eastAsia="Arial" w:hAnsi="Arial"/>
                <w:sz w:val="17"/>
                <w:szCs w:val="17"/>
                <w:color w:val="0000FF"/>
                <w:w w:val="89"/>
              </w:rPr>
              <w:t>12/04/2017</w:t>
            </w:r>
          </w:p>
        </w:tc>
      </w:tr>
      <w:tr>
        <w:trPr>
          <w:trHeight w:val="20"/>
        </w:trPr>
        <w:tc>
          <w:tcPr>
            <w:tcW w:w="12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9"/>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3560" w:firstLine="5"/>
        <w:spacing w:after="0" w:line="315"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60"/>
      </w:cols>
      <w:pgMar w:left="280" w:top="18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625"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2020-01-16T05:33:40Z</dcterms:created>
  <dcterms:modified xsi:type="dcterms:W3CDTF">2020-01-16T05:33:40Z</dcterms:modified>
</cp:coreProperties>
</file>