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04/18/2018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04/18/2018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300,000</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283,621,024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04/19/2018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(1)(4)</w:t>
            </w: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100,000</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Arial" w:cs="Arial" w:eastAsia="Arial" w:hAnsi="Arial"/>
                <w:sz w:val="11"/>
                <w:szCs w:val="11"/>
                <w:color w:val="008000"/>
              </w:rPr>
              <w:t>(1)(4)</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283,521,024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80" w:type="dxa"/>
            <w:vAlign w:val="bottom"/>
            <w:gridSpan w:val="14"/>
          </w:tcPr>
          <w:p>
            <w:pPr>
              <w:jc w:val="center"/>
              <w:ind w:left="2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10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April 18, 2018, one of AAP's limited partners exercised the Redemption Right with respect to 300,000 AAP Class A units, resulting in the cancellation of such AAP Class A units and the distribution of 300,000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305"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right="10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April 19, 2018, one of AAP's limited partners exercised the Redemption Right with respect to 100,000 AAP Class A units, resulting in the cancellation of such AAP Class A units and the distribution of 100,000 Common Units from AAP to the redeeming partner.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04/19/2018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2020-01-14T00:14:54Z</dcterms:created>
  <dcterms:modified xsi:type="dcterms:W3CDTF">2020-01-14T00:14:54Z</dcterms:modified>
</cp:coreProperties>
</file>