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-231140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420" w:type="dxa"/>
            <w:vAlign w:val="bottom"/>
          </w:tcPr>
          <w:p>
            <w:pPr>
              <w:jc w:val="center"/>
              <w:ind w:right="3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5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vMerge w:val="restart"/>
          </w:tcPr>
          <w:p>
            <w:pPr>
              <w:jc w:val="center"/>
              <w:ind w:right="35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5400040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-1788795</wp:posOffset>
            </wp:positionH>
            <wp:positionV relativeFrom="paragraph">
              <wp:posOffset>14605</wp:posOffset>
            </wp:positionV>
            <wp:extent cx="7326630" cy="4244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6630" cy="42449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560"/>
            <w:col w:w="8720"/>
          </w:cols>
          <w:pgMar w:left="240" w:top="220"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RAYMOND JOHN T</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 MAIN, SUITE 4200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line="252" w:lineRule="auto"/>
        <w:rPr>
          <w:rFonts w:ascii="Arial" w:cs="Arial" w:eastAsia="Arial" w:hAnsi="Arial"/>
          <w:sz w:val="20"/>
          <w:szCs w:val="20"/>
          <w:color w:val="0000EE"/>
        </w:rPr>
      </w:pPr>
      <w:hyperlink r:id="rId13">
        <w:r>
          <w:rPr>
            <w:rFonts w:ascii="Arial" w:cs="Arial" w:eastAsia="Arial" w:hAnsi="Arial"/>
            <w:sz w:val="20"/>
            <w:szCs w:val="20"/>
            <w:u w:val="single" w:color="auto"/>
            <w:color w:val="0000EE"/>
          </w:rPr>
          <w:t>PLAINS ALL AMERICAN PIPELINE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 xml:space="preserve">PAA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01/12/2016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780" w:hanging="8"/>
        <w:spacing w:after="0" w:line="236"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8"/>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1"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8"/>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09" w:lineRule="exact"/>
        <w:rPr>
          <w:sz w:val="24"/>
          <w:szCs w:val="24"/>
          <w:color w:val="auto"/>
        </w:rPr>
      </w:pPr>
    </w:p>
    <w:p>
      <w:pPr>
        <w:sectPr>
          <w:pgSz w:w="11900" w:h="16838" w:orient="portrait"/>
          <w:cols w:equalWidth="0" w:num="3">
            <w:col w:w="3340" w:space="720"/>
            <w:col w:w="3660" w:space="332"/>
            <w:col w:w="3468"/>
          </w:cols>
          <w:pgMar w:left="240" w:top="220" w:right="139" w:bottom="1440" w:gutter="0" w:footer="0" w:header="0"/>
          <w:type w:val="continuous"/>
        </w:sectPr>
      </w:pPr>
    </w:p>
    <w:p>
      <w:pPr>
        <w:spacing w:after="0" w:line="20"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700" w:type="dxa"/>
            <w:vAlign w:val="bottom"/>
          </w:tcPr>
          <w:p>
            <w:pPr>
              <w:ind w:left="460"/>
              <w:spacing w:after="0"/>
              <w:rPr>
                <w:sz w:val="20"/>
                <w:szCs w:val="20"/>
                <w:color w:val="auto"/>
              </w:rPr>
            </w:pPr>
            <w:r>
              <w:rPr>
                <w:rFonts w:ascii="Arial" w:cs="Arial" w:eastAsia="Arial" w:hAnsi="Arial"/>
                <w:sz w:val="17"/>
                <w:szCs w:val="17"/>
                <w:color w:val="0000FF"/>
              </w:rPr>
              <w:t>77002</w:t>
            </w:r>
          </w:p>
        </w:tc>
      </w:tr>
      <w:tr>
        <w:trPr>
          <w:trHeight w:val="147"/>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7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700" w:type="dxa"/>
            <w:vAlign w:val="bottom"/>
          </w:tcPr>
          <w:p>
            <w:pPr>
              <w:ind w:left="4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ind w:right="220" w:hanging="4194"/>
        <w:spacing w:after="0" w:line="304"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 xml:space="preserve">6. Individual or Joint/Group Filing (Check Applicable Line) </w:t>
      </w: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p>
      <w:pPr>
        <w:spacing w:after="0" w:line="12" w:lineRule="exact"/>
        <w:rPr>
          <w:sz w:val="24"/>
          <w:szCs w:val="24"/>
          <w:color w:val="auto"/>
        </w:rPr>
      </w:pPr>
    </w:p>
    <w:p>
      <w:pPr>
        <w:ind w:left="540"/>
        <w:spacing w:after="0"/>
        <w:rPr>
          <w:sz w:val="20"/>
          <w:szCs w:val="20"/>
          <w:color w:val="auto"/>
        </w:rPr>
      </w:pPr>
      <w:r>
        <w:rPr>
          <w:rFonts w:ascii="Arial" w:cs="Arial" w:eastAsia="Arial" w:hAnsi="Arial"/>
          <w:sz w:val="12"/>
          <w:szCs w:val="12"/>
          <w:color w:val="auto"/>
        </w:rPr>
        <w:t>Form filed by More than One Reporting Person</w:t>
      </w:r>
    </w:p>
    <w:p>
      <w:pPr>
        <w:spacing w:after="0" w:line="394" w:lineRule="exact"/>
        <w:rPr>
          <w:sz w:val="24"/>
          <w:szCs w:val="24"/>
          <w:color w:val="auto"/>
        </w:rPr>
      </w:pPr>
    </w:p>
    <w:p>
      <w:pPr>
        <w:sectPr>
          <w:pgSz w:w="11900" w:h="16838" w:orient="portrait"/>
          <w:cols w:equalWidth="0" w:num="2">
            <w:col w:w="7340" w:space="720"/>
            <w:col w:w="346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9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20" w:type="dxa"/>
            <w:vAlign w:val="bottom"/>
          </w:tcPr>
          <w:p>
            <w:pPr>
              <w:ind w:left="920"/>
              <w:spacing w:after="0" w:line="125"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120"/>
              <w:spacing w:after="0" w:line="125"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ind w:left="9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Following Reported</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6"/>
                <w:szCs w:val="6"/>
                <w:color w:val="auto"/>
              </w:rPr>
            </w:pPr>
          </w:p>
        </w:tc>
        <w:tc>
          <w:tcPr>
            <w:tcW w:w="860" w:type="dxa"/>
            <w:vAlign w:val="bottom"/>
            <w:vMerge w:val="restart"/>
          </w:tcPr>
          <w:p>
            <w:pPr>
              <w:ind w:left="120"/>
              <w:spacing w:after="0" w:line="128"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w w:val="92"/>
              </w:rPr>
              <w:t>5. Number of</w:t>
            </w:r>
          </w:p>
        </w:tc>
        <w:tc>
          <w:tcPr>
            <w:tcW w:w="220" w:type="dxa"/>
            <w:vAlign w:val="bottom"/>
          </w:tcPr>
          <w:p>
            <w:pPr>
              <w:spacing w:after="0"/>
              <w:rPr>
                <w:sz w:val="12"/>
                <w:szCs w:val="12"/>
                <w:color w:val="auto"/>
              </w:rPr>
            </w:pPr>
          </w:p>
        </w:tc>
        <w:tc>
          <w:tcPr>
            <w:tcW w:w="14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10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4 and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Amount or</w:t>
            </w:r>
          </w:p>
        </w:tc>
        <w:tc>
          <w:tcPr>
            <w:tcW w:w="7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8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Number 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740" w:type="dxa"/>
            <w:vAlign w:val="bottom"/>
          </w:tcPr>
          <w:p>
            <w:pPr>
              <w:ind w:left="60"/>
              <w:spacing w:after="0"/>
              <w:rPr>
                <w:sz w:val="20"/>
                <w:szCs w:val="20"/>
                <w:color w:val="auto"/>
              </w:rPr>
            </w:pPr>
            <w:r>
              <w:rPr>
                <w:rFonts w:ascii="Arial" w:cs="Arial" w:eastAsia="Arial" w:hAnsi="Arial"/>
                <w:sz w:val="13"/>
                <w:szCs w:val="13"/>
                <w:color w:val="0000FF"/>
              </w:rPr>
              <w:t>Series A</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24"/>
        </w:trPr>
        <w:tc>
          <w:tcPr>
            <w:tcW w:w="740" w:type="dxa"/>
            <w:vAlign w:val="bottom"/>
          </w:tcPr>
          <w:p>
            <w:pPr>
              <w:ind w:left="60"/>
              <w:spacing w:after="0" w:line="124" w:lineRule="exact"/>
              <w:rPr>
                <w:sz w:val="20"/>
                <w:szCs w:val="20"/>
                <w:color w:val="auto"/>
              </w:rPr>
            </w:pPr>
            <w:r>
              <w:rPr>
                <w:rFonts w:ascii="Arial" w:cs="Arial" w:eastAsia="Arial" w:hAnsi="Arial"/>
                <w:sz w:val="13"/>
                <w:szCs w:val="13"/>
                <w:color w:val="0000FF"/>
              </w:rPr>
              <w:t>Convertible</w:t>
            </w:r>
          </w:p>
        </w:tc>
        <w:tc>
          <w:tcPr>
            <w:tcW w:w="760" w:type="dxa"/>
            <w:vAlign w:val="bottom"/>
          </w:tcPr>
          <w:p>
            <w:pPr>
              <w:ind w:left="320"/>
              <w:spacing w:after="0" w:line="124" w:lineRule="exact"/>
              <w:rPr>
                <w:sz w:val="20"/>
                <w:szCs w:val="20"/>
                <w:color w:val="auto"/>
              </w:rPr>
            </w:pPr>
            <w:r>
              <w:rPr>
                <w:rFonts w:ascii="Arial" w:cs="Arial" w:eastAsia="Arial" w:hAnsi="Arial"/>
                <w:sz w:val="11"/>
                <w:szCs w:val="11"/>
                <w:color w:val="008000"/>
              </w:rPr>
              <w:t>(1)</w:t>
            </w:r>
          </w:p>
        </w:tc>
        <w:tc>
          <w:tcPr>
            <w:tcW w:w="1080" w:type="dxa"/>
            <w:vAlign w:val="bottom"/>
            <w:vMerge w:val="restart"/>
          </w:tcPr>
          <w:p>
            <w:pPr>
              <w:jc w:val="right"/>
              <w:ind w:right="181"/>
              <w:spacing w:after="0"/>
              <w:rPr>
                <w:sz w:val="20"/>
                <w:szCs w:val="20"/>
                <w:color w:val="auto"/>
              </w:rPr>
            </w:pPr>
            <w:r>
              <w:rPr>
                <w:rFonts w:ascii="Arial" w:cs="Arial" w:eastAsia="Arial" w:hAnsi="Arial"/>
                <w:sz w:val="13"/>
                <w:szCs w:val="13"/>
                <w:color w:val="0000FF"/>
              </w:rPr>
              <w:t>01/12/2016</w:t>
            </w:r>
          </w:p>
        </w:tc>
        <w:tc>
          <w:tcPr>
            <w:tcW w:w="1060" w:type="dxa"/>
            <w:vAlign w:val="bottom"/>
          </w:tcPr>
          <w:p>
            <w:pPr>
              <w:spacing w:after="0"/>
              <w:rPr>
                <w:sz w:val="10"/>
                <w:szCs w:val="10"/>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17,492,711</w:t>
            </w:r>
          </w:p>
        </w:tc>
        <w:tc>
          <w:tcPr>
            <w:tcW w:w="220" w:type="dxa"/>
            <w:vAlign w:val="bottom"/>
          </w:tcPr>
          <w:p>
            <w:pPr>
              <w:spacing w:after="0"/>
              <w:rPr>
                <w:sz w:val="10"/>
                <w:szCs w:val="10"/>
                <w:color w:val="auto"/>
              </w:rPr>
            </w:pPr>
          </w:p>
        </w:tc>
        <w:tc>
          <w:tcPr>
            <w:tcW w:w="780" w:type="dxa"/>
            <w:vAlign w:val="bottom"/>
          </w:tcPr>
          <w:p>
            <w:pPr>
              <w:ind w:left="340"/>
              <w:spacing w:after="0" w:line="124" w:lineRule="exact"/>
              <w:rPr>
                <w:sz w:val="20"/>
                <w:szCs w:val="20"/>
                <w:color w:val="auto"/>
              </w:rPr>
            </w:pPr>
            <w:r>
              <w:rPr>
                <w:rFonts w:ascii="Arial" w:cs="Arial" w:eastAsia="Arial" w:hAnsi="Arial"/>
                <w:sz w:val="11"/>
                <w:szCs w:val="11"/>
                <w:color w:val="008000"/>
              </w:rPr>
              <w:t>(1)</w:t>
            </w:r>
          </w:p>
        </w:tc>
        <w:tc>
          <w:tcPr>
            <w:tcW w:w="700" w:type="dxa"/>
            <w:vAlign w:val="bottom"/>
          </w:tcPr>
          <w:p>
            <w:pPr>
              <w:jc w:val="right"/>
              <w:ind w:right="224"/>
              <w:spacing w:after="0" w:line="124" w:lineRule="exact"/>
              <w:rPr>
                <w:sz w:val="20"/>
                <w:szCs w:val="20"/>
                <w:color w:val="auto"/>
              </w:rPr>
            </w:pPr>
            <w:r>
              <w:rPr>
                <w:rFonts w:ascii="Arial" w:cs="Arial" w:eastAsia="Arial" w:hAnsi="Arial"/>
                <w:sz w:val="11"/>
                <w:szCs w:val="11"/>
                <w:color w:val="008000"/>
              </w:rPr>
              <w:t>(2)</w:t>
            </w:r>
          </w:p>
        </w:tc>
        <w:tc>
          <w:tcPr>
            <w:tcW w:w="620" w:type="dxa"/>
            <w:vAlign w:val="bottom"/>
          </w:tcPr>
          <w:p>
            <w:pPr>
              <w:ind w:left="80"/>
              <w:spacing w:after="0" w:line="124" w:lineRule="exact"/>
              <w:rPr>
                <w:sz w:val="20"/>
                <w:szCs w:val="20"/>
                <w:color w:val="auto"/>
              </w:rPr>
            </w:pPr>
            <w:r>
              <w:rPr>
                <w:rFonts w:ascii="Arial" w:cs="Arial" w:eastAsia="Arial" w:hAnsi="Arial"/>
                <w:sz w:val="13"/>
                <w:szCs w:val="13"/>
                <w:color w:val="0000FF"/>
                <w:w w:val="98"/>
              </w:rPr>
              <w:t>Common</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w w:val="91"/>
              </w:rPr>
              <w:t>17,492,711</w:t>
            </w: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26.25</w:t>
            </w:r>
          </w:p>
        </w:tc>
        <w:tc>
          <w:tcPr>
            <w:tcW w:w="920" w:type="dxa"/>
            <w:vAlign w:val="bottom"/>
            <w:vMerge w:val="restart"/>
          </w:tcPr>
          <w:p>
            <w:pPr>
              <w:ind w:left="180"/>
              <w:spacing w:after="0"/>
              <w:rPr>
                <w:sz w:val="20"/>
                <w:szCs w:val="20"/>
                <w:color w:val="auto"/>
              </w:rPr>
            </w:pPr>
            <w:r>
              <w:rPr>
                <w:rFonts w:ascii="Arial" w:cs="Arial" w:eastAsia="Arial" w:hAnsi="Arial"/>
                <w:sz w:val="13"/>
                <w:szCs w:val="13"/>
                <w:color w:val="0000FF"/>
              </w:rPr>
              <w:t>17,492,711</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40" w:type="dxa"/>
            <w:vAlign w:val="bottom"/>
          </w:tcPr>
          <w:p>
            <w:pPr>
              <w:ind w:left="60"/>
              <w:spacing w:after="0"/>
              <w:rPr>
                <w:sz w:val="20"/>
                <w:szCs w:val="20"/>
                <w:color w:val="auto"/>
              </w:rPr>
            </w:pPr>
            <w:r>
              <w:rPr>
                <w:rFonts w:ascii="Arial" w:cs="Arial" w:eastAsia="Arial" w:hAnsi="Arial"/>
                <w:sz w:val="13"/>
                <w:szCs w:val="13"/>
                <w:color w:val="0000FF"/>
              </w:rPr>
              <w:t>Preferred</w:t>
            </w:r>
          </w:p>
        </w:tc>
        <w:tc>
          <w:tcPr>
            <w:tcW w:w="7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Units</w:t>
            </w:r>
          </w:p>
        </w:tc>
        <w:tc>
          <w:tcPr>
            <w:tcW w:w="8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40" w:type="dxa"/>
            <w:vAlign w:val="bottom"/>
          </w:tcPr>
          <w:p>
            <w:pPr>
              <w:ind w:left="80"/>
              <w:spacing w:after="0" w:line="167" w:lineRule="exact"/>
              <w:rPr>
                <w:sz w:val="20"/>
                <w:szCs w:val="20"/>
                <w:color w:val="auto"/>
              </w:rPr>
            </w:pPr>
            <w:r>
              <w:rPr>
                <w:rFonts w:ascii="Arial" w:cs="Arial" w:eastAsia="Arial" w:hAnsi="Arial"/>
                <w:sz w:val="12"/>
                <w:szCs w:val="12"/>
                <w:color w:val="0000FF"/>
              </w:rPr>
              <w:t>footnote</w:t>
            </w:r>
            <w:r>
              <w:rPr>
                <w:rFonts w:ascii="Arial" w:cs="Arial" w:eastAsia="Arial" w:hAnsi="Arial"/>
                <w:sz w:val="19"/>
                <w:szCs w:val="19"/>
                <w:color w:val="008000"/>
                <w:vertAlign w:val="superscript"/>
              </w:rPr>
              <w:t>(3)</w:t>
            </w: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p>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40" w:firstLine="1"/>
        <w:spacing w:after="0" w:line="234"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12, 2016, the Issuer entered into a Series A Preferred Unit Purchase Agreement with EMG Fund IV PAA Holdings, LLC and the other purchasers party thereto (the "Purchasers"), whereby the Purchasers agreed to purchase Series A Convertible Preferred Units representing limited partner interests in the Issuer (the "Preferred Units"). The Preferred Units will be issued upon closing, which is expected to occur on January 28, 2016. The Preferred Units are convertible on a one-for-one basis (subject to customary anti-dilution adjustments) (i) by the holders of such Preferred Units after the second anniversary of the issue date, and (ii) by the Issuer after the third anniversary of the issue date.</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Preferred Units are perpetual in nature and have no expiration date.</w:t>
      </w:r>
    </w:p>
    <w:p>
      <w:pPr>
        <w:spacing w:after="0" w:line="42" w:lineRule="exact"/>
        <w:rPr>
          <w:rFonts w:ascii="Arial" w:cs="Arial" w:eastAsia="Arial" w:hAnsi="Arial"/>
          <w:sz w:val="13"/>
          <w:szCs w:val="13"/>
          <w:color w:val="008000"/>
        </w:rPr>
      </w:pPr>
    </w:p>
    <w:p>
      <w:pPr>
        <w:ind w:left="40" w:right="40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indirectly owns the Preferred Units through his ownership of EMG Fund IV PAA Holdings, LLC ("EMG"). The Reporting Person is the sole member of EMG Fund IV Management, LLC, the general partner of EMG Fund IV Management, LP, which is the manager of EMG, and therefore he may be deemed to be the beneficial owner of the interests held by EMG. The Reporting Person disclaims beneficial ownership of the securities held by EMG except to the extent of his pecuniary interest therein, which interest is a significant pecuniary interest.</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80" w:type="dxa"/>
            <w:vAlign w:val="bottom"/>
          </w:tcPr>
          <w:p>
            <w:pPr>
              <w:spacing w:after="0"/>
              <w:rPr>
                <w:sz w:val="20"/>
                <w:szCs w:val="20"/>
                <w:color w:val="auto"/>
              </w:rPr>
            </w:pPr>
            <w:r>
              <w:rPr>
                <w:rFonts w:ascii="Arial" w:cs="Arial" w:eastAsia="Arial" w:hAnsi="Arial"/>
                <w:sz w:val="17"/>
                <w:szCs w:val="17"/>
                <w:color w:val="0000FF"/>
                <w:w w:val="86"/>
              </w:rPr>
              <w:t>/s/ John T. Raymond</w:t>
            </w:r>
          </w:p>
        </w:tc>
        <w:tc>
          <w:tcPr>
            <w:tcW w:w="700" w:type="dxa"/>
            <w:vAlign w:val="bottom"/>
          </w:tcPr>
          <w:p>
            <w:pPr>
              <w:spacing w:after="0"/>
              <w:rPr>
                <w:sz w:val="16"/>
                <w:szCs w:val="16"/>
                <w:color w:val="auto"/>
              </w:rPr>
            </w:pPr>
          </w:p>
        </w:tc>
        <w:tc>
          <w:tcPr>
            <w:tcW w:w="960" w:type="dxa"/>
            <w:vAlign w:val="bottom"/>
            <w:gridSpan w:val="2"/>
          </w:tcPr>
          <w:p>
            <w:pPr>
              <w:ind w:left="220"/>
              <w:spacing w:after="0"/>
              <w:rPr>
                <w:sz w:val="20"/>
                <w:szCs w:val="20"/>
                <w:color w:val="auto"/>
              </w:rPr>
            </w:pPr>
            <w:r>
              <w:rPr>
                <w:rFonts w:ascii="Arial" w:cs="Arial" w:eastAsia="Arial" w:hAnsi="Arial"/>
                <w:sz w:val="17"/>
                <w:szCs w:val="17"/>
                <w:color w:val="0000FF"/>
                <w:w w:val="84"/>
              </w:rPr>
              <w:t>01/14/2016</w:t>
            </w:r>
          </w:p>
        </w:tc>
      </w:tr>
      <w:tr>
        <w:trPr>
          <w:trHeight w:val="20"/>
        </w:trPr>
        <w:tc>
          <w:tcPr>
            <w:tcW w:w="1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410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173"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2020-01-19T05:23:56Z</dcterms:created>
  <dcterms:modified xsi:type="dcterms:W3CDTF">2020-01-19T05:23:56Z</dcterms:modified>
</cp:coreProperties>
</file>