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28,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30" w:right="339" w:bottom="144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80" w:space="720"/>
            <w:col w:w="2740" w:space="720"/>
            <w:col w:w="3080"/>
          </w:cols>
          <w:pgMar w:left="320" w:top="1030"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34"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1030" w:right="339" w:bottom="1440" w:gutter="0" w:footer="0" w:header="0"/>
          <w:type w:val="continuous"/>
        </w:sectPr>
      </w:pP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780" w:firstLine="8"/>
        <w:spacing w:after="0" w:line="498"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4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will meet with investors and members of the financial community on March 1-2, 2023 at the Morgan Stanley Global Energy &amp; Power Conference to be held in New York, New York. In conjunction with the event, Plains intends to publish to its website updated presentation materials covering topics including an industry overview, PAA’s commercial and operating activities, financial positioning, forward outlook and other related matters. The presentation materials will be made available for viewing on Wednesday, March 1, 2023,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2023-03-01T02:06:44Z</dcterms:created>
  <dcterms:modified xsi:type="dcterms:W3CDTF">2023-03-01T02:06:44Z</dcterms:modified>
</cp:coreProperties>
</file>