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5400040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13970</wp:posOffset>
            </wp:positionV>
            <wp:extent cx="7279640" cy="940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9403080"/>
                    </a:xfrm>
                    <a:prstGeom prst="rect">
                      <a:avLst/>
                    </a:prstGeom>
                    <a:noFill/>
                  </pic:spPr>
                </pic:pic>
              </a:graphicData>
            </a:graphic>
          </wp:anchor>
        </w:drawing>
      </w:r>
    </w:p>
    <w:p>
      <w:pPr>
        <w:spacing w:after="0" w:line="88" w:lineRule="exact"/>
        <w:rPr>
          <w:sz w:val="24"/>
          <w:szCs w:val="24"/>
          <w:color w:val="auto"/>
        </w:rPr>
      </w:pPr>
    </w:p>
    <w:p>
      <w:pPr>
        <w:sectPr>
          <w:pgSz w:w="11900" w:h="16899" w:orient="portrait"/>
          <w:cols w:equalWidth="0" w:num="2">
            <w:col w:w="2240" w:space="560"/>
            <w:col w:w="8720"/>
          </w:cols>
          <w:pgMar w:left="240" w:top="220"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(QP), L.P.</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3800" w:type="dxa"/>
            <w:vAlign w:val="bottom"/>
            <w:gridSpan w:val="3"/>
          </w:tcPr>
          <w:p>
            <w:pPr>
              <w:ind w:left="20"/>
              <w:spacing w:after="0"/>
              <w:rPr>
                <w:sz w:val="20"/>
                <w:szCs w:val="20"/>
                <w:color w:val="auto"/>
              </w:rPr>
            </w:pPr>
            <w:r>
              <w:rPr>
                <w:rFonts w:ascii="Arial" w:cs="Arial" w:eastAsia="Arial" w:hAnsi="Arial"/>
                <w:sz w:val="17"/>
                <w:szCs w:val="17"/>
                <w:color w:val="0000FF"/>
              </w:rPr>
              <w:t>1800 AVENUE OF THE STARS, SUITE 300</w:t>
            </w:r>
          </w:p>
        </w:tc>
      </w:tr>
      <w:tr>
        <w:trPr>
          <w:trHeight w:val="198"/>
        </w:trPr>
        <w:tc>
          <w:tcPr>
            <w:tcW w:w="20" w:type="dxa"/>
            <w:vAlign w:val="bottom"/>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w w:val="97"/>
              </w:rPr>
              <w:t>LOS ANGELES</w:t>
            </w:r>
          </w:p>
        </w:tc>
        <w:tc>
          <w:tcPr>
            <w:tcW w:w="920" w:type="dxa"/>
            <w:vAlign w:val="bottom"/>
          </w:tcPr>
          <w:p>
            <w:pPr>
              <w:ind w:left="10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90067</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980" w:type="dxa"/>
            <w:vAlign w:val="bottom"/>
            <w:gridSpan w:val="3"/>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3980" w:type="dxa"/>
            <w:vAlign w:val="bottom"/>
            <w:gridSpan w:val="3"/>
          </w:tcPr>
          <w:p>
            <w:pPr>
              <w:spacing w:after="0"/>
              <w:rPr>
                <w:sz w:val="3"/>
                <w:szCs w:val="3"/>
                <w:color w:val="auto"/>
              </w:rPr>
            </w:pPr>
          </w:p>
        </w:tc>
        <w:tc>
          <w:tcPr>
            <w:tcW w:w="500" w:type="dxa"/>
            <w:vAlign w:val="bottom"/>
            <w:vMerge w:val="restart"/>
          </w:tcPr>
          <w:p>
            <w:pPr>
              <w:ind w:left="260"/>
              <w:spacing w:after="0" w:line="52" w:lineRule="exact"/>
              <w:rPr>
                <w:sz w:val="20"/>
                <w:szCs w:val="20"/>
                <w:color w:val="auto"/>
              </w:rPr>
            </w:pPr>
            <w:r>
              <w:rPr>
                <w:rFonts w:ascii="Arial" w:cs="Arial" w:eastAsia="Arial" w:hAnsi="Arial"/>
                <w:sz w:val="5"/>
                <w:szCs w:val="5"/>
                <w:color w:val="0000FF"/>
              </w:rPr>
              <w:t>X</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52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4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26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gridSpan w:val="2"/>
          </w:tcPr>
          <w:p>
            <w:pPr>
              <w:ind w:left="20"/>
              <w:spacing w:after="0" w:line="183" w:lineRule="exact"/>
              <w:rPr>
                <w:sz w:val="20"/>
                <w:szCs w:val="20"/>
                <w:color w:val="auto"/>
              </w:rPr>
            </w:pPr>
            <w:r>
              <w:rPr>
                <w:rFonts w:ascii="Arial" w:cs="Arial" w:eastAsia="Arial" w:hAnsi="Arial"/>
                <w:sz w:val="17"/>
                <w:szCs w:val="17"/>
                <w:color w:val="0000FF"/>
                <w:w w:val="88"/>
              </w:rPr>
              <w:t>See Remaks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80" w:type="dxa"/>
            <w:vAlign w:val="bottom"/>
            <w:gridSpan w:val="2"/>
          </w:tcPr>
          <w:p>
            <w:pPr>
              <w:ind w:left="60"/>
              <w:spacing w:after="0"/>
              <w:rPr>
                <w:sz w:val="20"/>
                <w:szCs w:val="20"/>
                <w:color w:val="auto"/>
              </w:rPr>
            </w:pPr>
            <w:r>
              <w:rPr>
                <w:rFonts w:ascii="Arial" w:cs="Arial" w:eastAsia="Arial" w:hAnsi="Arial"/>
                <w:sz w:val="17"/>
                <w:szCs w:val="17"/>
                <w:color w:val="0000FF"/>
              </w:rPr>
              <w:t>11/30/2017</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Borders>
              <w:bottom w:val="single" w:sz="8" w:color="2C2C2C"/>
            </w:tcBorders>
          </w:tcPr>
          <w:p>
            <w:pPr>
              <w:spacing w:after="0"/>
              <w:rPr>
                <w:sz w:val="18"/>
                <w:szCs w:val="18"/>
                <w:color w:val="auto"/>
              </w:rPr>
            </w:pPr>
          </w:p>
        </w:tc>
        <w:tc>
          <w:tcPr>
            <w:tcW w:w="35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5"/>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5"/>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354" w:lineRule="exact"/>
        <w:rPr>
          <w:sz w:val="20"/>
          <w:szCs w:val="20"/>
          <w:color w:val="auto"/>
        </w:rPr>
      </w:pPr>
    </w:p>
    <w:p>
      <w:pPr>
        <w:sectPr>
          <w:pgSz w:w="11900" w:h="16899" w:orient="portrait"/>
          <w:cols w:equalWidth="0" w:num="2">
            <w:col w:w="3900" w:space="100"/>
            <w:col w:w="7520"/>
          </w:cols>
          <w:pgMar w:left="240" w:top="220"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60" w:type="dxa"/>
            <w:vAlign w:val="bottom"/>
            <w:gridSpan w:val="2"/>
          </w:tcPr>
          <w:p>
            <w:pPr>
              <w:ind w:left="3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1260" w:type="dxa"/>
            <w:vAlign w:val="bottom"/>
            <w:gridSpan w:val="2"/>
          </w:tcPr>
          <w:p>
            <w:pPr>
              <w:ind w:left="32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1260" w:type="dxa"/>
            <w:vAlign w:val="bottom"/>
            <w:gridSpan w:val="2"/>
          </w:tcPr>
          <w:p>
            <w:pPr>
              <w:ind w:left="3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 Following    (I) (Instr. 4)</w:t>
            </w:r>
          </w:p>
        </w:tc>
        <w:tc>
          <w:tcPr>
            <w:tcW w:w="340" w:type="dxa"/>
            <w:vAlign w:val="bottom"/>
          </w:tcPr>
          <w:p>
            <w:pPr>
              <w:spacing w:after="0"/>
              <w:rPr>
                <w:sz w:val="11"/>
                <w:szCs w:val="11"/>
                <w:color w:val="auto"/>
              </w:rPr>
            </w:pP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2"/>
            <w:vMerge w:val="restart"/>
          </w:tcPr>
          <w:p>
            <w:pPr>
              <w:ind w:left="780"/>
              <w:spacing w:after="0"/>
              <w:rPr>
                <w:sz w:val="20"/>
                <w:szCs w:val="20"/>
                <w:color w:val="auto"/>
              </w:rPr>
            </w:pPr>
            <w:r>
              <w:rPr>
                <w:rFonts w:ascii="Arial" w:cs="Arial" w:eastAsia="Arial" w:hAnsi="Arial"/>
                <w:sz w:val="17"/>
                <w:szCs w:val="17"/>
                <w:color w:val="0000FF"/>
              </w:rPr>
              <w:t>11/30/2017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0000FF"/>
                <w:w w:val="87"/>
              </w:rPr>
              <w:t>1,864,218</w:t>
            </w:r>
          </w:p>
        </w:tc>
        <w:tc>
          <w:tcPr>
            <w:tcW w:w="58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w w:val="97"/>
              </w:rPr>
              <w:t>1,864,218</w:t>
            </w:r>
          </w:p>
        </w:tc>
        <w:tc>
          <w:tcPr>
            <w:tcW w:w="920" w:type="dxa"/>
            <w:vAlign w:val="bottom"/>
            <w:vMerge w:val="restart"/>
          </w:tcPr>
          <w:p>
            <w:pPr>
              <w:ind w:left="700"/>
              <w:spacing w:after="0"/>
              <w:rPr>
                <w:sz w:val="20"/>
                <w:szCs w:val="20"/>
                <w:color w:val="auto"/>
              </w:rPr>
            </w:pPr>
            <w:r>
              <w:rPr>
                <w:rFonts w:ascii="Arial" w:cs="Arial" w:eastAsia="Arial" w:hAnsi="Arial"/>
                <w:sz w:val="17"/>
                <w:szCs w:val="17"/>
                <w:color w:val="0000FF"/>
              </w:rPr>
              <w:t>I</w:t>
            </w:r>
          </w:p>
        </w:tc>
        <w:tc>
          <w:tcPr>
            <w:tcW w:w="34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gridSpan w:val="3"/>
            <w:vMerge w:val="restart"/>
          </w:tcPr>
          <w:p>
            <w:pPr>
              <w:ind w:left="20"/>
              <w:spacing w:after="0" w:line="264" w:lineRule="exact"/>
              <w:rPr>
                <w:sz w:val="20"/>
                <w:szCs w:val="20"/>
                <w:color w:val="auto"/>
              </w:rPr>
            </w:pPr>
            <w:r>
              <w:rPr>
                <w:rFonts w:ascii="Arial" w:cs="Arial" w:eastAsia="Arial" w:hAnsi="Arial"/>
                <w:sz w:val="30"/>
                <w:szCs w:val="30"/>
                <w:color w:val="0000FF"/>
                <w:w w:val="95"/>
                <w:vertAlign w:val="subscript"/>
              </w:rPr>
              <w:t>footnotes</w:t>
            </w:r>
            <w:r>
              <w:rPr>
                <w:rFonts w:ascii="Arial" w:cs="Arial" w:eastAsia="Arial" w:hAnsi="Arial"/>
                <w:sz w:val="10"/>
                <w:szCs w:val="10"/>
                <w:color w:val="008000"/>
                <w:w w:val="95"/>
              </w:rPr>
              <w:t>(1)(2)(3)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700" w:type="dxa"/>
            <w:vAlign w:val="bottom"/>
            <w:tcBorders>
              <w:top w:val="single" w:sz="8" w:color="2C2C2C"/>
            </w:tcBorders>
            <w:gridSpan w:val="2"/>
            <w:vMerge w:val="restart"/>
          </w:tcPr>
          <w:p>
            <w:pPr>
              <w:ind w:left="780"/>
              <w:spacing w:after="0"/>
              <w:rPr>
                <w:sz w:val="20"/>
                <w:szCs w:val="20"/>
                <w:color w:val="auto"/>
              </w:rPr>
            </w:pPr>
            <w:r>
              <w:rPr>
                <w:rFonts w:ascii="Arial" w:cs="Arial" w:eastAsia="Arial" w:hAnsi="Arial"/>
                <w:sz w:val="17"/>
                <w:szCs w:val="17"/>
                <w:color w:val="0000FF"/>
              </w:rPr>
              <w:t>11/30/2017</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87"/>
              </w:rPr>
              <w:t>1,864,218</w:t>
            </w:r>
          </w:p>
        </w:tc>
        <w:tc>
          <w:tcPr>
            <w:tcW w:w="5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right"/>
              <w:ind w:right="215"/>
              <w:spacing w:after="0"/>
              <w:rPr>
                <w:sz w:val="20"/>
                <w:szCs w:val="20"/>
                <w:color w:val="auto"/>
              </w:rPr>
            </w:pPr>
            <w:r>
              <w:rPr>
                <w:rFonts w:ascii="Arial" w:cs="Arial" w:eastAsia="Arial" w:hAnsi="Arial"/>
                <w:sz w:val="17"/>
                <w:szCs w:val="17"/>
                <w:color w:val="0000FF"/>
              </w:rPr>
              <w:t>0</w:t>
            </w:r>
          </w:p>
        </w:tc>
        <w:tc>
          <w:tcPr>
            <w:tcW w:w="920" w:type="dxa"/>
            <w:vAlign w:val="bottom"/>
            <w:tcBorders>
              <w:top w:val="single" w:sz="8" w:color="2C2C2C"/>
            </w:tcBorders>
            <w:vMerge w:val="restart"/>
          </w:tcPr>
          <w:p>
            <w:pPr>
              <w:ind w:left="70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2"/>
              </w:rPr>
              <w:t>See</w:t>
            </w:r>
          </w:p>
        </w:tc>
        <w:tc>
          <w:tcPr>
            <w:tcW w:w="76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gridSpan w:val="3"/>
            <w:vMerge w:val="restart"/>
          </w:tcPr>
          <w:p>
            <w:pPr>
              <w:ind w:left="20"/>
              <w:spacing w:after="0" w:line="264" w:lineRule="exact"/>
              <w:rPr>
                <w:sz w:val="20"/>
                <w:szCs w:val="20"/>
                <w:color w:val="auto"/>
              </w:rPr>
            </w:pPr>
            <w:r>
              <w:rPr>
                <w:rFonts w:ascii="Arial" w:cs="Arial" w:eastAsia="Arial" w:hAnsi="Arial"/>
                <w:sz w:val="30"/>
                <w:szCs w:val="30"/>
                <w:color w:val="0000FF"/>
                <w:w w:val="95"/>
                <w:vertAlign w:val="subscript"/>
              </w:rPr>
              <w:t>footnotes</w:t>
            </w:r>
            <w:r>
              <w:rPr>
                <w:rFonts w:ascii="Arial" w:cs="Arial" w:eastAsia="Arial" w:hAnsi="Arial"/>
                <w:sz w:val="10"/>
                <w:szCs w:val="10"/>
                <w:color w:val="008000"/>
                <w:w w:val="95"/>
              </w:rPr>
              <w:t>(1)(2)(3)</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40" w:type="dxa"/>
            <w:vAlign w:val="bottom"/>
            <w:gridSpan w:val="12"/>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gridSpan w:val="10"/>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3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1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1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or 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3"/>
          </w:tcPr>
          <w:p>
            <w:pPr>
              <w:ind w:left="60"/>
              <w:spacing w:after="0" w:line="124" w:lineRule="exact"/>
              <w:rPr>
                <w:sz w:val="20"/>
                <w:szCs w:val="20"/>
                <w:color w:val="auto"/>
              </w:rPr>
            </w:pPr>
            <w:r>
              <w:rPr>
                <w:rFonts w:ascii="Arial" w:cs="Arial" w:eastAsia="Arial" w:hAnsi="Arial"/>
                <w:sz w:val="13"/>
                <w:szCs w:val="13"/>
                <w:color w:val="0000FF"/>
                <w:w w:val="90"/>
              </w:rPr>
              <w:t>Shares/Class</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gridSpan w:val="4"/>
            <w:vMerge w:val="restart"/>
          </w:tcPr>
          <w:p>
            <w:pPr>
              <w:ind w:left="280"/>
              <w:spacing w:after="0"/>
              <w:rPr>
                <w:sz w:val="20"/>
                <w:szCs w:val="20"/>
                <w:color w:val="auto"/>
              </w:rPr>
            </w:pPr>
            <w:r>
              <w:rPr>
                <w:rFonts w:ascii="Arial" w:cs="Arial" w:eastAsia="Arial" w:hAnsi="Arial"/>
                <w:sz w:val="13"/>
                <w:szCs w:val="13"/>
                <w:color w:val="0000FF"/>
              </w:rPr>
              <w:t>11/30/2017</w:t>
            </w:r>
          </w:p>
        </w:tc>
        <w:tc>
          <w:tcPr>
            <w:tcW w:w="1080" w:type="dxa"/>
            <w:vAlign w:val="bottom"/>
          </w:tcPr>
          <w:p>
            <w:pPr>
              <w:spacing w:after="0"/>
              <w:rPr>
                <w:sz w:val="10"/>
                <w:szCs w:val="10"/>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ind w:left="320"/>
              <w:spacing w:after="0"/>
              <w:rPr>
                <w:sz w:val="20"/>
                <w:szCs w:val="20"/>
                <w:color w:val="auto"/>
              </w:rPr>
            </w:pPr>
            <w:r>
              <w:rPr>
                <w:rFonts w:ascii="Arial" w:cs="Arial" w:eastAsia="Arial" w:hAnsi="Arial"/>
                <w:sz w:val="13"/>
                <w:szCs w:val="13"/>
                <w:color w:val="0000FF"/>
                <w:w w:val="86"/>
              </w:rPr>
              <w:t>1,864,218</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580" w:type="dxa"/>
            <w:vAlign w:val="bottom"/>
          </w:tcPr>
          <w:p>
            <w:pPr>
              <w:ind w:left="40"/>
              <w:spacing w:after="0" w:line="124" w:lineRule="exact"/>
              <w:rPr>
                <w:sz w:val="20"/>
                <w:szCs w:val="20"/>
                <w:color w:val="auto"/>
              </w:rPr>
            </w:pPr>
            <w:r>
              <w:rPr>
                <w:rFonts w:ascii="Arial" w:cs="Arial" w:eastAsia="Arial" w:hAnsi="Arial"/>
                <w:sz w:val="13"/>
                <w:szCs w:val="13"/>
                <w:color w:val="0000FF"/>
                <w:w w:val="98"/>
              </w:rPr>
              <w:t>Common</w:t>
            </w:r>
          </w:p>
        </w:tc>
        <w:tc>
          <w:tcPr>
            <w:tcW w:w="7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2"/>
              </w:rPr>
              <w:t>1,864,218</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40"/>
              <w:spacing w:after="0"/>
              <w:rPr>
                <w:sz w:val="20"/>
                <w:szCs w:val="20"/>
                <w:color w:val="auto"/>
              </w:rPr>
            </w:pPr>
            <w:r>
              <w:rPr>
                <w:rFonts w:ascii="Arial" w:cs="Arial" w:eastAsia="Arial" w:hAnsi="Arial"/>
                <w:sz w:val="13"/>
                <w:szCs w:val="13"/>
                <w:color w:val="0000FF"/>
              </w:rPr>
              <w:t>19,140,963</w:t>
            </w:r>
            <w:r>
              <w:rPr>
                <w:rFonts w:ascii="Arial" w:cs="Arial" w:eastAsia="Arial" w:hAnsi="Arial"/>
                <w:sz w:val="21"/>
                <w:szCs w:val="21"/>
                <w:color w:val="008000"/>
                <w:vertAlign w:val="superscript"/>
              </w:rPr>
              <w:t>(4)</w:t>
            </w:r>
          </w:p>
        </w:tc>
        <w:tc>
          <w:tcPr>
            <w:tcW w:w="340" w:type="dxa"/>
            <w:vAlign w:val="bottom"/>
            <w:vMerge w:val="restart"/>
          </w:tcPr>
          <w:p>
            <w:pPr>
              <w:ind w:left="28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0000FF"/>
              </w:rPr>
              <w:t>Units</w:t>
            </w:r>
          </w:p>
        </w:tc>
        <w:tc>
          <w:tcPr>
            <w:tcW w:w="78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ind w:left="60"/>
              <w:spacing w:after="0" w:line="157"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6"/>
          </w:tcPr>
          <w:p>
            <w:pPr>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KAFU Holdings (QP), L.P.</w:t>
              </w:r>
            </w:hyperlink>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tcPr>
          <w:p>
            <w:pPr>
              <w:ind w:left="40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0" w:type="dxa"/>
            <w:vAlign w:val="bottom"/>
            <w:gridSpan w:val="7"/>
          </w:tcPr>
          <w:p>
            <w:pPr>
              <w:spacing w:after="0"/>
              <w:rPr>
                <w:sz w:val="20"/>
                <w:szCs w:val="20"/>
                <w:color w:val="auto"/>
              </w:rPr>
            </w:pPr>
            <w:r>
              <w:rPr>
                <w:rFonts w:ascii="Arial" w:cs="Arial" w:eastAsia="Arial" w:hAnsi="Arial"/>
                <w:sz w:val="17"/>
                <w:szCs w:val="17"/>
                <w:color w:val="0000FF"/>
              </w:rPr>
              <w:t>1800 AVENUE OF THE STARS, SUITE 300</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00" w:type="dxa"/>
            <w:vAlign w:val="bottom"/>
            <w:gridSpan w:val="4"/>
          </w:tcPr>
          <w:p>
            <w:pPr>
              <w:ind w:left="40"/>
              <w:spacing w:after="0"/>
              <w:rPr>
                <w:sz w:val="20"/>
                <w:szCs w:val="20"/>
                <w:color w:val="auto"/>
              </w:rPr>
            </w:pPr>
            <w:r>
              <w:rPr>
                <w:rFonts w:ascii="Arial" w:cs="Arial" w:eastAsia="Arial" w:hAnsi="Arial"/>
                <w:sz w:val="17"/>
                <w:szCs w:val="17"/>
                <w:color w:val="0000FF"/>
              </w:rPr>
              <w:t>CA</w:t>
            </w:r>
          </w:p>
        </w:tc>
        <w:tc>
          <w:tcPr>
            <w:tcW w:w="1080" w:type="dxa"/>
            <w:vAlign w:val="bottom"/>
          </w:tcPr>
          <w:p>
            <w:pPr>
              <w:ind w:left="400"/>
              <w:spacing w:after="0"/>
              <w:rPr>
                <w:sz w:val="20"/>
                <w:szCs w:val="20"/>
                <w:color w:val="auto"/>
              </w:rPr>
            </w:pPr>
            <w:r>
              <w:rPr>
                <w:rFonts w:ascii="Arial" w:cs="Arial" w:eastAsia="Arial" w:hAnsi="Arial"/>
                <w:sz w:val="17"/>
                <w:szCs w:val="17"/>
                <w:color w:val="0000FF"/>
              </w:rPr>
              <w:t>90067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tcPr>
          <w:p>
            <w:pPr>
              <w:ind w:left="40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6"/>
          </w:tcPr>
          <w:p>
            <w:pPr>
              <w:spacing w:after="0" w:line="212" w:lineRule="exact"/>
              <w:rPr>
                <w:rFonts w:ascii="Arial" w:cs="Arial" w:eastAsia="Arial" w:hAnsi="Arial"/>
                <w:sz w:val="20"/>
                <w:szCs w:val="20"/>
                <w:color w:val="0000EE"/>
              </w:rPr>
            </w:pPr>
            <w:hyperlink r:id="rId14">
              <w:r>
                <w:rPr>
                  <w:rFonts w:ascii="Arial" w:cs="Arial" w:eastAsia="Arial" w:hAnsi="Arial"/>
                  <w:sz w:val="20"/>
                  <w:szCs w:val="20"/>
                  <w:color w:val="0000EE"/>
                </w:rPr>
                <w:t>KAFU HOLDINGS, L.P.</w:t>
              </w:r>
            </w:hyperlink>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tcPr>
          <w:p>
            <w:pPr>
              <w:ind w:left="40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00" w:type="dxa"/>
            <w:vAlign w:val="bottom"/>
            <w:gridSpan w:val="4"/>
          </w:tcPr>
          <w:p>
            <w:pPr>
              <w:ind w:left="40"/>
              <w:spacing w:after="0"/>
              <w:rPr>
                <w:sz w:val="20"/>
                <w:szCs w:val="20"/>
                <w:color w:val="auto"/>
              </w:rPr>
            </w:pPr>
            <w:r>
              <w:rPr>
                <w:rFonts w:ascii="Arial" w:cs="Arial" w:eastAsia="Arial" w:hAnsi="Arial"/>
                <w:sz w:val="17"/>
                <w:szCs w:val="17"/>
                <w:color w:val="0000FF"/>
              </w:rPr>
              <w:t>CA</w:t>
            </w:r>
          </w:p>
        </w:tc>
        <w:tc>
          <w:tcPr>
            <w:tcW w:w="1080" w:type="dxa"/>
            <w:vAlign w:val="bottom"/>
          </w:tcPr>
          <w:p>
            <w:pPr>
              <w:ind w:left="400"/>
              <w:spacing w:after="0"/>
              <w:rPr>
                <w:sz w:val="20"/>
                <w:szCs w:val="20"/>
                <w:color w:val="auto"/>
              </w:rPr>
            </w:pPr>
            <w:r>
              <w:rPr>
                <w:rFonts w:ascii="Arial" w:cs="Arial" w:eastAsia="Arial" w:hAnsi="Arial"/>
                <w:sz w:val="17"/>
                <w:szCs w:val="17"/>
                <w:color w:val="0000FF"/>
              </w:rPr>
              <w:t>77002</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tcPr>
          <w:p>
            <w:pPr>
              <w:ind w:left="40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6"/>
          </w:tcPr>
          <w:p>
            <w:pPr>
              <w:spacing w:after="0" w:line="212" w:lineRule="exact"/>
              <w:rPr>
                <w:rFonts w:ascii="Arial" w:cs="Arial" w:eastAsia="Arial" w:hAnsi="Arial"/>
                <w:sz w:val="20"/>
                <w:szCs w:val="20"/>
                <w:color w:val="0000EE"/>
              </w:rPr>
            </w:pPr>
            <w:hyperlink r:id="rId15">
              <w:r>
                <w:rPr>
                  <w:rFonts w:ascii="Arial" w:cs="Arial" w:eastAsia="Arial" w:hAnsi="Arial"/>
                  <w:sz w:val="20"/>
                  <w:szCs w:val="20"/>
                  <w:color w:val="0000EE"/>
                </w:rPr>
                <w:t>KAFU Holdings II, L.P.</w:t>
              </w:r>
            </w:hyperlink>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tcPr>
          <w:p>
            <w:pPr>
              <w:ind w:left="40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-5671185</wp:posOffset>
            </wp:positionV>
            <wp:extent cx="24130" cy="1774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77419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1800 AVENUE OF THE STARS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3RD FLOOR</w:t>
      </w:r>
    </w:p>
    <w:p>
      <w:pPr>
        <w:sectPr>
          <w:pgSz w:w="11900" w:h="16899" w:orient="portrait"/>
          <w:cols w:equalWidth="0" w:num="1">
            <w:col w:w="11520"/>
          </w:cols>
          <w:pgMar w:left="240" w:top="220" w:right="139" w:bottom="0" w:gutter="0" w:footer="0" w:header="0"/>
          <w:type w:val="continuous"/>
        </w:sect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99" w:orient="portrait"/>
          <w:cols w:equalWidth="0" w:num="1">
            <w:col w:w="11520"/>
          </w:cols>
          <w:pgMar w:left="240" w:top="220" w:right="13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12"/>
        </w:trPr>
        <w:tc>
          <w:tcPr>
            <w:tcW w:w="1300" w:type="dxa"/>
            <w:vAlign w:val="bottom"/>
          </w:tcPr>
          <w:p>
            <w:pPr>
              <w:ind w:left="20"/>
              <w:spacing w:after="0"/>
              <w:rPr>
                <w:sz w:val="20"/>
                <w:szCs w:val="20"/>
                <w:color w:val="auto"/>
              </w:rPr>
            </w:pPr>
            <w:r>
              <w:rPr>
                <w:rFonts w:ascii="Arial" w:cs="Arial" w:eastAsia="Arial" w:hAnsi="Arial"/>
                <w:sz w:val="17"/>
                <w:szCs w:val="17"/>
                <w:color w:val="0000FF"/>
              </w:rPr>
              <w:t>LOS ANGELES</w:t>
            </w:r>
          </w:p>
        </w:tc>
        <w:tc>
          <w:tcPr>
            <w:tcW w:w="1100" w:type="dxa"/>
            <w:vAlign w:val="bottom"/>
          </w:tcPr>
          <w:p>
            <w:pPr>
              <w:ind w:left="18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90067</w:t>
            </w:r>
          </w:p>
        </w:tc>
      </w:tr>
      <w:tr>
        <w:trPr>
          <w:trHeight w:val="147"/>
        </w:trPr>
        <w:tc>
          <w:tcPr>
            <w:tcW w:w="1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3"/>
        </w:trPr>
        <w:tc>
          <w:tcPr>
            <w:tcW w:w="13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1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2923540" cy="514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3540" cy="5149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spacing w:after="0" w:line="257"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November 30, 2017, KAFU Holdings, L.P., KAFU Holdings II, L.P. and KAFU Holdings (QP), L.P. exercised the Redemption Right with respect to an aggregate 1,864,218 Class A Units.</w:t>
      </w:r>
    </w:p>
    <w:p>
      <w:pPr>
        <w:spacing w:after="0" w:line="20" w:lineRule="exact"/>
        <w:rPr>
          <w:rFonts w:ascii="Arial" w:cs="Arial" w:eastAsia="Arial" w:hAnsi="Arial"/>
          <w:sz w:val="12"/>
          <w:szCs w:val="12"/>
          <w:color w:val="008000"/>
        </w:rPr>
      </w:pPr>
    </w:p>
    <w:p>
      <w:pPr>
        <w:ind w:right="40"/>
        <w:spacing w:after="0" w:line="244"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own an equivalent number of Class A Units, Class B Shares and GP Units. KACALP is the manager of the general partner of KAFU and may be deemed to beneficially own the Class A Units, Class B Shares and GP Units held by KAFU.</w:t>
      </w:r>
    </w:p>
    <w:p>
      <w:pPr>
        <w:spacing w:after="0" w:line="27"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 KAFU Holdings II, L.P. and KAFU Holdings, L.P.</w:t>
      </w:r>
    </w:p>
    <w:p>
      <w:pPr>
        <w:spacing w:after="0" w:line="41" w:lineRule="exact"/>
        <w:rPr>
          <w:rFonts w:ascii="Arial" w:cs="Arial" w:eastAsia="Arial" w:hAnsi="Arial"/>
          <w:sz w:val="13"/>
          <w:szCs w:val="13"/>
          <w:color w:val="008000"/>
        </w:rPr>
      </w:pPr>
    </w:p>
    <w:p>
      <w:pPr>
        <w:ind w:right="100"/>
        <w:spacing w:after="0" w:line="281"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44,481 Class A Units, Class B Shares and GP Units were exchanged for a like number of PAGP Class A Shares. The number of derivative securities owned reflects both the redemption transaction reported herein and the simultaneous exchange transaction.</w:t>
      </w:r>
    </w:p>
    <w:p>
      <w:pPr>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0"/>
          <w:szCs w:val="20"/>
          <w:color w:val="auto"/>
        </w:rPr>
      </w:pPr>
    </w:p>
    <w:p>
      <w:pPr>
        <w:jc w:val="both"/>
        <w:ind w:right="260"/>
        <w:spacing w:after="0" w:line="236"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5"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12/04/2017</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960"/>
        <w:spacing w:after="0" w:line="329"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5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590015" TargetMode="External"/><Relationship Id="rId15"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2020-01-16T05:42:08Z</dcterms:created>
  <dcterms:modified xsi:type="dcterms:W3CDTF">2020-01-16T05:42:08Z</dcterms:modified>
</cp:coreProperties>
</file>