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58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and the accompanying base prospectus are not an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 permitted.</w:t>
            </w:r>
          </w:p>
        </w:tc>
      </w:tr>
      <w:tr>
        <w:trPr>
          <w:trHeight w:val="24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 or</w:t>
            </w:r>
          </w:p>
        </w:tc>
      </w:tr>
      <w:tr>
        <w:trPr>
          <w:trHeight w:val="281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 to buy these securities</w:t>
            </w:r>
          </w:p>
        </w:tc>
      </w:tr>
      <w:tr>
        <w:trPr>
          <w:trHeight w:val="4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are not</w:t>
            </w:r>
          </w:p>
        </w:tc>
      </w:tr>
      <w:tr>
        <w:trPr>
          <w:trHeight w:val="108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and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ind w:left="668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43" w:lineRule="exact"/>
        <w:rPr>
          <w:sz w:val="24"/>
          <w:szCs w:val="24"/>
          <w:color w:val="auto"/>
        </w:rPr>
      </w:pPr>
    </w:p>
    <w:p>
      <w:pPr>
        <w:ind w:left="7020"/>
        <w:spacing w:after="0"/>
        <w:rPr>
          <w:sz w:val="20"/>
          <w:szCs w:val="20"/>
          <w:color w:val="auto"/>
        </w:rPr>
      </w:pPr>
      <w:r>
        <w:rPr>
          <w:rFonts w:ascii="Times New Roman" w:cs="Times New Roman" w:eastAsia="Times New Roman" w:hAnsi="Times New Roman"/>
          <w:sz w:val="17"/>
          <w:szCs w:val="17"/>
          <w:b w:val="1"/>
          <w:bCs w:val="1"/>
          <w:color w:val="auto"/>
        </w:rPr>
        <w:t> Registration No. 333-281967​</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3, 2025</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6, 2024)</w:t>
      </w:r>
    </w:p>
    <w:p>
      <w:pPr>
        <w:spacing w:after="0" w:line="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84455</wp:posOffset>
            </wp:positionV>
            <wp:extent cx="123444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Plains All American Pipeline, L.P.</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PAA Finance Corp.</w:t>
      </w:r>
    </w:p>
    <w:p>
      <w:pPr>
        <w:spacing w:after="0" w:line="81" w:lineRule="exact"/>
        <w:rPr>
          <w:sz w:val="24"/>
          <w:szCs w:val="24"/>
          <w:color w:val="auto"/>
        </w:rPr>
      </w:pPr>
    </w:p>
    <w:p>
      <w:pPr>
        <w:ind w:left="2900" w:hanging="128"/>
        <w:spacing w:after="0"/>
        <w:tabs>
          <w:tab w:leader="none" w:pos="290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 Senior Notes due 2031</w:t>
      </w:r>
    </w:p>
    <w:p>
      <w:pPr>
        <w:spacing w:after="0" w:line="90" w:lineRule="exact"/>
        <w:rPr>
          <w:rFonts w:ascii="Times New Roman" w:cs="Times New Roman" w:eastAsia="Times New Roman" w:hAnsi="Times New Roman"/>
          <w:sz w:val="25"/>
          <w:szCs w:val="25"/>
          <w:b w:val="1"/>
          <w:bCs w:val="1"/>
          <w:color w:val="auto"/>
        </w:rPr>
      </w:pPr>
    </w:p>
    <w:p>
      <w:pPr>
        <w:ind w:left="2900" w:hanging="128"/>
        <w:spacing w:after="0"/>
        <w:tabs>
          <w:tab w:leader="none" w:pos="290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109855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0" w:lineRule="exact"/>
        <w:rPr>
          <w:sz w:val="24"/>
          <w:szCs w:val="24"/>
          <w:color w:val="auto"/>
        </w:rPr>
      </w:pPr>
    </w:p>
    <w:p>
      <w:pPr>
        <w:ind w:right="80" w:firstLine="360"/>
        <w:spacing w:after="0"/>
        <w:rPr>
          <w:sz w:val="20"/>
          <w:szCs w:val="20"/>
          <w:color w:val="auto"/>
        </w:rPr>
      </w:pPr>
      <w:r>
        <w:rPr>
          <w:rFonts w:ascii="Times New Roman" w:cs="Times New Roman" w:eastAsia="Times New Roman" w:hAnsi="Times New Roman"/>
          <w:sz w:val="18"/>
          <w:szCs w:val="18"/>
          <w:color w:val="auto"/>
        </w:rPr>
        <w:t>Plains All American Pipeline, L.P. and PAA Finance Corp. are offering $             aggregate principal amount of debt securities, consisting of $            aggregate principal amount of        % Senior Notes due 2031 (the “2031 Notes”) and $            aggregate principal amount of        % Senior Notes due 2036 (the “2036 Notes,” and together with the 2031 Notes, the “Notes”).</w:t>
      </w:r>
    </w:p>
    <w:p>
      <w:pPr>
        <w:spacing w:after="0" w:line="36" w:lineRule="exact"/>
        <w:rPr>
          <w:sz w:val="24"/>
          <w:szCs w:val="24"/>
          <w:color w:val="auto"/>
        </w:rPr>
      </w:pPr>
    </w:p>
    <w:p>
      <w:pPr>
        <w:ind w:right="140" w:firstLine="360"/>
        <w:spacing w:after="0" w:line="235" w:lineRule="auto"/>
        <w:rPr>
          <w:sz w:val="20"/>
          <w:szCs w:val="20"/>
          <w:color w:val="auto"/>
        </w:rPr>
      </w:pPr>
      <w:r>
        <w:rPr>
          <w:rFonts w:ascii="Times New Roman" w:cs="Times New Roman" w:eastAsia="Times New Roman" w:hAnsi="Times New Roman"/>
          <w:sz w:val="18"/>
          <w:szCs w:val="18"/>
          <w:color w:val="auto"/>
        </w:rPr>
        <w:t>We will pay interest on the 2031 Notes semi- annually in arrears on                     and                     of each year, beginning on                     , 2026. The 2031 Notes will mature on                     , 2031, unless redeemed prior to the maturity date. We will pay interest on the 2036 Notes semi- annually in arrears on                     and                     of each year, beginning on                     , 2026. The 2036 Notes will mature on                     , 2036, unless redeemed prior to the maturity date.</w:t>
      </w:r>
    </w:p>
    <w:p>
      <w:pPr>
        <w:spacing w:after="0" w:line="40" w:lineRule="exact"/>
        <w:rPr>
          <w:sz w:val="24"/>
          <w:szCs w:val="24"/>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We may, at our option, redeem the Notes of either series at any time in whole or from time to time in part, prior to maturity, at the redemption prices as described herein under “Description of Notes — Optional Redemption.”</w:t>
      </w:r>
    </w:p>
    <w:p>
      <w:pPr>
        <w:spacing w:after="0" w:line="1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Notes will be the unsecured senior obligations of Plains All American Pipeline, L.P. and PAA Finance Corp.</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will rank equally in right of payment with their other senior indebtedness from time to time outstanding.</w:t>
      </w:r>
    </w:p>
    <w:p>
      <w:pPr>
        <w:spacing w:after="0" w:line="43" w:lineRule="exact"/>
        <w:rPr>
          <w:sz w:val="24"/>
          <w:szCs w:val="24"/>
          <w:color w:val="auto"/>
        </w:rPr>
      </w:pPr>
    </w:p>
    <w:p>
      <w:pPr>
        <w:ind w:right="120" w:firstLine="360"/>
        <w:spacing w:after="0" w:line="250" w:lineRule="auto"/>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 market. We do not currently intend to apply for listing of either series of the Notes on any securities exchange or to have either series of the Notes quoted on any automated quotation system.</w:t>
      </w:r>
    </w:p>
    <w:p>
      <w:pPr>
        <w:spacing w:after="0" w:line="2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Investing in the Notes involves risks. See “Risk Factors” beginning on page </w:t>
      </w:r>
      <w:r>
        <w:rPr>
          <w:rFonts w:ascii="Times New Roman" w:cs="Times New Roman" w:eastAsia="Times New Roman" w:hAnsi="Times New Roman"/>
          <w:sz w:val="18"/>
          <w:szCs w:val="18"/>
          <w:b w:val="1"/>
          <w:bCs w:val="1"/>
          <w:u w:val="single" w:color="auto"/>
          <w:color w:val="0000EE"/>
        </w:rPr>
        <w:t>S-6</w:t>
      </w:r>
      <w:r>
        <w:rPr>
          <w:rFonts w:ascii="Times New Roman" w:cs="Times New Roman" w:eastAsia="Times New Roman" w:hAnsi="Times New Roman"/>
          <w:sz w:val="18"/>
          <w:szCs w:val="18"/>
          <w:b w:val="1"/>
          <w:bCs w:val="1"/>
          <w:color w:val="auto"/>
        </w:rPr>
        <w:t xml:space="preserve"> of this prospectus supplement.</w:t>
      </w:r>
    </w:p>
    <w:p>
      <w:pPr>
        <w:spacing w:after="0" w:line="67" w:lineRule="exact"/>
        <w:rPr>
          <w:sz w:val="24"/>
          <w:szCs w:val="24"/>
          <w:color w:val="auto"/>
        </w:rPr>
      </w:pPr>
    </w:p>
    <w:p>
      <w:pPr>
        <w:ind w:right="420" w:firstLine="360"/>
        <w:spacing w:after="0" w:line="242"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128270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Per 2031</w:t>
            </w:r>
          </w:p>
        </w:tc>
        <w:tc>
          <w:tcPr>
            <w:tcW w:w="2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Total 2031</w:t>
            </w: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2036</w:t>
            </w:r>
          </w:p>
        </w:tc>
        <w:tc>
          <w:tcPr>
            <w:tcW w:w="1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Total 2036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Notes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Notes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shd w:val="clear" w:color="auto" w:fill="CCEEFF"/>
          </w:tcPr>
          <w:p>
            <w:pPr>
              <w:spacing w:after="0"/>
              <w:rPr>
                <w:sz w:val="19"/>
                <w:szCs w:val="19"/>
                <w:color w:val="auto"/>
              </w:rPr>
            </w:pPr>
          </w:p>
        </w:tc>
        <w:tc>
          <w:tcPr>
            <w:tcW w:w="1800" w:type="dxa"/>
            <w:vAlign w:val="bottom"/>
            <w:vMerge w:val="restart"/>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5"/>
              </w:rPr>
              <w:t>      %</w:t>
            </w:r>
          </w:p>
        </w:tc>
        <w:tc>
          <w:tcPr>
            <w:tcW w:w="2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5"/>
              </w:rPr>
              <w:t>      %</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200" w:type="dxa"/>
            <w:vAlign w:val="bottom"/>
            <w:shd w:val="clear" w:color="auto" w:fill="CCEEFF"/>
          </w:tcPr>
          <w:p>
            <w:pPr>
              <w:spacing w:after="0"/>
              <w:rPr>
                <w:sz w:val="4"/>
                <w:szCs w:val="4"/>
                <w:color w:val="auto"/>
              </w:rPr>
            </w:pPr>
          </w:p>
        </w:tc>
        <w:tc>
          <w:tcPr>
            <w:tcW w:w="180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ind w:left="1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140" w:type="dxa"/>
            <w:vAlign w:val="bottom"/>
            <w:tcBorders>
              <w:right w:val="single" w:sz="8" w:color="CCEEFF"/>
            </w:tcBorders>
            <w:gridSpan w:val="3"/>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140" w:type="dxa"/>
            <w:vAlign w:val="bottom"/>
            <w:tcBorders>
              <w:right w:val="single" w:sz="8" w:color="CCEEFF"/>
            </w:tcBorders>
            <w:gridSpan w:val="3"/>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8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5210810</wp:posOffset>
            </wp:positionH>
            <wp:positionV relativeFrom="paragraph">
              <wp:posOffset>-513715</wp:posOffset>
            </wp:positionV>
            <wp:extent cx="137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-513715</wp:posOffset>
            </wp:positionV>
            <wp:extent cx="4860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02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if any, from                     , 2025.</w:t>
      </w:r>
    </w:p>
    <w:p>
      <w:pPr>
        <w:spacing w:after="0" w:line="63" w:lineRule="exact"/>
        <w:rPr>
          <w:sz w:val="24"/>
          <w:szCs w:val="24"/>
          <w:color w:val="auto"/>
        </w:rPr>
      </w:pPr>
    </w:p>
    <w:p>
      <w:pPr>
        <w:ind w:right="340" w:firstLine="360"/>
        <w:spacing w:after="0" w:line="250" w:lineRule="auto"/>
        <w:rPr>
          <w:sz w:val="20"/>
          <w:szCs w:val="20"/>
          <w:color w:val="auto"/>
        </w:rPr>
      </w:pPr>
      <w:r>
        <w:rPr>
          <w:rFonts w:ascii="Times New Roman" w:cs="Times New Roman" w:eastAsia="Times New Roman" w:hAnsi="Times New Roman"/>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123825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95" w:lineRule="exact"/>
        <w:rPr>
          <w:sz w:val="24"/>
          <w:szCs w:val="24"/>
          <w:color w:val="auto"/>
        </w:rPr>
      </w:pPr>
    </w:p>
    <w:p>
      <w:pPr>
        <w:ind w:left="20"/>
        <w:spacing w:after="0"/>
        <w:tabs>
          <w:tab w:leader="none" w:pos="2220" w:val="left"/>
          <w:tab w:leader="none" w:pos="3540" w:val="left"/>
          <w:tab w:leader="none" w:pos="5400" w:val="left"/>
          <w:tab w:leader="none" w:pos="9060" w:val="left"/>
        </w:tabs>
        <w:rPr>
          <w:sz w:val="20"/>
          <w:szCs w:val="20"/>
          <w:color w:val="auto"/>
        </w:rPr>
      </w:pPr>
      <w:r>
        <w:rPr>
          <w:rFonts w:ascii="Times New Roman" w:cs="Times New Roman" w:eastAsia="Times New Roman" w:hAnsi="Times New Roman"/>
          <w:sz w:val="25"/>
          <w:szCs w:val="25"/>
          <w:b w:val="1"/>
          <w:bCs w:val="1"/>
          <w:color w:val="auto"/>
        </w:rPr>
        <w:t>​BofA Securities ​ ​</w:t>
        <w:tab/>
        <w:t>Barclays</w:t>
      </w:r>
      <w:r>
        <w:rPr>
          <w:sz w:val="20"/>
          <w:szCs w:val="20"/>
          <w:color w:val="auto"/>
        </w:rPr>
        <w:tab/>
      </w:r>
      <w:r>
        <w:rPr>
          <w:rFonts w:ascii="Times New Roman" w:cs="Times New Roman" w:eastAsia="Times New Roman" w:hAnsi="Times New Roman"/>
          <w:sz w:val="25"/>
          <w:szCs w:val="25"/>
          <w:b w:val="1"/>
          <w:bCs w:val="1"/>
          <w:color w:val="auto"/>
        </w:rPr>
        <w:t>​ ​ PNC Capital</w:t>
        <w:tab/>
        <w:t>​ ​ TD Securities ​ ​ Wells Fargo</w:t>
        <w:tab/>
        <w:t>​</w:t>
      </w:r>
    </w:p>
    <w:p>
      <w:pPr>
        <w:spacing w:after="0" w:line="44" w:lineRule="exact"/>
        <w:rPr>
          <w:sz w:val="24"/>
          <w:szCs w:val="24"/>
          <w:color w:val="auto"/>
        </w:rPr>
      </w:pPr>
    </w:p>
    <w:p>
      <w:pPr>
        <w:ind w:left="3820"/>
        <w:spacing w:after="0"/>
        <w:tabs>
          <w:tab w:leader="none" w:pos="7720" w:val="left"/>
        </w:tabs>
        <w:rPr>
          <w:sz w:val="20"/>
          <w:szCs w:val="20"/>
          <w:color w:val="auto"/>
        </w:rPr>
      </w:pPr>
      <w:r>
        <w:rPr>
          <w:rFonts w:ascii="Times New Roman" w:cs="Times New Roman" w:eastAsia="Times New Roman" w:hAnsi="Times New Roman"/>
          <w:sz w:val="25"/>
          <w:szCs w:val="25"/>
          <w:b w:val="1"/>
          <w:bCs w:val="1"/>
          <w:color w:val="auto"/>
        </w:rPr>
        <w:t>Markets LLC</w:t>
      </w:r>
      <w:r>
        <w:rPr>
          <w:sz w:val="20"/>
          <w:szCs w:val="20"/>
          <w:color w:val="auto"/>
        </w:rPr>
        <w:tab/>
      </w:r>
      <w:r>
        <w:rPr>
          <w:rFonts w:ascii="Times New Roman" w:cs="Times New Roman" w:eastAsia="Times New Roman" w:hAnsi="Times New Roman"/>
          <w:sz w:val="24"/>
          <w:szCs w:val="24"/>
          <w:b w:val="1"/>
          <w:bCs w:val="1"/>
          <w:color w:val="auto"/>
        </w:rPr>
        <w:t>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173990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40" w:space="400"/>
            <w:col w:w="9140"/>
          </w:cols>
          <w:pgMar w:left="580" w:top="205" w:right="1039" w:bottom="1440" w:gutter="0" w:footer="0" w:header="0"/>
          <w:type w:val="continuous"/>
        </w:sectPr>
      </w:pPr>
    </w:p>
    <w:p>
      <w:pPr>
        <w:spacing w:after="0" w:line="17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The date of this prospectus supplement is 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8"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Important notice about information in this prospectus supplement and the accompanying base prospectus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Book-entry, delivery and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U.S. federal income tax consequences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common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Cash</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distribution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partnership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ectPr>
          <w:pgSz w:w="11900" w:h="16838" w:orient="portrait"/>
          <w:cols w:equalWidth="0" w:num="2">
            <w:col w:w="8320" w:space="560"/>
            <w:col w:w="9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 prospectus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supplement and the accompanying base prospectus</w:t>
      </w:r>
    </w:p>
    <w:p>
      <w:pPr>
        <w:spacing w:after="0" w:line="1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340"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the prospectus supplement and the accompanying base prospectus, you should rely on the information in the prospectus supplement.</w:t>
      </w:r>
    </w:p>
    <w:p>
      <w:pPr>
        <w:spacing w:after="0" w:line="8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1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a number of risks and uncertainties, many of which are beyond our control. See “Forward-Looking Statements” and “Risk Factors.”</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2025, which is the third business day following the date of pricing of the Notes (such settlement being referred to as “T+3”).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 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87" w:lineRule="exact"/>
        <w:rPr>
          <w:sz w:val="20"/>
          <w:szCs w:val="20"/>
          <w:color w:val="auto"/>
        </w:rPr>
      </w:pPr>
    </w:p>
    <w:p>
      <w:pPr>
        <w:ind w:left="1800" w:right="41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Divestiture and the EPIC Acquisition (each, as defined herein), including the risk that the Canadian NGL Divestiture or the EPIC Acquisition is not consummated on the terms expected or on the anticipated schedule, or at all, and the effect of the announcement or pendency of the Canadian NGL Divestiture or the EPIC Acquisition on our business relationships, operating results, employees, stakeholders and business generally;</w:t>
      </w:r>
    </w:p>
    <w:p>
      <w:pPr>
        <w:spacing w:after="0" w:line="75"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w:t>
      </w:r>
    </w:p>
    <w:p>
      <w:pPr>
        <w:spacing w:after="0" w:line="2" w:lineRule="exact"/>
        <w:rPr>
          <w:rFonts w:ascii="Times New Roman" w:cs="Times New Roman" w:eastAsia="Times New Roman" w:hAnsi="Times New Roman"/>
          <w:sz w:val="18"/>
          <w:szCs w:val="18"/>
          <w:color w:val="auto"/>
        </w:rPr>
      </w:pPr>
    </w:p>
    <w:p>
      <w:pPr>
        <w:ind w:left="1800" w:right="11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demand for crude oil, drilling and production activities and therefore the demand for the midstream services we provide and (ii) commercial opportunities available to us;</w:t>
      </w:r>
    </w:p>
    <w:p>
      <w:pPr>
        <w:spacing w:after="0" w:line="73"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99"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transactions described below under “Prospectus Supplement Summary — Recent Developments”;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 as described below under “Prospectus Supplement Summary — Recent Developments”;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1800" w:right="59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6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91"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94" w:lineRule="exact"/>
        <w:rPr>
          <w:sz w:val="20"/>
          <w:szCs w:val="20"/>
          <w:color w:val="auto"/>
        </w:rPr>
      </w:pPr>
    </w:p>
    <w:p>
      <w:pPr>
        <w:ind w:left="1260" w:right="45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or incorporated by reference herein, as well as factors that are unknown or unpredictable, could also have a material adverse effect on future results. See “Risk Factors” beginning on </w:t>
      </w:r>
      <w:hyperlink r:id="rId36">
        <w:r>
          <w:rPr>
            <w:rFonts w:ascii="Times New Roman" w:cs="Times New Roman" w:eastAsia="Times New Roman" w:hAnsi="Times New Roman"/>
            <w:sz w:val="18"/>
            <w:szCs w:val="18"/>
            <w:color w:val="auto"/>
          </w:rPr>
          <w:t xml:space="preserve">page S-6 of this prospectus supplement and in Item 1A. “Risk Factors” in our </w:t>
        </w:r>
        <w:r>
          <w:rPr>
            <w:rFonts w:ascii="Times New Roman" w:cs="Times New Roman" w:eastAsia="Times New Roman" w:hAnsi="Times New Roman"/>
            <w:sz w:val="18"/>
            <w:szCs w:val="18"/>
            <w:u w:val="single" w:color="auto"/>
            <w:color w:val="0000EE"/>
          </w:rPr>
          <w:t>Annual Report on Form 10-K</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for the fiscal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in any of our subsequent quarterly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84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828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4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S- 6 of this prospectus supplement and in Item 1A. “Risk Factors” of our </w:t>
      </w:r>
      <w:hyperlink r:id="rId36">
        <w:r>
          <w:rPr>
            <w:rFonts w:ascii="Times New Roman" w:cs="Times New Roman" w:eastAsia="Times New Roman" w:hAnsi="Times New Roman"/>
            <w:sz w:val="18"/>
            <w:szCs w:val="18"/>
            <w:i w:val="1"/>
            <w:iCs w:val="1"/>
            <w:u w:val="single" w:color="auto"/>
            <w:color w:val="0000EE"/>
          </w:rPr>
          <w:t>Annual Report on Form 10-K for the fiscal year ended December 31, 2024</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(File No. 001-14569) and in any of our subsequent quarterly or current reports, which are incorporated in this prospectus supplement by reference, for information regarding risks you should consider before making a decision to purchase any Notes in this offering.</w:t>
      </w:r>
    </w:p>
    <w:p>
      <w:pPr>
        <w:spacing w:after="0" w:line="328" w:lineRule="exact"/>
        <w:rPr>
          <w:sz w:val="20"/>
          <w:szCs w:val="20"/>
          <w:color w:val="auto"/>
        </w:rPr>
      </w:pPr>
    </w:p>
    <w:p>
      <w:pPr>
        <w:ind w:left="128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48" w:lineRule="exact"/>
        <w:rPr>
          <w:sz w:val="20"/>
          <w:szCs w:val="20"/>
          <w:color w:val="auto"/>
        </w:rPr>
      </w:pPr>
    </w:p>
    <w:p>
      <w:pPr>
        <w:ind w:left="1280" w:right="699" w:firstLine="360"/>
        <w:spacing w:after="0" w:line="246" w:lineRule="auto"/>
        <w:rPr>
          <w:sz w:val="20"/>
          <w:szCs w:val="20"/>
          <w:color w:val="auto"/>
        </w:rPr>
      </w:pPr>
      <w:r>
        <w:rPr>
          <w:rFonts w:ascii="Times New Roman" w:cs="Times New Roman" w:eastAsia="Times New Roman" w:hAnsi="Times New Roman"/>
          <w:sz w:val="18"/>
          <w:szCs w:val="18"/>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The Canadian NGL Divestiture</w:t>
      </w:r>
    </w:p>
    <w:p>
      <w:pPr>
        <w:spacing w:after="0" w:line="160"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On June 17, 2025, a wholly -owned subsidiary (the “Seller”) of the Partnership entered into a definitive Share Purchase Agreement with Keyera Corp., an Alberta Corporation (“Keyera”), pursuant to which Keyera will purchase from Seller all of the issued and outstanding shares of Plains Midstream Canada ULC, a subsidiary of the Partnership that owns substantially all of its NGL business, for a cash purchase price of approximately C$5.15 billion, subject to adjustments (the “Canadian NGL Divestiture”) . We will retain substantially all NGL assets located in the United States and all crude oil assets located in Canada. The Canadian NGL Divestiture is expected to close in the first quarter of 2026, subject to the satisfaction or waiver of customary closing conditions, including regulatory approvals. The closing of this offering is not contingent on the consummation of the Canadian NGL Divestiture, and the consummation of the Canadian NGL Divestiture is not contingent on the closing of this offering. No assurance can be given that the Canadian NGL Divestiture will ultimately be consummated on the terms and schedule currently contemplated, or at all.</w:t>
      </w: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EPIC Acquisition</w:t>
      </w:r>
    </w:p>
    <w:p>
      <w:pPr>
        <w:spacing w:after="0" w:line="146" w:lineRule="exact"/>
        <w:rPr>
          <w:sz w:val="20"/>
          <w:szCs w:val="20"/>
          <w:color w:val="auto"/>
        </w:rPr>
      </w:pPr>
    </w:p>
    <w:p>
      <w:pPr>
        <w:ind w:left="1280" w:right="459" w:firstLine="360"/>
        <w:spacing w:after="0" w:line="244" w:lineRule="auto"/>
        <w:rPr>
          <w:sz w:val="20"/>
          <w:szCs w:val="20"/>
          <w:color w:val="auto"/>
        </w:rPr>
      </w:pPr>
      <w:r>
        <w:rPr>
          <w:rFonts w:ascii="Times New Roman" w:cs="Times New Roman" w:eastAsia="Times New Roman" w:hAnsi="Times New Roman"/>
          <w:sz w:val="18"/>
          <w:szCs w:val="18"/>
          <w:color w:val="auto"/>
        </w:rPr>
        <w:t>On August 30, 2025, a wholly owned subsidiary of the Partnership entered into a definitive agreement to acquire a 55% non-operated interest in EPIC Crude Holdings, LP, a Delaware limited partnership (“EPIC Crude”), for approximately $1.57 billion, inclusive of approximately $600 million of debt (the “EPIC Acquisition”). Additionally, the Partnership has agreed to a potential $193 million earnout payment should an expansion of the pipeline to a capacity of at least 900,000 barrels per day (“bpd”) be formally sanctioned before year-end 2027. Subject to the satisfaction or waiver of customary closing conditions and regulatory approval, we anticipate that the EPIC Acquisition will be completed by early 2026. EPIC Crude operates 800-miles of long-haul pipelines, including the EPIC Pipeline, that extends from the Permian Basin to Corpus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59"/>
        <w:spacing w:after="0" w:line="282" w:lineRule="auto"/>
        <w:rPr>
          <w:sz w:val="20"/>
          <w:szCs w:val="20"/>
          <w:color w:val="auto"/>
        </w:rPr>
      </w:pPr>
      <w:r>
        <w:rPr>
          <w:rFonts w:ascii="Times New Roman" w:cs="Times New Roman" w:eastAsia="Times New Roman" w:hAnsi="Times New Roman"/>
          <w:sz w:val="18"/>
          <w:szCs w:val="18"/>
          <w:color w:val="auto"/>
        </w:rPr>
        <w:t>Christi and services the Midland, Delaware and Eagle Ford basins. This pipeline currently operates at a capacity of greater than 600,000 bpd and has total operational storage of approximately 7 million barrels.</w:t>
      </w:r>
    </w:p>
    <w:p>
      <w:pPr>
        <w:spacing w:after="0" w:line="94"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We intend to use a portion of the net proceeds of this offering, together with cash on hand and borrowings under our commercial paper program, to fund the EPIC Acquisition. The closing of this offering is not conditioned on the consummation of the EPIC Acquisition, and the consummation of the EPIC Acquisition is not contingent on the closing of this offering. No assurance can be given that the EPIC Acquisition will ultimately be consummated on the terms and schedule currently contemplated, or at all.</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62" w:lineRule="exact"/>
        <w:rPr>
          <w:sz w:val="20"/>
          <w:szCs w:val="20"/>
          <w:color w:val="auto"/>
        </w:rPr>
      </w:pPr>
    </w:p>
    <w:p>
      <w:pPr>
        <w:ind w:left="1280" w:right="439" w:firstLine="360"/>
        <w:spacing w:after="0" w:line="259" w:lineRule="auto"/>
        <w:rPr>
          <w:sz w:val="20"/>
          <w:szCs w:val="20"/>
          <w:color w:val="auto"/>
        </w:rPr>
      </w:pPr>
      <w:r>
        <w:rPr>
          <w:rFonts w:ascii="Times New Roman" w:cs="Times New Roman" w:eastAsia="Times New Roman" w:hAnsi="Times New Roman"/>
          <w:sz w:val="18"/>
          <w:szCs w:val="18"/>
          <w:color w:val="auto"/>
        </w:rPr>
        <w:t>Our executive offices are located at 333 Clay Street, Suite 1600, Houston, Texas 77002. Our telephone number is (713) 646-4100. We maintain a website at www.plains.com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left="1280" w:right="53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additional information about us, including our partnership structure and management, please refer to the documents set forth under “Where You Can Find More Information” in this prospectus supplement, including our </w:t>
      </w:r>
      <w:hyperlink r:id="rId36">
        <w:r>
          <w:rPr>
            <w:rFonts w:ascii="Times New Roman" w:cs="Times New Roman" w:eastAsia="Times New Roman" w:hAnsi="Times New Roman"/>
            <w:sz w:val="18"/>
            <w:szCs w:val="18"/>
            <w:u w:val="single" w:color="auto"/>
            <w:color w:val="0000EE"/>
          </w:rPr>
          <w:t>Annual Report on Form 10-K for the fiscal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001-14569), our </w:t>
      </w:r>
      <w:hyperlink r:id="rId41">
        <w:r>
          <w:rPr>
            <w:rFonts w:ascii="Times New Roman" w:cs="Times New Roman" w:eastAsia="Times New Roman" w:hAnsi="Times New Roman"/>
            <w:sz w:val="18"/>
            <w:szCs w:val="18"/>
            <w:u w:val="single" w:color="auto"/>
            <w:color w:val="0000EE"/>
          </w:rPr>
          <w:t>Quarterly Reports on Form 10-Q for the periods ended 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2">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any subsequent Current Reports on Form 8-K (other than, in each case, information furnished rather than filed), each of which is incorporated by reference herein.</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5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7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Issuers</w:t>
      </w:r>
      <w:r>
        <w:rPr>
          <w:sz w:val="20"/>
          <w:szCs w:val="20"/>
          <w:color w:val="auto"/>
        </w:rPr>
        <w:tab/>
      </w:r>
      <w:r>
        <w:rPr>
          <w:rFonts w:ascii="Times New Roman" w:cs="Times New Roman" w:eastAsia="Times New Roman" w:hAnsi="Times New Roman"/>
          <w:sz w:val="18"/>
          <w:szCs w:val="18"/>
          <w:color w:val="auto"/>
        </w:rPr>
        <w:t>Plains All American Pipeline, L.P. and PAA Finance Corp.</w:t>
      </w:r>
    </w:p>
    <w:p>
      <w:pPr>
        <w:spacing w:after="0" w:line="162" w:lineRule="exact"/>
        <w:rPr>
          <w:sz w:val="20"/>
          <w:szCs w:val="20"/>
          <w:color w:val="auto"/>
        </w:rPr>
      </w:pPr>
    </w:p>
    <w:p>
      <w:pPr>
        <w:ind w:left="4300" w:right="419"/>
        <w:spacing w:after="0" w:line="255" w:lineRule="auto"/>
        <w:rPr>
          <w:sz w:val="20"/>
          <w:szCs w:val="20"/>
          <w:color w:val="auto"/>
        </w:rPr>
      </w:pPr>
      <w:r>
        <w:rPr>
          <w:rFonts w:ascii="Times New Roman" w:cs="Times New Roman" w:eastAsia="Times New Roman" w:hAnsi="Times New Roman"/>
          <w:sz w:val="18"/>
          <w:szCs w:val="18"/>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7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Future guarantees</w:t>
      </w:r>
      <w:r>
        <w:rPr>
          <w:sz w:val="20"/>
          <w:szCs w:val="20"/>
          <w:color w:val="auto"/>
        </w:rPr>
        <w:tab/>
      </w:r>
      <w:r>
        <w:rPr>
          <w:rFonts w:ascii="Times New Roman" w:cs="Times New Roman" w:eastAsia="Times New Roman" w:hAnsi="Times New Roman"/>
          <w:sz w:val="18"/>
          <w:szCs w:val="18"/>
          <w:color w:val="auto"/>
        </w:rPr>
        <w:t>Initially, the Notes will not be guaranteed by any subsidiaries of the</w:t>
      </w:r>
    </w:p>
    <w:p>
      <w:pPr>
        <w:spacing w:after="0" w:line="31" w:lineRule="exact"/>
        <w:rPr>
          <w:sz w:val="20"/>
          <w:szCs w:val="20"/>
          <w:color w:val="auto"/>
        </w:rPr>
      </w:pPr>
    </w:p>
    <w:p>
      <w:pPr>
        <w:ind w:left="4300" w:right="519"/>
        <w:spacing w:after="0" w:line="253" w:lineRule="auto"/>
        <w:rPr>
          <w:sz w:val="20"/>
          <w:szCs w:val="20"/>
          <w:color w:val="auto"/>
        </w:rPr>
      </w:pPr>
      <w:r>
        <w:rPr>
          <w:rFonts w:ascii="Times New Roman" w:cs="Times New Roman" w:eastAsia="Times New Roman" w:hAnsi="Times New Roman"/>
          <w:sz w:val="18"/>
          <w:szCs w:val="18"/>
          <w:color w:val="auto"/>
        </w:rPr>
        <w:t>issuers. In the future, however, if any subsidiary guarantees any of the issuers’ other debt, then such subsidiary will, jointly and severally, fully and unconditionally guarantee the issuers’ payment obligations under the Notes. See “Description of Notes — Possible Future Guarantees.”</w:t>
      </w:r>
    </w:p>
    <w:p>
      <w:pPr>
        <w:spacing w:after="0" w:line="7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Notes offered</w:t>
      </w:r>
      <w:r>
        <w:rPr>
          <w:sz w:val="20"/>
          <w:szCs w:val="20"/>
          <w:color w:val="auto"/>
        </w:rPr>
        <w:tab/>
      </w:r>
      <w:r>
        <w:rPr>
          <w:rFonts w:ascii="Times New Roman" w:cs="Times New Roman" w:eastAsia="Times New Roman" w:hAnsi="Times New Roman"/>
          <w:sz w:val="18"/>
          <w:szCs w:val="18"/>
          <w:color w:val="auto"/>
        </w:rPr>
        <w:t>$            aggregate principal amount of        % Senior Notes due</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2031 and $            aggregate principal amount of        % Senior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Notes due 2036.</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Maturity date</w:t>
      </w:r>
      <w:r>
        <w:rPr>
          <w:sz w:val="20"/>
          <w:szCs w:val="20"/>
          <w:color w:val="auto"/>
        </w:rPr>
        <w:tab/>
      </w:r>
      <w:r>
        <w:rPr>
          <w:rFonts w:ascii="Times New Roman" w:cs="Times New Roman" w:eastAsia="Times New Roman" w:hAnsi="Times New Roman"/>
          <w:sz w:val="18"/>
          <w:szCs w:val="18"/>
          <w:color w:val="auto"/>
        </w:rPr>
        <w:t>The 2031 Notes will mature on                    , 2031. The 2036 Notes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will mature on                    , 2036.</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Interest rate</w:t>
      </w:r>
      <w:r>
        <w:rPr>
          <w:sz w:val="20"/>
          <w:szCs w:val="20"/>
          <w:color w:val="auto"/>
        </w:rPr>
        <w:tab/>
      </w:r>
      <w:r>
        <w:rPr>
          <w:rFonts w:ascii="Times New Roman" w:cs="Times New Roman" w:eastAsia="Times New Roman" w:hAnsi="Times New Roman"/>
          <w:sz w:val="18"/>
          <w:szCs w:val="18"/>
          <w:color w:val="auto"/>
        </w:rPr>
        <w:t>                  % for the 2031 Notes and        % for the 2036 Notes.</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Interest payment dates</w:t>
      </w:r>
      <w:r>
        <w:rPr>
          <w:sz w:val="20"/>
          <w:szCs w:val="20"/>
          <w:color w:val="auto"/>
        </w:rPr>
        <w:tab/>
      </w:r>
      <w:r>
        <w:rPr>
          <w:rFonts w:ascii="Times New Roman" w:cs="Times New Roman" w:eastAsia="Times New Roman" w:hAnsi="Times New Roman"/>
          <w:sz w:val="18"/>
          <w:szCs w:val="18"/>
          <w:color w:val="auto"/>
        </w:rPr>
        <w:t>We will pay interest on the 2031 Notes semi-annually in arrears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on            and            of each year, beginning on              , 2026, and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on the 2036 Notes semi-annually in arrears on            and            of</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each year, beginning on            , 2026.</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Optional redemption</w:t>
      </w:r>
      <w:r>
        <w:rPr>
          <w:sz w:val="20"/>
          <w:szCs w:val="20"/>
          <w:color w:val="auto"/>
        </w:rPr>
        <w:tab/>
      </w:r>
      <w:r>
        <w:rPr>
          <w:rFonts w:ascii="Times New Roman" w:cs="Times New Roman" w:eastAsia="Times New Roman" w:hAnsi="Times New Roman"/>
          <w:sz w:val="18"/>
          <w:szCs w:val="18"/>
          <w:color w:val="auto"/>
        </w:rPr>
        <w:t>We may redeem either or both series of the Notes, in whole or in</w:t>
      </w:r>
    </w:p>
    <w:p>
      <w:pPr>
        <w:spacing w:after="0" w:line="31" w:lineRule="exact"/>
        <w:rPr>
          <w:sz w:val="20"/>
          <w:szCs w:val="20"/>
          <w:color w:val="auto"/>
        </w:rPr>
      </w:pPr>
    </w:p>
    <w:p>
      <w:pPr>
        <w:ind w:left="4300" w:right="459"/>
        <w:spacing w:after="0" w:line="251" w:lineRule="auto"/>
        <w:rPr>
          <w:sz w:val="20"/>
          <w:szCs w:val="20"/>
          <w:color w:val="auto"/>
        </w:rPr>
      </w:pPr>
      <w:r>
        <w:rPr>
          <w:rFonts w:ascii="Times New Roman" w:cs="Times New Roman" w:eastAsia="Times New Roman" w:hAnsi="Times New Roman"/>
          <w:sz w:val="18"/>
          <w:szCs w:val="18"/>
          <w:color w:val="auto"/>
        </w:rPr>
        <w:t>part, at any time and from time to time prior to maturity. If we redeem the 2031 Notes before                    , 2031 (one month prior to the maturity date) or the 2036 Notes before                    , 2036 (three months prior to the maturity date) (each date, a “Par Call Date” with respect to the applicable series of the Notes), then the redemption price will equal the applicable make-whole price described in this prospectus supplement under “Description of Notes — Optional Redemption.” If we redeem the Notes on or after the applicable Par Call Date, we will pay an amount equal to 100% of the principal amount of the Notes to be redeemed plus accrued and unpaid interest to the redemption date. See “Description of Notes — Optional Redemption.”</w:t>
      </w:r>
    </w:p>
    <w:p>
      <w:pPr>
        <w:spacing w:after="0" w:line="8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Ranking</w:t>
      </w:r>
      <w:r>
        <w:rPr>
          <w:sz w:val="20"/>
          <w:szCs w:val="20"/>
          <w:color w:val="auto"/>
        </w:rPr>
        <w:tab/>
      </w:r>
      <w:r>
        <w:rPr>
          <w:rFonts w:ascii="Times New Roman" w:cs="Times New Roman" w:eastAsia="Times New Roman" w:hAnsi="Times New Roman"/>
          <w:sz w:val="18"/>
          <w:szCs w:val="18"/>
          <w:color w:val="auto"/>
        </w:rPr>
        <w:t>The Notes will be senior unsecured obligations of the issuers and</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will rank equally in right of payment with the existing and future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senior indebtedness of the issuers.</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Certain covenants</w:t>
      </w:r>
      <w:r>
        <w:rPr>
          <w:sz w:val="20"/>
          <w:szCs w:val="20"/>
          <w:color w:val="auto"/>
        </w:rPr>
        <w:tab/>
      </w:r>
      <w:r>
        <w:rPr>
          <w:rFonts w:ascii="Times New Roman" w:cs="Times New Roman" w:eastAsia="Times New Roman" w:hAnsi="Times New Roman"/>
          <w:sz w:val="18"/>
          <w:szCs w:val="18"/>
          <w:color w:val="auto"/>
        </w:rPr>
        <w:t>The Notes will be issued under an indenture containing covenants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for your benefit. These covenants restrict our ability, with certain</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exceptions,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incur liens on principal properties to secure debt;</w:t>
            </w:r>
          </w:p>
        </w:tc>
      </w:tr>
      <w:tr>
        <w:trPr>
          <w:trHeight w:val="378"/>
        </w:trPr>
        <w:tc>
          <w:tcPr>
            <w:tcW w:w="2620" w:type="dxa"/>
            <w:vAlign w:val="bottom"/>
          </w:tcPr>
          <w:p>
            <w:pPr>
              <w:spacing w:after="0"/>
              <w:rPr>
                <w:sz w:val="24"/>
                <w:szCs w:val="24"/>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engage in sale-leaseback transactions; and</w:t>
            </w:r>
          </w:p>
        </w:tc>
      </w:tr>
      <w:tr>
        <w:trPr>
          <w:trHeight w:val="346"/>
        </w:trPr>
        <w:tc>
          <w:tcPr>
            <w:tcW w:w="2620" w:type="dxa"/>
            <w:vAlign w:val="bottom"/>
          </w:tcPr>
          <w:p>
            <w:pPr>
              <w:spacing w:after="0"/>
              <w:rPr>
                <w:sz w:val="24"/>
                <w:szCs w:val="24"/>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or consolidate with another entity or sell, lease or</w:t>
            </w:r>
          </w:p>
        </w:tc>
      </w:tr>
      <w:tr>
        <w:trPr>
          <w:trHeight w:val="216"/>
        </w:trPr>
        <w:tc>
          <w:tcPr>
            <w:tcW w:w="2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substantially all of our properties or assets to another</w:t>
            </w:r>
          </w:p>
        </w:tc>
      </w:tr>
      <w:tr>
        <w:trPr>
          <w:trHeight w:val="234"/>
        </w:trPr>
        <w:tc>
          <w:tcPr>
            <w:tcW w:w="2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entity.</w:t>
            </w:r>
          </w:p>
        </w:tc>
      </w:tr>
      <w:tr>
        <w:trPr>
          <w:trHeight w:val="351"/>
        </w:trPr>
        <w:tc>
          <w:tcPr>
            <w:tcW w:w="2620" w:type="dxa"/>
            <w:vAlign w:val="bottom"/>
          </w:tcPr>
          <w:p>
            <w:pPr>
              <w:spacing w:after="0"/>
              <w:rPr>
                <w:sz w:val="24"/>
                <w:szCs w:val="24"/>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See “Description of Notes — Covenants.”</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net proceeds of this offering will be approximately</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after deducting the underwriting discount and our estimated</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offering expenses. We intend to use the net proceeds from the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offering to redeem the 4.65% Senior Notes due October 2025 and to</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use the remaining net proceeds to fund a portion of the purchase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price for the EPIC Acquisition and, pending such uses, for general</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partnership purposes, which may include, among other things, intra-</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group lending and related transactions, repayment of indebtedness,</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acquisitions, capital expenditures and additions to working capital.</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If we do not complete the EPIC Acquisition, we expect to use the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portion of the net proceeds from this offering related thereto for</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general partnership purposes as described above. See “Use of</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Proceeds.”</w:t>
            </w:r>
          </w:p>
        </w:tc>
      </w:tr>
      <w:tr>
        <w:trPr>
          <w:trHeight w:val="346"/>
        </w:trPr>
        <w:tc>
          <w:tcPr>
            <w:tcW w:w="2620" w:type="dxa"/>
            <w:vAlign w:val="bottom"/>
          </w:tcPr>
          <w:p>
            <w:pPr>
              <w:spacing w:after="0"/>
              <w:rPr>
                <w:sz w:val="24"/>
                <w:szCs w:val="24"/>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Certain of the underwriters or their affiliates may hold some of the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4.65% Senior Notes due October 2025 to be redeemed with</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proceeds from this offering and, accordingly, may receive a</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substantial portion of the net proceeds from this offering. See</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“Underwriting (Conflicts of Interest).”</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of each series will be represented by one or more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permanent global certificates in fully registered form deposited with</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 custodian for, and registered in the name of, a nominee of The</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Depository Trust Company.</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 may create and issue additional Notes of either series ranking</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equally and ratably in all respects with the Notes of that series</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offered by this prospectus supplement, so that such additional Notes</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will be consolidated and form a single series with the applicable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series of Notes offered by this prospectus supplement and will have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same terms, as to status, redemption or otherwise, except for the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issue date, the initial interest payment date, if applicable, and the</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payment of interest accruing prior to the issue date of such</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additional Notes.</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listing</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Each series of the Notes is a new issue of securities with no</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established trading market. We do not currently intend to apply for</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listing of either series of the Notes on any securities exchange or to</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have either series of the Notes quoted on any automated quotation</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system. See “Risk Factors — Risks Related to the Notes — Your</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ability to transfer the Notes may be limited by the absence of an</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organized trading market.”</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24"/>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Investing in the Notes involves risks. You should consider carefully</w:t>
            </w:r>
          </w:p>
        </w:tc>
      </w:tr>
      <w:tr>
        <w:trPr>
          <w:trHeight w:val="216"/>
        </w:trPr>
        <w:tc>
          <w:tcPr>
            <w:tcW w:w="262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all of the information in this prospectus supplement, the</w:t>
            </w:r>
          </w:p>
        </w:tc>
      </w:tr>
      <w:tr>
        <w:trPr>
          <w:trHeight w:val="234"/>
        </w:trPr>
        <w:tc>
          <w:tcPr>
            <w:tcW w:w="2620" w:type="dxa"/>
            <w:vAlign w:val="bottom"/>
          </w:tcPr>
          <w:p>
            <w:pPr>
              <w:spacing w:after="0"/>
              <w:rPr>
                <w:sz w:val="20"/>
                <w:szCs w:val="20"/>
                <w:color w:val="auto"/>
              </w:rPr>
            </w:pPr>
          </w:p>
        </w:tc>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accompanying base prospectus, any free writing prospectus relating</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459"/>
        <w:spacing w:after="0" w:line="261" w:lineRule="auto"/>
        <w:rPr>
          <w:sz w:val="20"/>
          <w:szCs w:val="20"/>
          <w:color w:val="auto"/>
        </w:rPr>
      </w:pPr>
      <w:r>
        <w:rPr>
          <w:rFonts w:ascii="Times New Roman" w:cs="Times New Roman" w:eastAsia="Times New Roman" w:hAnsi="Times New Roman"/>
          <w:sz w:val="18"/>
          <w:szCs w:val="18"/>
          <w:color w:val="auto"/>
        </w:rPr>
        <w:t>to this offering and the documents incorporated by reference herein and therein. In particular, you should consider carefully the specific risks set forth in “Risk Factors” beginning on page S-6 of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55"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Before making an investment in the Notes offered hereby, you should carefully consider the risk factors </w:t>
      </w:r>
      <w:hyperlink r:id="rId36">
        <w:r>
          <w:rPr>
            <w:rFonts w:ascii="Times New Roman" w:cs="Times New Roman" w:eastAsia="Times New Roman" w:hAnsi="Times New Roman"/>
            <w:sz w:val="18"/>
            <w:szCs w:val="18"/>
            <w:i w:val="1"/>
            <w:iCs w:val="1"/>
            <w:color w:val="auto"/>
          </w:rPr>
          <w:t xml:space="preserve">discussed herein and those included in Item 1A. “Risk Factors” in our </w:t>
        </w:r>
        <w:r>
          <w:rPr>
            <w:rFonts w:ascii="Times New Roman" w:cs="Times New Roman" w:eastAsia="Times New Roman" w:hAnsi="Times New Roman"/>
            <w:sz w:val="18"/>
            <w:szCs w:val="18"/>
            <w:i w:val="1"/>
            <w:iCs w:val="1"/>
            <w:u w:val="single" w:color="auto"/>
            <w:color w:val="0000EE"/>
          </w:rPr>
          <w:t>Annual Report on Form 10-K for the</w:t>
        </w:r>
      </w:hyperlink>
      <w:r>
        <w:rPr>
          <w:rFonts w:ascii="Times New Roman" w:cs="Times New Roman" w:eastAsia="Times New Roman" w:hAnsi="Times New Roman"/>
          <w:sz w:val="18"/>
          <w:szCs w:val="18"/>
          <w:i w:val="1"/>
          <w:iCs w:val="1"/>
          <w:color w:val="auto"/>
        </w:rPr>
        <w:t xml:space="preserve"> </w:t>
      </w:r>
      <w:hyperlink r:id="rId36">
        <w:r>
          <w:rPr>
            <w:rFonts w:ascii="Times New Roman" w:cs="Times New Roman" w:eastAsia="Times New Roman" w:hAnsi="Times New Roman"/>
            <w:sz w:val="18"/>
            <w:szCs w:val="18"/>
            <w:i w:val="1"/>
            <w:iCs w:val="1"/>
            <w:u w:val="single" w:color="auto"/>
            <w:color w:val="0000EE"/>
          </w:rPr>
          <w:t>fiscal year ended December 31, 2024</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(File No. 001-14569), and in any of our subsequent quarterly or</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jc w:val="both"/>
        <w:ind w:left="1260" w:right="6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8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Notes are effectively subordinated to claims of our secured creditors and to any existing and future indebtedness and other obligations of our subsidiaries, including trade payables, other than subsidiaries that guarantee the Notes in the future. As of June 30, 2025, on an as adjusted basis as described under “Capitalization,” the Notes would not have been effectively subordinated to any secured indebtedness and would not have been structurally subordinated to any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88" w:lineRule="exact"/>
        <w:rPr>
          <w:sz w:val="20"/>
          <w:szCs w:val="20"/>
          <w:color w:val="auto"/>
        </w:rPr>
      </w:pPr>
    </w:p>
    <w:p>
      <w:pPr>
        <w:ind w:left="1260" w:right="10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7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Our leverage is significant in relation to our partners’ capital. As of June 30, 2025, on an as adjusted basis as described under “Capitalization,” our total outstanding long-term debt was approximately $            , and our total outstanding short-term debt was approximately $            .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either series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33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organized trading market.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 market. We do not currently intend to apply for listing of either series of the Notes on any securities exchange or to have either series of the Notes quoted on any automated quotation system. Although certain of the underwriters have informed us that they currently intend to make a market in each series of the Notes, they are not obligated to do so. In addition, the underwriters may discontinue any such market making at any time without notice. The liquidity of any market for either series of the Notes will depend on the number of holders of such series of the Notes, the interest of securities dealers in making a market in such series of the Notes and other factors. Accordingly, we can give no assurance as to the development, continuation or liquidity of any market for either series of the Notes.</w:t>
      </w:r>
    </w:p>
    <w:p>
      <w:pPr>
        <w:spacing w:after="0" w:line="200" w:lineRule="exact"/>
        <w:rPr>
          <w:sz w:val="20"/>
          <w:szCs w:val="20"/>
          <w:color w:val="auto"/>
        </w:rPr>
      </w:pPr>
    </w:p>
    <w:p>
      <w:pPr>
        <w:spacing w:after="0" w:line="204"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with respect to either series of the Notes, we may be required to adopt one or more alternatives, such as a refinancing of either series of the Notes. We cannot assure you that we would be able to refinance the Notes.</w:t>
      </w:r>
    </w:p>
    <w:p>
      <w:pPr>
        <w:spacing w:after="0" w:line="190"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rating or outlook or in the rating assigned by a rating agency to the Notes of either series could adversely affect the market price or liquidity of such Notes.</w:t>
      </w:r>
    </w:p>
    <w:p>
      <w:pPr>
        <w:spacing w:after="0" w:line="7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of either series. A negative change in our ratings or outlook could have an adverse effect on the price of such Notes.</w:t>
      </w:r>
    </w:p>
    <w:p>
      <w:pPr>
        <w:spacing w:after="0" w:line="116"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We expect that each series of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such Notes.</w:t>
      </w:r>
    </w:p>
    <w:p>
      <w:pPr>
        <w:spacing w:after="0" w:line="400"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the Notes or to repay the Notes at their respective maturities.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97" w:lineRule="exact"/>
        <w:rPr>
          <w:sz w:val="20"/>
          <w:szCs w:val="20"/>
          <w:color w:val="auto"/>
        </w:rPr>
      </w:pPr>
    </w:p>
    <w:p>
      <w:pPr>
        <w:ind w:left="1800" w:right="8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loan agreement, security agreement, mortgage, debt instrument or other agreement or obligation;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preferred unitholders; or</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common unitholders for any one or more of the next four calendar quarters.</w:t>
      </w:r>
    </w:p>
    <w:p>
      <w:pPr>
        <w:spacing w:after="0" w:line="9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73" w:lineRule="exact"/>
        <w:rPr>
          <w:sz w:val="20"/>
          <w:szCs w:val="20"/>
          <w:color w:val="auto"/>
        </w:rPr>
      </w:pPr>
    </w:p>
    <w:p>
      <w:pPr>
        <w:ind w:left="1260" w:right="69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tax treatment depends on our status as a partnership for U.S. federal income tax purposes and not being subject to a material amount of entity-level taxation by individual states or foreign jurisdictions.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9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 publicly traded partnership such as us may be treated as a corporation for federal income 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32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91"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0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Canadian NGL Divestiture and the EPIC Acquisition</w:t>
      </w:r>
    </w:p>
    <w:p>
      <w:pPr>
        <w:spacing w:after="0" w:line="225" w:lineRule="exact"/>
        <w:rPr>
          <w:sz w:val="20"/>
          <w:szCs w:val="20"/>
          <w:color w:val="auto"/>
        </w:rPr>
      </w:pPr>
    </w:p>
    <w:p>
      <w:pPr>
        <w:ind w:left="1260" w:right="9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assurances when or if either the Canadian NGL Divestiture or the EPIC Acquisition will be completed.</w:t>
      </w:r>
    </w:p>
    <w:p>
      <w:pPr>
        <w:spacing w:after="0" w:line="9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Although we expect to complete the Canadian NGL Divestiture in the first quarter of 2026 and the EPIC Acquisition by early 2026, there can be no assurances as to the exact timing of the consummation of the Canadian NGL Divestiture or the EPIC Acquisition or that either will be completed at all. The consummation of each of the Canadian NGL Divestiture and the EPIC Acquisition is subject to numerous</w:t>
      </w:r>
    </w:p>
    <w:p>
      <w:pPr>
        <w:spacing w:after="0" w:line="3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conditions, including, among others, (i) the absence of any law, order or injunction prohibiting such transaction, (ii) obtaining applicable regulatory approvals, (iii) the accuracy of each party’s representations and warranties, subject to certain materiality thresholds set forth in the transaction agreement related thereto and (iv) each party’s compliance with its covenants and agreements contained in the transaction agreement related thereto. There can be no assurance that the conditions required to complete either the Canadian NGL Divestiture or the EPIC Acquisition, some of which are beyond the control of us and the other parties to the transactions, will be satisfied or waived on the anticipated schedule, or at all. This offering is not contingent on the consummation of either the Canadian NGL Divestiture or the EPIC Acquisition, and neither the consummation of the Canadian NGL Divestiture nor the consummation of the EPIC Acquisition is contingent 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net proceeds of this offering will be approximately $            after deducting the underwriting discount and our estimated offering expenses. We intend to use the net proceeds from the offering to redeem the 4.65% Senior Notes due October 2025 and to use the remaining net proceeds to fund a portion of the purchase price for the EPIC Acquisition and, pending such uses, for general partnership purposes, which may include, among other things, intra-group lending and related transactions, repayment of indebtedness, acquisitions, capital expenditures and additions to working capital. If we do not complete the EPIC Acquisition, we expect to use the portion of the net proceeds from this offering related thereto for general partnership purposes as described above.</w:t>
      </w:r>
    </w:p>
    <w:p>
      <w:pPr>
        <w:spacing w:after="0" w:line="33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of June 30, 2025, we had $1.0 billion aggregate principal amount of our 4.65% Senior Notes due October 2025 outstanding, which bear interest at an annual rate of 4.65% and mature on October 15, 2025.</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of the underwriters or their affiliates may hold some of the 4.65% Senior Notes due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2025 to be redeemed with proceeds from this offering and, accordingly, may receive a substantial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portion of the net proceeds from this offering. See “Underwriting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2025:</w:t>
      </w:r>
    </w:p>
    <w:p>
      <w:pPr>
        <w:spacing w:after="0" w:line="117"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sale of the Notes offered hereby and the application of the net proceeds therefrom as described under “Use of Proceeds” in this prospectus supplement, subject to the exclusions described below.</w:t>
      </w:r>
    </w:p>
    <w:p>
      <w:pPr>
        <w:spacing w:after="0" w:line="95"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The table below does not give effect to the pending Canadian NGL Divestiture or the EPIC Acquisition. This offering is not contingent on the consummation of either the redemption of the 4.65% Senior Notes due October 2025, the Canadian NGL Divestiture or the EPIC Acquisition, and neither the redemption of the 4.65% Senior Notes due October 2025, the consummation of the Canadian NGL Divestiture nor the consummation of the EPIC Acquisition is contingent on the closing of this offering.</w:t>
      </w:r>
    </w:p>
    <w:p>
      <w:pPr>
        <w:spacing w:after="0" w:line="11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This table should be read in conjunction with our financial statements and the notes thereto that are incorporated by reference into this prospectus supplement.</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6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Historical </w:t>
            </w:r>
            <w:r>
              <w:rPr>
                <w:rFonts w:ascii="Times New Roman" w:cs="Times New Roman" w:eastAsia="Times New Roman" w:hAnsi="Times New Roman"/>
                <w:sz w:val="27"/>
                <w:szCs w:val="27"/>
                <w:b w:val="1"/>
                <w:bCs w:val="1"/>
                <w:color w:val="auto"/>
                <w:vertAlign w:val="subscript"/>
              </w:rPr>
              <w:t>​</w:t>
            </w:r>
          </w:p>
        </w:tc>
        <w:tc>
          <w:tcPr>
            <w:tcW w:w="86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58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459</w:t>
            </w:r>
            <w:r>
              <w:rPr>
                <w:rFonts w:ascii="Times New Roman" w:cs="Times New Roman" w:eastAsia="Times New Roman" w:hAnsi="Times New Roman"/>
                <w:sz w:val="27"/>
                <w:szCs w:val="27"/>
                <w:color w:val="auto"/>
                <w:vertAlign w:val="subscript"/>
              </w:rPr>
              <w:t>​​</w:t>
            </w:r>
          </w:p>
        </w:tc>
        <w:tc>
          <w:tcPr>
            <w:tcW w:w="32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6420" w:type="dxa"/>
            <w:vAlign w:val="bottom"/>
            <w:vMerge w:val="continue"/>
          </w:tcPr>
          <w:p>
            <w:pPr>
              <w:spacing w:after="0"/>
              <w:rPr>
                <w:sz w:val="14"/>
                <w:szCs w:val="14"/>
                <w:color w:val="auto"/>
              </w:rPr>
            </w:pPr>
          </w:p>
        </w:tc>
        <w:tc>
          <w:tcPr>
            <w:tcW w:w="400" w:type="dxa"/>
            <w:vAlign w:val="bottom"/>
            <w:gridSpan w:val="3"/>
          </w:tcPr>
          <w:p>
            <w:pPr>
              <w:ind w:left="60"/>
              <w:spacing w:after="0" w:line="164" w:lineRule="exact"/>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Commercial paper notes</w:t>
            </w:r>
            <w:r>
              <w:rPr>
                <w:rFonts w:ascii="Times New Roman" w:cs="Times New Roman" w:eastAsia="Times New Roman" w:hAnsi="Times New Roman"/>
                <w:sz w:val="23"/>
                <w:szCs w:val="23"/>
                <w:color w:val="auto"/>
                <w:vertAlign w:val="superscript"/>
              </w:rPr>
              <w:t>(1)</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debt</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42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4.65% senior notes due October 2025</w:t>
            </w:r>
            <w:r>
              <w:rPr>
                <w:rFonts w:ascii="Times New Roman" w:cs="Times New Roman" w:eastAsia="Times New Roman" w:hAnsi="Times New Roman"/>
                <w:sz w:val="23"/>
                <w:szCs w:val="23"/>
                <w:color w:val="auto"/>
                <w:vertAlign w:val="superscript"/>
              </w:rPr>
              <w:t>(2)</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1,000​​</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 senior notes due December 2026</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3.55% senior notes due December 2029</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1,000​​</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 1,000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3.80% senior notes due September 2030</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5.70% senior notes due September 2034</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5.95% senior notes due June 2035</w:t>
            </w:r>
          </w:p>
        </w:tc>
        <w:tc>
          <w:tcPr>
            <w:tcW w:w="9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1,000​​</w:t>
            </w:r>
          </w:p>
        </w:tc>
        <w:tc>
          <w:tcPr>
            <w:tcW w:w="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1,000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6.70% senior notes due May 2036</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6.65% senior notes due January 2037</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 senior notes due June 2042</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4.30% senior notes due January 2043</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4.70% senior notes due June 2044</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4.90% senior notes due February 2045</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6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 senior notes due 2031</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senior notes due 2036</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5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8,204</w:t>
            </w:r>
            <w:r>
              <w:rPr>
                <w:rFonts w:ascii="Times New Roman" w:cs="Times New Roman" w:eastAsia="Times New Roman" w:hAnsi="Times New Roman"/>
                <w:sz w:val="28"/>
                <w:szCs w:val="28"/>
                <w:color w:val="auto"/>
                <w:vertAlign w:val="subscript"/>
              </w:rPr>
              <w:t>​​</w:t>
            </w:r>
          </w:p>
        </w:tc>
        <w:tc>
          <w:tcPr>
            <w:tcW w:w="32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420" w:type="dxa"/>
            <w:vAlign w:val="bottom"/>
          </w:tcPr>
          <w:p>
            <w:pPr>
              <w:spacing w:after="0"/>
              <w:rPr>
                <w:sz w:val="22"/>
                <w:szCs w:val="22"/>
                <w:color w:val="auto"/>
              </w:rPr>
            </w:pPr>
          </w:p>
        </w:tc>
        <w:tc>
          <w:tcPr>
            <w:tcW w:w="1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PARTNERS’ CAPITAL</w:t>
            </w:r>
          </w:p>
        </w:tc>
        <w:tc>
          <w:tcPr>
            <w:tcW w:w="40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7"/>
                <w:szCs w:val="17"/>
                <w:color w:val="auto"/>
              </w:rPr>
            </w:pPr>
          </w:p>
        </w:tc>
        <w:tc>
          <w:tcPr>
            <w:tcW w:w="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unitholders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B preferred unitholders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unitholders</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7,673​​</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 7,673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 3,243​​</w:t>
            </w:r>
          </w:p>
        </w:tc>
        <w:tc>
          <w:tcPr>
            <w:tcW w:w="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3,243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12,949​​</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12,949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capitalization</w:t>
            </w:r>
          </w:p>
        </w:tc>
        <w:tc>
          <w:tcPr>
            <w:tcW w:w="9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​​$21,153​​</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-1122045</wp:posOffset>
            </wp:positionV>
            <wp:extent cx="52120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-4173855</wp:posOffset>
            </wp:positionV>
            <wp:extent cx="5212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67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we had $462 million in outstanding borrowings under our commercial paper program, which is backstopped by our senior secured hedged inventory facility and our senior unsecured revolving credit facility, and $2.2 billion in available credit capacity under such facilities.</w:t>
      </w:r>
    </w:p>
    <w:p>
      <w:pPr>
        <w:spacing w:after="0" w:line="40"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we classified the 4.65% Senior Notes due October 2025 as long-term based on our ability and intent to refinance the 4.65% Senior Notes due October 2025 on a long-term basis, including through the application of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We will issue the Notes under an indenture (the “Base Indenture”) dated as of September 25, 2002, among us and U.S. Bank Trust Company, National Association, as successor trustee, and a supplemental indenture thereto with respect to each series of the Notes to be dated as of                      , 2025 (the Base Indenture, as supplemented by such supplemental indentures, the “Indenture”). Each series of the Notes will constitute a new series of debt securities under the Base Indenture, and multiple other series are now outstanding under the Base Indenture, issued under various supplemental indentures.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321"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indentures creating the Notes from us as set forth under “Where You Can Find More Information.”</w:t>
      </w:r>
    </w:p>
    <w:p>
      <w:pPr>
        <w:spacing w:after="0" w:line="10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Description of Each Series of the Notes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series of the Notes will be:</w:t>
      </w:r>
    </w:p>
    <w:p>
      <w:pPr>
        <w:spacing w:after="0" w:line="117" w:lineRule="exact"/>
        <w:rPr>
          <w:sz w:val="20"/>
          <w:szCs w:val="20"/>
          <w:color w:val="auto"/>
        </w:rPr>
      </w:pPr>
    </w:p>
    <w:p>
      <w:pPr>
        <w:ind w:left="1800" w:right="6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unsecured indebtedness ranking equally in right of payment with all of our existing and future unsubordinated indebtedness;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debt securities issued under the Base Indenture;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to our general partner;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future subordinated indebtedness;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any of our existing and future secured indebtedness, to the extent of the security for that debt; and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existing and future indebtedness and other obligations of our Subsidiaries, including trade payables, other than Subsidiaries that guarantee the Notes in the future.</w:t>
      </w:r>
    </w:p>
    <w:p>
      <w:pPr>
        <w:spacing w:after="0" w:line="9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of June 30, 2025, on an as adjusted basis as described under “Capitalization,” the Notes would not have been effectively subordinated to any secured indebtedness and would not have been structurally subordinated to any of our subsidiaries’ indebtedness. See “Risk Factors — Risks Related to the Notes — 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32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of either series, create and issue additional Notes of either series ranking equally and ratably in all respects with the Notes of that series offered by this prospectus supplement, so that such additional Notes will be consolidated and form a single series with the applicable series of Notes offered by this prospectus supplement and will have the same terms as to status, redemption or otherwise as such Notes (except for the issue date, the initial interest payment date, if applicable, and the payment of interest accruing prior to the issue date of such additional Notes).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will issue $             aggregate principal amount of the 2031 Notes and $            aggregate principal amount of the 2036 Notes. The 2031 Notes will mature on                     , 2031 and the 2036 Notes will mature on                     , 2036. The 2031 Notes will bear interest at an annual rate of         %. Interest on the 2031 Notes will accrue from                     , 2025 and will be payable semi-annually in arrears on               </w:t>
      </w:r>
    </w:p>
    <w:p>
      <w:pPr>
        <w:spacing w:after="0" w:line="2" w:lineRule="exact"/>
        <w:rPr>
          <w:sz w:val="20"/>
          <w:szCs w:val="20"/>
          <w:color w:val="auto"/>
        </w:rPr>
      </w:pPr>
    </w:p>
    <w:p>
      <w:pPr>
        <w:jc w:val="both"/>
        <w:ind w:left="1260" w:right="639"/>
        <w:spacing w:after="0" w:line="242" w:lineRule="auto"/>
        <w:tabs>
          <w:tab w:leader="none" w:pos="13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of each year, beginning                     , 2026 (the “2031 Notes interest payment dates”). The 2036 Notes will bear interest at an annual rate of         %. Interest on the 2036 Notes will accrue from</w:t>
      </w:r>
    </w:p>
    <w:p>
      <w:pPr>
        <w:spacing w:after="0" w:line="1" w:lineRule="exact"/>
        <w:rPr>
          <w:rFonts w:ascii="Times New Roman" w:cs="Times New Roman" w:eastAsia="Times New Roman" w:hAnsi="Times New Roman"/>
          <w:sz w:val="18"/>
          <w:szCs w:val="18"/>
          <w:color w:val="auto"/>
        </w:rPr>
      </w:pPr>
    </w:p>
    <w:p>
      <w:pPr>
        <w:ind w:left="1260" w:right="479"/>
        <w:spacing w:after="0"/>
        <w:tabs>
          <w:tab w:leader="none" w:pos="13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2025 and will be payable semi-annually in arrears on                     and                     of each year, beginning                     , 2026 (the “2036 Notes interest payment dates” and, together with the 2031 Notes interest payment dates, the “interest payment dates”). We will make each interest payment to the holders of record at the close of business on                     and                     preceding such 2031 Notes interest payment dates, as applicable, and at the close of business on                     and                     preceding such 2036 Notes interest payment dates, as applicable. Interest will be computed on the basis of a 360-day year consisting of twelve 30-day months. We will issue the Notes in minimum denominations of $2,000 and integral multiples of $1,000 in excess thereof.</w:t>
      </w:r>
    </w:p>
    <w:p>
      <w:pPr>
        <w:spacing w:after="0" w:line="12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liability of general partner</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Provided that no default shall have occurred and shall be continuing under the Indenture, a future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Guarantor will be unconditionally released and discharged from its guarantee:</w:t>
      </w:r>
    </w:p>
    <w:p>
      <w:pPr>
        <w:spacing w:after="0" w:line="85" w:lineRule="exact"/>
        <w:rPr>
          <w:sz w:val="20"/>
          <w:szCs w:val="20"/>
          <w:color w:val="auto"/>
        </w:rPr>
      </w:pPr>
    </w:p>
    <w:p>
      <w:pPr>
        <w:ind w:left="1800" w:right="8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our direct or indirect equity interests in that Subsidiary Guarantor to any Person that is not our affiliate; or</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Either series of the Notes will be redeemable, in whole or in part, at our option at any time and from time to time prior to maturity. If we redeem the 2031 Notes before                     , 2031 (one month prior to the maturity date) or the 2036 Notes before                     , 2036 (three months prior to the maturity date), we will pay an amount equal to the greater of (i) 100% of the principal amount of the applicable series of the Notes to be redeemed and (ii) (a) the sum of the present values of the remaining scheduled payments of principal and interest thereon discounted to the redemption date (assuming the applicable series of the Notes matured on the applicable Par Call Date) on a semi-annual basis (assuming a 360-day year consisting of twelve 30-day months) at the Treasury Rate plus             basis points for the 2031 Notes and             basis points for the 2036 Notes, less (b) interest accrued to the date of redemption, plus, in either case, accrued and unpaid interest thereon to the date of redemption.</w:t>
      </w:r>
    </w:p>
    <w:p>
      <w:pPr>
        <w:spacing w:after="0" w:line="12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we redeem either series of the Notes on or after the applicable Par Call Date, we will pay an amount equal to 100% of the principal amount of such Notes to be redeemed plus accrued and unpaid interest to the redemption date.</w:t>
      </w:r>
    </w:p>
    <w:p>
      <w:pPr>
        <w:spacing w:after="0" w:line="93"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with respect to each series of the Notes, means, with respect to any redemption date, the yield determined by us in accordance with the following two paragraphs.</w:t>
      </w:r>
    </w:p>
    <w:p>
      <w:pPr>
        <w:spacing w:after="0" w:line="9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for such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4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applicable Par Call Date, we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1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92" w:lineRule="exact"/>
        <w:rPr>
          <w:sz w:val="20"/>
          <w:szCs w:val="20"/>
          <w:color w:val="auto"/>
        </w:rPr>
      </w:pPr>
    </w:p>
    <w:p>
      <w:pPr>
        <w:ind w:left="1260" w:right="639" w:firstLine="36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 2031 (one month prior to the maturity date), with respect to the 2031 Notes, and                     , 2036 (three months prior to the maturity date), with respect to the 2036 Notes.</w:t>
      </w:r>
    </w:p>
    <w:p>
      <w:pPr>
        <w:spacing w:after="0" w:line="30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date of redemption, interest will cease to accrue on the Notes or portions thereof called for redemption.</w:t>
      </w:r>
    </w:p>
    <w:p>
      <w:pPr>
        <w:spacing w:after="0" w:line="9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On or before a redemption date, we will deposit with a paying agent (or with the trustee) sufficient money to pay the redemption price and accrued interest on the Notes to be redeemed.</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less than all of the Notes of either series are to be redeemed at any time, the trustee will select Notes (or any portion of Notes in integral multiples of  $1,000) for redemption as follows:</w:t>
      </w:r>
    </w:p>
    <w:p>
      <w:pPr>
        <w:spacing w:after="0" w:line="54" w:lineRule="exact"/>
        <w:rPr>
          <w:sz w:val="20"/>
          <w:szCs w:val="20"/>
          <w:color w:val="auto"/>
        </w:rPr>
      </w:pPr>
    </w:p>
    <w:p>
      <w:pPr>
        <w:ind w:left="1800" w:right="9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in compliance with the requirements of the principal national securities exchange on which such Notes are listed;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or there are no such requirements, on a pro rata basis, by lot or, if the Notes are in the form of Global Notes, by such method as the depositary shall require.</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is an “Event of Default” with respect to the Notes of either series:</w:t>
      </w:r>
    </w:p>
    <w:p>
      <w:pPr>
        <w:spacing w:after="0" w:line="131" w:lineRule="exact"/>
        <w:rPr>
          <w:sz w:val="20"/>
          <w:szCs w:val="20"/>
          <w:color w:val="auto"/>
        </w:rPr>
      </w:pPr>
    </w:p>
    <w:p>
      <w:pPr>
        <w:ind w:left="1800" w:right="10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any premium on any Note of that series at maturity, upon redemption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60 days in the payment when due of interest on any Note of that series;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if and so long as the Notes of that series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88"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w:t>
      </w:r>
    </w:p>
    <w:p>
      <w:pPr>
        <w:spacing w:after="0" w:line="2" w:lineRule="exact"/>
        <w:rPr>
          <w:rFonts w:ascii="Times New Roman" w:cs="Times New Roman" w:eastAsia="Times New Roman" w:hAnsi="Times New Roman"/>
          <w:sz w:val="18"/>
          <w:szCs w:val="18"/>
          <w:color w:val="auto"/>
        </w:rPr>
      </w:pPr>
    </w:p>
    <w:p>
      <w:pPr>
        <w:ind w:left="1800" w:right="4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99"/>
        <w:spacing w:after="0" w:line="282" w:lineRule="auto"/>
        <w:rPr>
          <w:sz w:val="20"/>
          <w:szCs w:val="20"/>
          <w:color w:val="auto"/>
        </w:rPr>
      </w:pPr>
      <w:r>
        <w:rPr>
          <w:rFonts w:ascii="Times New Roman" w:cs="Times New Roman" w:eastAsia="Times New Roman" w:hAnsi="Times New Roman"/>
          <w:sz w:val="18"/>
          <w:szCs w:val="18"/>
          <w:color w:val="auto"/>
        </w:rPr>
        <w:t>acceleration of the Notes shall be automatically rescinded, so long as such rescission does not conflict with any judgment or decree;</w:t>
      </w:r>
    </w:p>
    <w:p>
      <w:pPr>
        <w:spacing w:after="0" w:line="40" w:lineRule="exact"/>
        <w:rPr>
          <w:sz w:val="20"/>
          <w:szCs w:val="20"/>
          <w:color w:val="auto"/>
        </w:rPr>
      </w:pPr>
    </w:p>
    <w:p>
      <w:pPr>
        <w:ind w:left="1800" w:right="6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 bankruptcy, insolvency or reorganization of us or, if and so long as the Notes of that series are guaranteed by a Subsidiary Guarantor, by such Subsidiary Guarantor;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144" w:lineRule="exact"/>
        <w:rPr>
          <w:rFonts w:ascii="Times New Roman" w:cs="Times New Roman" w:eastAsia="Times New Roman" w:hAnsi="Times New Roman"/>
          <w:sz w:val="18"/>
          <w:szCs w:val="18"/>
          <w:color w:val="auto"/>
        </w:rPr>
      </w:pPr>
    </w:p>
    <w:p>
      <w:pPr>
        <w:ind w:left="2340" w:right="759" w:hanging="360"/>
        <w:spacing w:after="0" w:line="282" w:lineRule="auto"/>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94" w:lineRule="exact"/>
        <w:rPr>
          <w:rFonts w:ascii="Times New Roman" w:cs="Times New Roman" w:eastAsia="Times New Roman" w:hAnsi="Times New Roman"/>
          <w:sz w:val="18"/>
          <w:szCs w:val="18"/>
          <w:color w:val="auto"/>
        </w:rPr>
      </w:pPr>
    </w:p>
    <w:p>
      <w:pPr>
        <w:ind w:left="2340" w:right="439" w:hanging="360"/>
        <w:spacing w:after="0" w:line="261" w:lineRule="auto"/>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341" w:lineRule="exact"/>
        <w:rPr>
          <w:rFonts w:ascii="Times New Roman" w:cs="Times New Roman" w:eastAsia="Times New Roman" w:hAnsi="Times New Roman"/>
          <w:sz w:val="18"/>
          <w:szCs w:val="18"/>
          <w:color w:val="auto"/>
        </w:rPr>
      </w:pPr>
    </w:p>
    <w:p>
      <w:pPr>
        <w:ind w:left="2340" w:right="899" w:hanging="360"/>
        <w:spacing w:after="0" w:line="282" w:lineRule="auto"/>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 Event of Default regarding the Notes of either series will not necessarily constitute an Event of Default for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of such series to be due and payable immediately.</w:t>
      </w:r>
    </w:p>
    <w:p>
      <w:pPr>
        <w:spacing w:after="0" w:line="3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08"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If a Default with respect to the Notes of either series occurs and is continuing and is known to the trustee, the trustee must mail to each holder of such series of the Notes a notice of the Default within</w:t>
      </w:r>
    </w:p>
    <w:p>
      <w:pPr>
        <w:jc w:val="both"/>
        <w:ind w:left="1260" w:right="619"/>
        <w:spacing w:after="0" w:line="253" w:lineRule="auto"/>
        <w:rPr>
          <w:sz w:val="20"/>
          <w:szCs w:val="20"/>
          <w:color w:val="auto"/>
        </w:rPr>
      </w:pPr>
      <w:r>
        <w:rPr>
          <w:rFonts w:ascii="Times New Roman" w:cs="Times New Roman" w:eastAsia="Times New Roman" w:hAnsi="Times New Roman"/>
          <w:sz w:val="18"/>
          <w:szCs w:val="18"/>
          <w:color w:val="auto"/>
        </w:rPr>
        <w:t>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72"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in the case of a merger, or the surviving Person:</w:t>
      </w:r>
    </w:p>
    <w:p>
      <w:pPr>
        <w:spacing w:after="0" w:line="157" w:lineRule="exact"/>
        <w:rPr>
          <w:rFonts w:ascii="Times New Roman" w:cs="Times New Roman" w:eastAsia="Times New Roman" w:hAnsi="Times New Roman"/>
          <w:sz w:val="18"/>
          <w:szCs w:val="18"/>
          <w:color w:val="auto"/>
        </w:rPr>
      </w:pPr>
    </w:p>
    <w:p>
      <w:pPr>
        <w:ind w:left="2340" w:right="619" w:hanging="360"/>
        <w:spacing w:after="0" w:line="258" w:lineRule="auto"/>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02" w:lineRule="exact"/>
        <w:rPr>
          <w:rFonts w:ascii="Times New Roman" w:cs="Times New Roman" w:eastAsia="Times New Roman" w:hAnsi="Times New Roman"/>
          <w:sz w:val="18"/>
          <w:szCs w:val="18"/>
          <w:color w:val="auto"/>
        </w:rPr>
      </w:pPr>
    </w:p>
    <w:p>
      <w:pPr>
        <w:ind w:left="2340" w:right="499" w:hanging="360"/>
        <w:spacing w:after="0" w:line="261" w:lineRule="auto"/>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Generally, we, any Subsidiary Guarantors and the trustee may amend or supplement the Indenture, any guarantees and either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w:t>
      </w:r>
    </w:p>
    <w:p>
      <w:pPr>
        <w:spacing w:after="0" w:line="75" w:lineRule="exact"/>
        <w:rPr>
          <w:sz w:val="20"/>
          <w:szCs w:val="20"/>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such Note;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other provisions with respect to the redemption of any such Notes;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security that may have been granted with respect to such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currency other than that stated in such Notes;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such Notes to receive payments of principal of or premium, if any, or interest on the Notes;</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such Note;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Subsidiary Guarantor from its obligations with respect to such Notes under its guarantee or the Indenture or change any guarantee in any manner that would adversely affect the rights of holders;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Notwithstanding the preceding paragraph, without the consent of any holder of Notes, we, 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Guarantors and the trustee may amend or supplement the Indenture or the Notes:</w:t>
      </w:r>
    </w:p>
    <w:p>
      <w:pPr>
        <w:spacing w:after="0" w:line="99"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7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28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Subsidiary Guarantors as permitted pursuant to the terms of the Indenture (see “— Possible Future Guarantees”);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7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such Notes that do not, taken as a whole, adversely affect the rights under the Indenture of any holder of such Notes;</w:t>
      </w:r>
    </w:p>
    <w:p>
      <w:pPr>
        <w:spacing w:after="0" w:line="281"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such Notes and/or any guarantees;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under the Base Indenture.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72"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71"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1"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3"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54"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8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our debt or debt of any Restricted Subsidiary.</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15% of Consolidated Net Tangible Assets.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Sale-leasebacks</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will not, and will not permit any Subsidiary of Plains All American Pipeline to, engage in a Sale-leaseback Transaction, unless:</w:t>
      </w:r>
    </w:p>
    <w:p>
      <w:pPr>
        <w:spacing w:after="0" w:line="54" w:lineRule="exact"/>
        <w:rPr>
          <w:sz w:val="20"/>
          <w:szCs w:val="20"/>
          <w:color w:val="auto"/>
        </w:rPr>
      </w:pPr>
    </w:p>
    <w:p>
      <w:pPr>
        <w:ind w:left="1800" w:right="71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33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 Limitations on Liens,” does not exceed 15% of Consolidated Net Tangible Assets.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by which it is required to file (or would otherwise be required to file) such documents, unless, in each case, such filings are not then permitted by the SEC.</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the Notes.</w:t>
      </w:r>
    </w:p>
    <w:p>
      <w:pPr>
        <w:spacing w:after="0" w:line="32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Also, at any time, we may terminate our obligations under covenants described in the first paragraph of “— Possible Future Guarantees,” under “— Covenants” and under “— SEC Reports” with respect to the Notes of the defeased series (“covenant defeasance”), and thereafter our failure to comply with any of such covenants would not constitute an Event of Default with respect to that series.</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 with respect to the Notes of the defeased series.</w:t>
      </w:r>
    </w:p>
    <w:p>
      <w:pPr>
        <w:spacing w:after="0" w:line="10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20"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In the event of any legal defeasance, holders of the Notes of the defeased series would be entitled to look only to the defeasance trust for payment of principal of and any premium and interest on their Notes until maturity.</w:t>
      </w:r>
    </w:p>
    <w:p>
      <w:pPr>
        <w:spacing w:after="0" w:line="10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Notes of the defeased series at the time of their stated maturity, if we exercise our covenant defeasance option for the Notes of either series and the Notes of that series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with respect to either series of the Notes, other than certain obligations to the trustee and our obligation to register the transfer of or exchange the Notes, provided that we either:</w:t>
      </w:r>
    </w:p>
    <w:p>
      <w:pPr>
        <w:spacing w:after="0" w:line="61"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Notes of the applicable series to the trustee for cancellation;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and comply with the other requirements of the Indenture in relation to satisfaction and discharge.</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2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99"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12" w:lineRule="exact"/>
        <w:rPr>
          <w:sz w:val="20"/>
          <w:szCs w:val="20"/>
          <w:color w:val="auto"/>
        </w:rPr>
      </w:pPr>
    </w:p>
    <w:p>
      <w:pPr>
        <w:ind w:left="1260" w:right="7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after deducting therefrom:</w:t>
      </w:r>
    </w:p>
    <w:p>
      <w:pPr>
        <w:spacing w:after="0" w:line="93" w:lineRule="exact"/>
        <w:rPr>
          <w:sz w:val="20"/>
          <w:szCs w:val="20"/>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w:t>
      </w:r>
    </w:p>
    <w:p>
      <w:pPr>
        <w:spacing w:after="0" w:line="144" w:lineRule="exact"/>
        <w:rPr>
          <w:rFonts w:ascii="Times New Roman" w:cs="Times New Roman" w:eastAsia="Times New Roman" w:hAnsi="Times New Roman"/>
          <w:sz w:val="18"/>
          <w:szCs w:val="18"/>
          <w:color w:val="auto"/>
        </w:rPr>
      </w:pPr>
    </w:p>
    <w:p>
      <w:pPr>
        <w:ind w:left="2340" w:right="579" w:hanging="360"/>
        <w:spacing w:after="0" w:line="266" w:lineRule="auto"/>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long-term debt; and</w:t>
      </w:r>
    </w:p>
    <w:p>
      <w:pPr>
        <w:spacing w:after="0" w:line="157"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net of any applicable reserves, of all goodwill, trade names, trademarks, patents and other like intangible assets,</w:t>
      </w:r>
    </w:p>
    <w:p>
      <w:pPr>
        <w:spacing w:after="0" w:line="81"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158"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Managing General Partner</w:t>
      </w:r>
      <w:r>
        <w:rPr>
          <w:rFonts w:ascii="Times New Roman" w:cs="Times New Roman" w:eastAsia="Times New Roman" w:hAnsi="Times New Roman"/>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16"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Debt</w:t>
      </w:r>
      <w:r>
        <w:rPr>
          <w:rFonts w:ascii="Times New Roman" w:cs="Times New Roman" w:eastAsia="Times New Roman" w:hAnsi="Times New Roman"/>
          <w:sz w:val="18"/>
          <w:szCs w:val="18"/>
          <w:color w:val="auto"/>
        </w:rPr>
        <w:t>” means any of our Funded Debt, whether outstanding on the Issue Date or thereafter created, incurred or assumed, unless, in the case of any particular Funded Debt, the instrument creating or</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evidencing the same or pursuant to which the same is outstanding expressly provides that such Funded Debt shall be subordinated in right of payment to the Notes.</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60" w:lineRule="exact"/>
        <w:rPr>
          <w:sz w:val="20"/>
          <w:szCs w:val="20"/>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157" w:lineRule="exact"/>
        <w:rPr>
          <w:rFonts w:ascii="Times New Roman" w:cs="Times New Roman" w:eastAsia="Times New Roman" w:hAnsi="Times New Roman"/>
          <w:sz w:val="18"/>
          <w:szCs w:val="18"/>
          <w:color w:val="auto"/>
        </w:rPr>
      </w:pPr>
    </w:p>
    <w:p>
      <w:pPr>
        <w:ind w:left="1980" w:right="799" w:hanging="360"/>
        <w:spacing w:after="0" w:line="258"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15" w:lineRule="exact"/>
        <w:rPr>
          <w:rFonts w:ascii="Times New Roman" w:cs="Times New Roman" w:eastAsia="Times New Roman" w:hAnsi="Times New Roman"/>
          <w:sz w:val="18"/>
          <w:szCs w:val="18"/>
          <w:color w:val="auto"/>
        </w:rPr>
      </w:pPr>
    </w:p>
    <w:p>
      <w:pPr>
        <w:jc w:val="both"/>
        <w:ind w:left="1980" w:right="59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94"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157"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us or any Restricted Subsidiary resulting from the exercise of any rights arising out of defaults on receivables;</w:t>
      </w:r>
    </w:p>
    <w:p>
      <w:pPr>
        <w:spacing w:after="0" w:line="94" w:lineRule="exact"/>
        <w:rPr>
          <w:rFonts w:ascii="Times New Roman" w:cs="Times New Roman" w:eastAsia="Times New Roman" w:hAnsi="Times New Roman"/>
          <w:sz w:val="18"/>
          <w:szCs w:val="18"/>
          <w:color w:val="auto"/>
        </w:rPr>
      </w:pPr>
    </w:p>
    <w:p>
      <w:pPr>
        <w:jc w:val="both"/>
        <w:ind w:left="1980" w:right="71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Restricted Subsidiary;</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1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157" w:lineRule="exact"/>
        <w:rPr>
          <w:rFonts w:ascii="Times New Roman" w:cs="Times New Roman" w:eastAsia="Times New Roman" w:hAnsi="Times New Roman"/>
          <w:sz w:val="18"/>
          <w:szCs w:val="18"/>
          <w:color w:val="auto"/>
        </w:rPr>
      </w:pPr>
    </w:p>
    <w:p>
      <w:pPr>
        <w:ind w:left="1980" w:right="479" w:hanging="360"/>
        <w:spacing w:after="0" w:line="254"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340"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94" w:lineRule="exact"/>
        <w:rPr>
          <w:rFonts w:ascii="Times New Roman" w:cs="Times New Roman" w:eastAsia="Times New Roman" w:hAnsi="Times New Roman"/>
          <w:sz w:val="18"/>
          <w:szCs w:val="18"/>
          <w:color w:val="auto"/>
        </w:rPr>
      </w:pPr>
    </w:p>
    <w:p>
      <w:pPr>
        <w:ind w:left="1980" w:right="73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5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19" w:lineRule="exact"/>
        <w:rPr>
          <w:rFonts w:ascii="Times New Roman" w:cs="Times New Roman" w:eastAsia="Times New Roman" w:hAnsi="Times New Roman"/>
          <w:sz w:val="18"/>
          <w:szCs w:val="18"/>
          <w:color w:val="auto"/>
        </w:rPr>
      </w:pPr>
    </w:p>
    <w:p>
      <w:pPr>
        <w:ind w:left="1980" w:right="839" w:hanging="360"/>
        <w:spacing w:after="0" w:line="25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06"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06" w:lineRule="exact"/>
        <w:rPr>
          <w:rFonts w:ascii="Times New Roman" w:cs="Times New Roman" w:eastAsia="Times New Roman" w:hAnsi="Times New Roman"/>
          <w:sz w:val="18"/>
          <w:szCs w:val="18"/>
          <w:color w:val="auto"/>
        </w:rPr>
      </w:pPr>
    </w:p>
    <w:p>
      <w:pPr>
        <w:ind w:left="1980" w:right="111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to any municipality or public authority with respect to any lease, easement, right-of-way, license, franchise, privilege, permit or grant.</w:t>
      </w:r>
    </w:p>
    <w:p>
      <w:pPr>
        <w:spacing w:after="0" w:line="92" w:lineRule="exact"/>
        <w:rPr>
          <w:sz w:val="20"/>
          <w:szCs w:val="20"/>
          <w:color w:val="auto"/>
        </w:rPr>
      </w:pPr>
    </w:p>
    <w:p>
      <w:pPr>
        <w:jc w:val="both"/>
        <w:ind w:left="1260" w:right="87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Issue Date or thereafter acquired:</w:t>
      </w:r>
    </w:p>
    <w:p>
      <w:pPr>
        <w:spacing w:after="0" w:line="146" w:lineRule="exact"/>
        <w:rPr>
          <w:sz w:val="20"/>
          <w:szCs w:val="20"/>
          <w:color w:val="auto"/>
        </w:rPr>
      </w:pPr>
    </w:p>
    <w:p>
      <w:pPr>
        <w:ind w:left="1980" w:right="539" w:hanging="360"/>
        <w:spacing w:after="0" w:line="26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12"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19"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Plains All American Pipeline owning or leasing, directly or indirectly through ownership in another Subsidiary, any Principal Property.</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leaseback Transaction</w:t>
      </w:r>
      <w:r>
        <w:rPr>
          <w:rFonts w:ascii="Times New Roman" w:cs="Times New Roman" w:eastAsia="Times New Roman" w:hAnsi="Times New Roman"/>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60" w:lineRule="exact"/>
        <w:rPr>
          <w:sz w:val="20"/>
          <w:szCs w:val="20"/>
          <w:color w:val="auto"/>
        </w:rPr>
      </w:pPr>
    </w:p>
    <w:p>
      <w:pPr>
        <w:ind w:left="1980" w:right="559" w:hanging="360"/>
        <w:spacing w:after="0" w:line="258"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919" w:hanging="360"/>
        <w:spacing w:after="0" w:line="261"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10"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any Subsidiary of Plains All American Pipeline that executes a supplemental indenture to provide a guarantee of either or both series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will issue each series of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société anonyme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w:t>
      </w:r>
    </w:p>
    <w:p>
      <w:pPr>
        <w:spacing w:after="0" w:line="32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w:t>
      </w:r>
    </w:p>
    <w:p>
      <w:pPr>
        <w:spacing w:after="0" w:line="347"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ownership interest and transfer of ownership interest of each actual purchaser of each security held by or on behalf of DTC is recorded on the records of the Participants and the Indirect Participants.</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w:t>
      </w:r>
    </w:p>
    <w:p>
      <w:pPr>
        <w:spacing w:after="0" w:line="18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01"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left="1260" w:right="499"/>
        <w:spacing w:after="0"/>
        <w:tabs>
          <w:tab w:leader="none" w:pos="15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84"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7"/>
          <w:szCs w:val="17"/>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9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4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book-entry notes for certificated notes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  (1) DTC</w:t>
      </w:r>
    </w:p>
    <w:p>
      <w:pPr>
        <w:spacing w:after="0" w:line="27" w:lineRule="exact"/>
        <w:rPr>
          <w:sz w:val="20"/>
          <w:szCs w:val="20"/>
          <w:color w:val="auto"/>
        </w:rPr>
      </w:pPr>
    </w:p>
    <w:p>
      <w:pPr>
        <w:ind w:left="1260" w:right="459"/>
        <w:spacing w:after="0" w:line="253" w:lineRule="auto"/>
        <w:tabs>
          <w:tab w:leader="none" w:pos="15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discussion is limited to holders who purchase the Notes in this offering for cash at a price equal to the issue price of the applicable series of the Notes (i.e., the first price at which a substantial amount of such series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287"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Notes through non-U.S. brokers or other non-U.S. intermediaries;</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conversion or other “synthetic security” or integrated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tax-exempt for U.S. federal income tax purposes;</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through individual retirement accounts and other tax-deferred accounts;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the Notes</w:t>
      </w:r>
    </w:p>
    <w:p>
      <w:pPr>
        <w:spacing w:after="0" w:line="27" w:lineRule="exact"/>
        <w:rPr>
          <w:rFonts w:ascii="Times New Roman" w:cs="Times New Roman" w:eastAsia="Times New Roman" w:hAnsi="Times New Roman"/>
          <w:sz w:val="18"/>
          <w:szCs w:val="18"/>
          <w:color w:val="auto"/>
        </w:rPr>
      </w:pPr>
    </w:p>
    <w:p>
      <w:pPr>
        <w:ind w:left="1800" w:right="9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such income being recognized on an “applicable financial statement” (within​ the meaning of Section 451(b) of the Code);</w:t>
      </w:r>
    </w:p>
    <w:p>
      <w:pPr>
        <w:spacing w:after="0" w:line="7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a portion of the net proceeds from this offering pursuant to the redemption of our 4.65% Senior Notes due October 2025 and who also purchase the Notes in this offering;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treated as pass-through entities for U.S. federal income tax purposes and holders of interests therein.</w:t>
      </w:r>
    </w:p>
    <w:p>
      <w:pPr>
        <w:spacing w:after="0" w:line="8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Notes, the U.S. federal income tax treatment of a partner of the partnership generally will depend upon the status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pacing w:after="0" w:line="32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FOREIGN, OR OTHER TAXING JURISDICTION OR UNDER ANY APPLICABLE INCOME TAX TREATY.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certain circumstances (see “Description of Notes — 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summary will apply to you if you are a U.S. Holder of the Notes. You are a “U.S. Holder” for purposes of this discussion if you are a beneficial owner of a Note and you are for U.S. federal income tax purposes:</w:t>
      </w:r>
    </w:p>
    <w:p>
      <w:pPr>
        <w:spacing w:after="0" w:line="82"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4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Interest on a Note generally will be taxable to you as ordinary income at the time it is received or accrued in accordance with your regular method of accounting for U.S. federal income tax purposes.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cash and the fair market value of any other property received for the Note. To the extent that any portion of the amount realized on the sale, redemption, exchange, retirement or other taxable disposition of a Note is attributable to accrued but unpaid interest on a Note, this amount generally will not be included in the “amount realized” but will instead be treated in the same manner as described above in “— Tax Consequences to U.S. Holders — Interest on the Notes.”</w:t>
      </w:r>
    </w:p>
    <w:p>
      <w:pPr>
        <w:spacing w:after="0" w:line="11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Your adjusted tax basis in a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 term capital gain or loss. Long-term capital gains of individuals, estates and trusts currently are eligible for reduced rates of U.S. federal income tax. The deductibility of capital losses may be subject to limitation.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Information reporting generally will apply to payments of interest on, and the proceeds of the sale or other disposition (including a redemption, exchange, or retirement) of,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6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69"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our capital or profits interests;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(actually or constructively);</w:t>
      </w:r>
    </w:p>
    <w:p>
      <w:pPr>
        <w:spacing w:after="0" w:line="117" w:lineRule="exact"/>
        <w:rPr>
          <w:rFonts w:ascii="Times New Roman" w:cs="Times New Roman" w:eastAsia="Times New Roman" w:hAnsi="Times New Roman"/>
          <w:sz w:val="18"/>
          <w:szCs w:val="18"/>
          <w:color w:val="auto"/>
        </w:rPr>
      </w:pPr>
    </w:p>
    <w:p>
      <w:pPr>
        <w:jc w:val="both"/>
        <w:ind w:left="1800" w:right="5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 is in connection with an extension of credit made pursuant to a loan agreement entered into in the ordinary course of your trade or business;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is not effectively connected with your conduct of a U.S. trade or business.</w:t>
      </w:r>
    </w:p>
    <w:p>
      <w:pPr>
        <w:spacing w:after="0" w:line="144"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you also appropriately certify as to your foreign status. You can generally meet the certification requirement by providing a properly executed IRS Form W-8BEN or IRS Form W-8BEN -E (or other applicable form or successor form) to the applicable withholding agent. If you hold a Note through a financial institution or other agent acting on your behalf, you</w:t>
      </w: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 Tax Consequences to Non-U.S. Holders — Income or Gain Effectively Connected with a U.S. Trade or Business.”)</w:t>
      </w:r>
    </w:p>
    <w:p>
      <w:pPr>
        <w:spacing w:after="0" w:line="121"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 of) withholding under an applicable income tax treaty, you may obtain a refund of any excess amounts withheld if you timely provide the required information or appropriate claim form to the IRS.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68"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you of a U.S. trade or business;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94"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If your gain is described in the first bullet point above, you generally will be subject to U.S. federal income tax in the manner described below under “— Tax Consequences to Non-U.S. Holders — Income or Gain Effectively Connected with a U.S. Trade or Business.” If you are a non-U.S.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“Tax Consequences to U.S. Holders — Interest on the Notes.”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11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generally will not apply to payments to you of interest on a Note if the certification described in “— Tax Consequences to Non-U.S. Holders — Interest on the Notes” is duly provided or you otherwise establish an exemption.</w:t>
      </w:r>
    </w:p>
    <w:p>
      <w:pPr>
        <w:spacing w:after="0" w:line="9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Payment of the proceeds from a taxable disposition (including a redemption, exchange or retirement)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taxable disposition of a Note effected outside the United States by such a broker if it has certain relationships with the United States.</w:t>
      </w:r>
    </w:p>
    <w:p>
      <w:pPr>
        <w:spacing w:after="0" w:line="12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w:t>
      </w:r>
    </w:p>
    <w:p>
      <w:pPr>
        <w:spacing w:after="0" w:line="1"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w:t>
      </w:r>
    </w:p>
    <w:p>
      <w:pPr>
        <w:spacing w:after="0" w:line="4" w:lineRule="exact"/>
        <w:rPr>
          <w:sz w:val="20"/>
          <w:szCs w:val="20"/>
          <w:color w:val="auto"/>
        </w:rPr>
      </w:pPr>
    </w:p>
    <w:p>
      <w:pPr>
        <w:ind w:left="1260" w:right="679"/>
        <w:spacing w:after="0" w:line="253" w:lineRule="auto"/>
        <w:rPr>
          <w:sz w:val="20"/>
          <w:szCs w:val="20"/>
          <w:color w:val="auto"/>
        </w:rPr>
      </w:pPr>
      <w:r>
        <w:rPr>
          <w:rFonts w:ascii="Times New Roman" w:cs="Times New Roman" w:eastAsia="Times New Roman" w:hAnsi="Times New Roman"/>
          <w:sz w:val="18"/>
          <w:szCs w:val="18"/>
          <w:color w:val="auto"/>
        </w:rPr>
        <w:t>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10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the date of this prospectus supplement, between us and the underwriters named below, we have agreed to sell to each of the underwriters, for whom BofA Securities, Inc., Barclays Capital Inc., PNC Capital Markets LLC, TD Securities (USA) LLC and Wells Fargo Securities, LLC are acting as representatives, and the underwriters have agreed, severally and not jointly, to purchase the principal amount of the Notes of each series set forth opposite their respective names below:</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70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2031 Notes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2036 Notes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8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700" w:type="dxa"/>
            <w:vAlign w:val="bottom"/>
            <w:shd w:val="clear" w:color="auto" w:fill="CCEEFF"/>
          </w:tcPr>
          <w:p>
            <w:pPr>
              <w:spacing w:after="0"/>
              <w:rPr>
                <w:sz w:val="21"/>
                <w:szCs w:val="21"/>
                <w:color w:val="auto"/>
              </w:rPr>
            </w:pPr>
          </w:p>
        </w:tc>
        <w:tc>
          <w:tcPr>
            <w:tcW w:w="19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 ​​$             </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700" w:type="dxa"/>
            <w:vAlign w:val="bottom"/>
          </w:tcPr>
          <w:p>
            <w:pPr>
              <w:spacing w:after="0"/>
              <w:rPr>
                <w:sz w:val="22"/>
                <w:szCs w:val="22"/>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700" w:type="dxa"/>
            <w:vAlign w:val="bottom"/>
            <w:shd w:val="clear" w:color="auto" w:fill="CCEEFF"/>
          </w:tcPr>
          <w:p>
            <w:pPr>
              <w:spacing w:after="0"/>
              <w:rPr>
                <w:sz w:val="22"/>
                <w:szCs w:val="22"/>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4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700" w:type="dxa"/>
            <w:vAlign w:val="bottom"/>
          </w:tcPr>
          <w:p>
            <w:pPr>
              <w:spacing w:after="0"/>
              <w:rPr>
                <w:sz w:val="22"/>
                <w:szCs w:val="22"/>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700" w:type="dxa"/>
            <w:vAlign w:val="bottom"/>
            <w:shd w:val="clear" w:color="auto" w:fill="CCEEFF"/>
          </w:tcPr>
          <w:p>
            <w:pPr>
              <w:spacing w:after="0"/>
              <w:rPr>
                <w:sz w:val="22"/>
                <w:szCs w:val="22"/>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4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460" w:type="dxa"/>
            <w:vAlign w:val="bottom"/>
            <w:gridSpan w:val="3"/>
          </w:tcPr>
          <w:p>
            <w:pPr>
              <w:ind w:left="50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86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4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3"/>
                <w:szCs w:val="3"/>
                <w:color w:val="auto"/>
              </w:rPr>
              <w:t>​​ ​​</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-213360</wp:posOffset>
            </wp:positionV>
            <wp:extent cx="42862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-1207770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-1207770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discounts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underwriters propose initially to offer the Notes to the public at the public offering prices set forth on the cover page of this prospectus supplement and may offer the Notes to certain dealers at a price less a concession not in excess of        % of the principal amount of the 2031 Notes, with respect to the 2031 Notes, or        % of the principal amount of the 2036 Notes, with respect to the 2036 Notes. The underwriters may allow a discount not in excess of        % of the principal amount of the 2031 Notes, with respect to the 2031 Notes, or        % of the principal amount of the 2036 Notes, with respect to the 2036 Notes, on sales to certain other brokers and dealers. After this initial public offering, the public offering price, concession and discount for either series of the Notes may be changed.</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by us to the underwriters.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Underwriting</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Per 2031 Note</w:t>
            </w:r>
          </w:p>
        </w:tc>
        <w:tc>
          <w:tcPr>
            <w:tcW w:w="282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5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gridSpan w:val="4"/>
          </w:tcPr>
          <w:p>
            <w:pPr>
              <w:ind w:left="2720"/>
              <w:spacing w:after="0"/>
              <w:rPr>
                <w:sz w:val="20"/>
                <w:szCs w:val="20"/>
                <w:color w:val="auto"/>
              </w:rPr>
            </w:pPr>
            <w:r>
              <w:rPr>
                <w:rFonts w:ascii="Times New Roman" w:cs="Times New Roman" w:eastAsia="Times New Roman" w:hAnsi="Times New Roman"/>
                <w:sz w:val="18"/>
                <w:szCs w:val="18"/>
                <w:color w:val="auto"/>
              </w:rPr>
              <w:t xml:space="preserve">​ ​ ​$              </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Per 2036 Note</w:t>
            </w:r>
          </w:p>
        </w:tc>
        <w:tc>
          <w:tcPr>
            <w:tcW w:w="282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8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3"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            million.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62" w:lineRule="exact"/>
        <w:rPr>
          <w:sz w:val="20"/>
          <w:szCs w:val="20"/>
          <w:color w:val="auto"/>
        </w:rPr>
      </w:pPr>
    </w:p>
    <w:p>
      <w:pPr>
        <w:jc w:val="center"/>
        <w:ind w:left="1820" w:right="20"/>
        <w:spacing w:after="0" w:line="282" w:lineRule="auto"/>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 market. We do not currently intend to apply for listing of either series of the Notes on any securities exchange or to have either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series of the Notes quoted on any automated quotation system. We have been advised by the underwriters that the underwriters intend to make a market in each series of the Notes but are not obligated to do so and may discontinue market making at any time without notice. No assurance can be given as to whether or not a trading market for either series of the Notes will develop or as to the liquidity of any trading market for either series of the Notes which may develop. If an active public trading market for either series of the Notes does not develop, the market price and liquidity of such series of Notes may be adversely affected. If either series of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32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32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2025,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ind w:left="1260" w:right="479"/>
        <w:spacing w:after="0"/>
        <w:tabs>
          <w:tab w:leader="none" w:pos="15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279"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member states of the European Economic Area</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w:t>
      </w:r>
    </w:p>
    <w:p>
      <w:pPr>
        <w:ind w:left="1260"/>
        <w:spacing w:after="0" w:line="237" w:lineRule="auto"/>
        <w:rPr>
          <w:sz w:val="20"/>
          <w:szCs w:val="20"/>
          <w:color w:val="auto"/>
        </w:rPr>
      </w:pPr>
      <w:r>
        <w:rPr>
          <w:rFonts w:ascii="Times New Roman" w:cs="Times New Roman" w:eastAsia="Times New Roman" w:hAnsi="Times New Roman"/>
          <w:sz w:val="18"/>
          <w:szCs w:val="18"/>
          <w:color w:val="auto"/>
        </w:rPr>
        <w:t>offered, sold or otherwise made available to any retail investor in the European Economic Area (“EEA”).</w:t>
      </w:r>
    </w:p>
    <w:p>
      <w:pPr>
        <w:ind w:left="1260"/>
        <w:spacing w:after="0" w:line="234" w:lineRule="auto"/>
        <w:rPr>
          <w:sz w:val="20"/>
          <w:szCs w:val="20"/>
          <w:color w:val="auto"/>
        </w:rPr>
      </w:pPr>
      <w:r>
        <w:rPr>
          <w:rFonts w:ascii="Times New Roman" w:cs="Times New Roman" w:eastAsia="Times New Roman" w:hAnsi="Times New Roman"/>
          <w:sz w:val="18"/>
          <w:szCs w:val="18"/>
          <w:color w:val="auto"/>
        </w:rPr>
        <w:t>For these purposes, a retail investor means a person who is one (or more) of: (i) a retail client as defined in</w:t>
      </w:r>
    </w:p>
    <w:p>
      <w:pPr>
        <w:ind w:left="1260"/>
        <w:spacing w:after="0" w:line="220" w:lineRule="auto"/>
        <w:rPr>
          <w:sz w:val="20"/>
          <w:szCs w:val="20"/>
          <w:color w:val="auto"/>
        </w:rPr>
      </w:pPr>
      <w:r>
        <w:rPr>
          <w:rFonts w:ascii="Times New Roman" w:cs="Times New Roman" w:eastAsia="Times New Roman" w:hAnsi="Times New Roman"/>
          <w:sz w:val="18"/>
          <w:szCs w:val="18"/>
          <w:color w:val="auto"/>
        </w:rPr>
        <w:t>point (11) of Article 4(1) of Directive 2014/65/EU (as amended, “MiFID II”); or (ii) a customer within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meaning of Directive (EU) 2016/97, where that customer would not qualify as a professional client as</w:t>
      </w:r>
    </w:p>
    <w:p>
      <w:pPr>
        <w:ind w:left="1260"/>
        <w:spacing w:after="0" w:line="235" w:lineRule="auto"/>
        <w:rPr>
          <w:sz w:val="20"/>
          <w:szCs w:val="20"/>
          <w:color w:val="auto"/>
        </w:rPr>
      </w:pPr>
      <w:r>
        <w:rPr>
          <w:rFonts w:ascii="Times New Roman" w:cs="Times New Roman" w:eastAsia="Times New Roman" w:hAnsi="Times New Roman"/>
          <w:sz w:val="18"/>
          <w:szCs w:val="18"/>
          <w:color w:val="auto"/>
        </w:rPr>
        <w:t>defined in point (10) of Article 4(1) of MiFID II; or (iii) not a qualified investor as defined in</w:t>
      </w:r>
    </w:p>
    <w:p>
      <w:pPr>
        <w:ind w:left="1260"/>
        <w:spacing w:after="0" w:line="219" w:lineRule="auto"/>
        <w:rPr>
          <w:sz w:val="20"/>
          <w:szCs w:val="20"/>
          <w:color w:val="auto"/>
        </w:rPr>
      </w:pPr>
      <w:r>
        <w:rPr>
          <w:rFonts w:ascii="Times New Roman" w:cs="Times New Roman" w:eastAsia="Times New Roman" w:hAnsi="Times New Roman"/>
          <w:sz w:val="18"/>
          <w:szCs w:val="18"/>
          <w:color w:val="auto"/>
        </w:rPr>
        <w:t>Regulation (EU) 2017/1129 (as amended or superseded, the “Prospectus Regulation”). Consequently, no key</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information document required by Regulation (EU) No 1286/2014 (as amended, the “PRIIPs Regulation”)</w:t>
      </w:r>
    </w:p>
    <w:p>
      <w:pPr>
        <w:ind w:left="1260"/>
        <w:spacing w:after="0" w:line="235" w:lineRule="auto"/>
        <w:rPr>
          <w:sz w:val="20"/>
          <w:szCs w:val="20"/>
          <w:color w:val="auto"/>
        </w:rPr>
      </w:pPr>
      <w:r>
        <w:rPr>
          <w:rFonts w:ascii="Times New Roman" w:cs="Times New Roman" w:eastAsia="Times New Roman" w:hAnsi="Times New Roman"/>
          <w:sz w:val="18"/>
          <w:szCs w:val="18"/>
          <w:color w:val="auto"/>
        </w:rPr>
        <w:t>for offering or selling the Notes or otherwise making them available to retail investors in the EEA has been</w:t>
      </w:r>
    </w:p>
    <w:p>
      <w:pPr>
        <w:ind w:left="1260"/>
        <w:spacing w:after="0" w:line="219" w:lineRule="auto"/>
        <w:rPr>
          <w:sz w:val="20"/>
          <w:szCs w:val="20"/>
          <w:color w:val="auto"/>
        </w:rPr>
      </w:pPr>
      <w:r>
        <w:rPr>
          <w:rFonts w:ascii="Times New Roman" w:cs="Times New Roman" w:eastAsia="Times New Roman" w:hAnsi="Times New Roman"/>
          <w:sz w:val="18"/>
          <w:szCs w:val="18"/>
          <w:color w:val="auto"/>
        </w:rPr>
        <w:t>prepared and therefore offering or selling the Notes or otherwise making them available to any retail</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investor in the EEA may be unlawful under the PRIIPs Regulation. This prospectus supplement and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accompanying prospectus have been prepared on the basis that any offer of Notes in any member state of</w:t>
      </w:r>
    </w:p>
    <w:p>
      <w:pPr>
        <w:ind w:left="1260"/>
        <w:spacing w:after="0" w:line="219" w:lineRule="auto"/>
        <w:rPr>
          <w:sz w:val="20"/>
          <w:szCs w:val="20"/>
          <w:color w:val="auto"/>
        </w:rPr>
      </w:pPr>
      <w:r>
        <w:rPr>
          <w:rFonts w:ascii="Times New Roman" w:cs="Times New Roman" w:eastAsia="Times New Roman" w:hAnsi="Times New Roman"/>
          <w:sz w:val="18"/>
          <w:szCs w:val="18"/>
          <w:color w:val="auto"/>
        </w:rPr>
        <w:t>the EEA will be made pursuant to an exemption under the Prospectus Regulation from the requirement to</w:t>
      </w:r>
    </w:p>
    <w:p>
      <w:pPr>
        <w:ind w:left="1260"/>
        <w:spacing w:after="0" w:line="235" w:lineRule="auto"/>
        <w:rPr>
          <w:sz w:val="20"/>
          <w:szCs w:val="20"/>
          <w:color w:val="auto"/>
        </w:rPr>
      </w:pPr>
      <w:r>
        <w:rPr>
          <w:rFonts w:ascii="Times New Roman" w:cs="Times New Roman" w:eastAsia="Times New Roman" w:hAnsi="Times New Roman"/>
          <w:sz w:val="18"/>
          <w:szCs w:val="18"/>
          <w:color w:val="auto"/>
        </w:rPr>
        <w:t>publish a prospectus for offers of Notes. This prospectus supplement and the accompanying prospectus are</w:t>
      </w:r>
    </w:p>
    <w:p>
      <w:pPr>
        <w:ind w:left="1260"/>
        <w:spacing w:after="0"/>
        <w:rPr>
          <w:sz w:val="20"/>
          <w:szCs w:val="20"/>
          <w:color w:val="auto"/>
        </w:rPr>
      </w:pPr>
      <w:r>
        <w:rPr>
          <w:rFonts w:ascii="Times New Roman" w:cs="Times New Roman" w:eastAsia="Times New Roman" w:hAnsi="Times New Roman"/>
          <w:sz w:val="18"/>
          <w:szCs w:val="18"/>
          <w:color w:val="auto"/>
        </w:rPr>
        <w:t>not a prospectus for the purposes of the Prospectus Regulation.</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and will not be registered under the Financial Instruments and Exchange Law of Japan (“Financial Instruments and Exchange Law”). The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6" w:lineRule="auto"/>
        <w:rPr>
          <w:sz w:val="20"/>
          <w:szCs w:val="20"/>
          <w:color w:val="auto"/>
        </w:rPr>
      </w:pPr>
      <w:r>
        <w:rPr>
          <w:rFonts w:ascii="Times New Roman" w:cs="Times New Roman" w:eastAsia="Times New Roman" w:hAnsi="Times New Roman"/>
          <w:sz w:val="18"/>
          <w:szCs w:val="18"/>
          <w:color w:val="auto"/>
        </w:rPr>
        <w:t>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99" w:lineRule="exact"/>
        <w:rPr>
          <w:sz w:val="20"/>
          <w:szCs w:val="20"/>
          <w:color w:val="auto"/>
        </w:rPr>
      </w:pPr>
    </w:p>
    <w:p>
      <w:pPr>
        <w:jc w:val="both"/>
        <w:ind w:left="1800" w:right="75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w:t>
      </w:r>
    </w:p>
    <w:p>
      <w:pPr>
        <w:ind w:left="180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6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Korea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Abu Dhabi Global Market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spacing w:after="0" w:line="261" w:lineRule="auto"/>
        <w:rPr>
          <w:sz w:val="20"/>
          <w:szCs w:val="20"/>
          <w:color w:val="auto"/>
        </w:rPr>
      </w:pPr>
      <w:r>
        <w:rPr>
          <w:rFonts w:ascii="Times New Roman" w:cs="Times New Roman" w:eastAsia="Times New Roman" w:hAnsi="Times New Roman"/>
          <w:sz w:val="18"/>
          <w:szCs w:val="18"/>
          <w:color w:val="auto"/>
        </w:rPr>
        <w:t>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w:t>
      </w:r>
    </w:p>
    <w:p>
      <w:pPr>
        <w:spacing w:after="0" w:line="27"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Affiliates of certain underwriters are lenders under our credit facilities or dealers under our commercial paper program and may hold commercial paper notes thereunder. Additionally, certain of the underwriters or their affiliates may hold some of the 4.65% Senior Notes due October 2025. Accordingly, such underwriters or affiliates may receive a portion of the net proceeds from this offering used to redeem the 4.65% Senior Notes due October 2025.</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of either series.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of the underwriters or their affiliates may hold some of the 4.65% Senior Notes due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2025. Because certain of the underwriters and/or their affiliates may receive at least 5% of the net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offering proceeds of this offering, such underwriters and/or their affiliates could be deemed to have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“conflict of interest” under Rule 5121 of the Financial Industry Regulatory Authority, Inc. (“Rule 5121”).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 “Use of Proceeds.” Accordingly, this offering is being made in compliance with the requirements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5121. The appointment of a “qualified independent underwriter” is not required in connection with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offering because the Notes are “investment grade rated” as defined in paragraph (f)(8) of Rule 5121.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and/or their affiliates will not confirm sales of the Notes offered hereby to any account over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it exercises discretionary authority without the prior written approval of the customer.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and/or their affiliates will retain documentation of such approval in its records.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36">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40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8-K) until the offering and sale of the Notes contemplated by this prospectus supplement are complete:</w:t>
      </w:r>
    </w:p>
    <w:p>
      <w:pPr>
        <w:spacing w:after="0" w:line="99" w:lineRule="exact"/>
        <w:rPr>
          <w:sz w:val="20"/>
          <w:szCs w:val="20"/>
          <w:color w:val="auto"/>
        </w:rPr>
      </w:pPr>
    </w:p>
    <w:p>
      <w:pPr>
        <w:ind w:left="1800" w:right="699" w:hanging="180"/>
        <w:spacing w:after="0" w:line="282" w:lineRule="auto"/>
        <w:tabs>
          <w:tab w:leader="none" w:pos="1800" w:val="left"/>
        </w:tabs>
        <w:numPr>
          <w:ilvl w:val="0"/>
          <w:numId w:val="39"/>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information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specifically incorporated by reference from our Proxy Statement for our 2025 Annual Meeting;</w:t>
      </w:r>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periods ended </w:t>
      </w:r>
      <w:hyperlink r:id="rId41">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2">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9"/>
        </w:numPr>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15, 2025, March 26,</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 xml:space="preserve">2025, </w:t>
        </w:r>
      </w:hyperlink>
      <w:hyperlink r:id="rId95">
        <w:r>
          <w:rPr>
            <w:rFonts w:ascii="Times New Roman" w:cs="Times New Roman" w:eastAsia="Times New Roman" w:hAnsi="Times New Roman"/>
            <w:sz w:val="18"/>
            <w:szCs w:val="18"/>
            <w:u w:val="single" w:color="auto"/>
            <w:color w:val="0000EE"/>
          </w:rPr>
          <w:t>May 23, 2025</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June 17, 2025</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 xml:space="preserve">August 18, 2025 </w:t>
        </w:r>
      </w:hyperlink>
      <w:hyperlink r:id="rId9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September 2, 2025</w:t>
        </w:r>
      </w:hyperlink>
      <w:hyperlink r:id="rId94">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15"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0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39"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regarding us. The SEC’s website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Units</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Preferred Units</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332"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before you make an investment in our securities.</w:t>
      </w:r>
    </w:p>
    <w:p>
      <w:pPr>
        <w:spacing w:after="0" w:line="89"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91"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2835910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72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4720" w:type="dxa"/>
            <w:vAlign w:val="bottom"/>
            <w:gridSpan w:val="9"/>
            <w:shd w:val="clear" w:color="auto" w:fill="CCEEFF"/>
          </w:tcPr>
          <w:p>
            <w:pPr>
              <w:spacing w:after="0"/>
              <w:rPr>
                <w:sz w:val="14"/>
                <w:szCs w:val="14"/>
                <w:color w:val="auto"/>
              </w:rPr>
            </w:pPr>
          </w:p>
        </w:tc>
        <w:tc>
          <w:tcPr>
            <w:tcW w:w="176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ii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tcPr>
          <w:p>
            <w:pPr>
              <w:spacing w:after="0"/>
              <w:rPr>
                <w:sz w:val="17"/>
                <w:szCs w:val="17"/>
                <w:color w:val="auto"/>
              </w:rPr>
            </w:pPr>
          </w:p>
        </w:tc>
        <w:tc>
          <w:tcPr>
            <w:tcW w:w="1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EE"/>
              </w:rPr>
              <w:t>iii</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shd w:val="clear" w:color="auto" w:fill="0000EE"/>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5"/>
              </w:rPr>
              <w:t>iv</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0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Plains All American Pipeline, L.P.</w:t>
            </w:r>
          </w:p>
        </w:tc>
        <w:tc>
          <w:tcPr>
            <w:tcW w:w="16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4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2"/>
            <w:shd w:val="clear" w:color="auto" w:fill="CCEEFF"/>
          </w:tcPr>
          <w:p>
            <w:pPr>
              <w:spacing w:after="0"/>
              <w:rPr>
                <w:sz w:val="2"/>
                <w:szCs w:val="2"/>
                <w:color w:val="auto"/>
              </w:rPr>
            </w:pPr>
          </w:p>
        </w:tc>
        <w:tc>
          <w:tcPr>
            <w:tcW w:w="7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Debt Securities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Our Preferred Units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Common Units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00" w:type="dxa"/>
            <w:vAlign w:val="bottom"/>
            <w:tcBorders>
              <w:bottom w:val="single" w:sz="8" w:color="CCEEFF"/>
            </w:tcBorders>
            <w:gridSpan w:val="4"/>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Cash Distribution Policy</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36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Partnership Agreement</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94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1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w:t>
      </w:r>
    </w:p>
    <w:p>
      <w:pPr>
        <w:spacing w:after="0" w:line="72"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our Annual Report on Form 10-K for the fiscal year ended December 31, 2023;</w:t>
        </w:r>
      </w:hyperlink>
    </w:p>
    <w:p>
      <w:pPr>
        <w:spacing w:after="0" w:line="117" w:lineRule="exact"/>
        <w:rPr>
          <w:rFonts w:ascii="Times New Roman" w:cs="Times New Roman" w:eastAsia="Times New Roman" w:hAnsi="Times New Roman"/>
          <w:sz w:val="18"/>
          <w:szCs w:val="18"/>
          <w:u w:val="single" w:color="auto"/>
          <w:color w:val="0000EE"/>
        </w:rPr>
      </w:pPr>
    </w:p>
    <w:p>
      <w:pPr>
        <w:ind w:left="1800" w:right="679" w:hanging="180"/>
        <w:spacing w:after="0" w:line="282" w:lineRule="auto"/>
        <w:tabs>
          <w:tab w:leader="none" w:pos="1800" w:val="left"/>
        </w:tabs>
        <w:numPr>
          <w:ilvl w:val="0"/>
          <w:numId w:val="40"/>
        </w:numPr>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auto"/>
          </w:rPr>
          <w:t xml:space="preserve">our Quarterly Reports on Form 10-Q for the quarterly periods ended </w:t>
        </w:r>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30,</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1199" w:hanging="180"/>
        <w:spacing w:after="0" w:line="282" w:lineRule="auto"/>
        <w:tabs>
          <w:tab w:leader="none" w:pos="1800" w:val="left"/>
        </w:tabs>
        <w:numPr>
          <w:ilvl w:val="0"/>
          <w:numId w:val="4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106">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9">
        <w:r>
          <w:rPr>
            <w:rFonts w:ascii="Times New Roman" w:cs="Times New Roman" w:eastAsia="Times New Roman" w:hAnsi="Times New Roman"/>
            <w:sz w:val="18"/>
            <w:szCs w:val="18"/>
            <w:u w:val="single" w:color="auto"/>
            <w:color w:val="0000EE"/>
          </w:rPr>
          <w:t>August 22,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800" w:right="439" w:hanging="180"/>
        <w:spacing w:after="0" w:line="266" w:lineRule="auto"/>
        <w:tabs>
          <w:tab w:leader="none" w:pos="1800" w:val="left"/>
        </w:tabs>
        <w:numPr>
          <w:ilvl w:val="0"/>
          <w:numId w:val="40"/>
        </w:numPr>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auto"/>
          </w:rPr>
          <w:t xml:space="preserve">information specifically incorporated by reference into our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 proxy statement, on Schedule 14A, filed with the SEC on</w:t>
        </w:r>
      </w:hyperlink>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April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jc w:val="both"/>
        <w:ind w:left="1800" w:right="599" w:hanging="180"/>
        <w:spacing w:after="0" w:line="261" w:lineRule="auto"/>
        <w:tabs>
          <w:tab w:leader="none" w:pos="1800" w:val="left"/>
        </w:tabs>
        <w:numPr>
          <w:ilvl w:val="0"/>
          <w:numId w:val="4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units contained in </w:t>
      </w:r>
      <w:hyperlink r:id="rId111">
        <w:r>
          <w:rPr>
            <w:rFonts w:ascii="Times New Roman" w:cs="Times New Roman" w:eastAsia="Times New Roman" w:hAnsi="Times New Roman"/>
            <w:sz w:val="18"/>
            <w:szCs w:val="18"/>
            <w:u w:val="single" w:color="auto"/>
            <w:color w:val="0000EE"/>
          </w:rPr>
          <w:t>Exhibit 4.16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w:t>
      </w:r>
      <w:hyperlink r:id="rId112">
        <w:r>
          <w:rPr>
            <w:rFonts w:ascii="Times New Roman" w:cs="Times New Roman" w:eastAsia="Times New Roman" w:hAnsi="Times New Roman"/>
            <w:sz w:val="18"/>
            <w:szCs w:val="18"/>
            <w:color w:val="auto"/>
          </w:rPr>
          <w:t xml:space="preserve">for the year ended December 31, 2023, </w:t>
        </w:r>
        <w:r>
          <w:rPr>
            <w:rFonts w:ascii="Times New Roman" w:cs="Times New Roman" w:eastAsia="Times New Roman" w:hAnsi="Times New Roman"/>
            <w:sz w:val="18"/>
            <w:szCs w:val="18"/>
            <w:u w:val="single" w:color="auto"/>
            <w:color w:val="0000EE"/>
          </w:rPr>
          <w:t>Form 8-A/A dated November 16, 2016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Form 8-A dated</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December 11, 2020</w:t>
        </w:r>
        <w:r>
          <w:rPr>
            <w:rFonts w:ascii="Times New Roman" w:cs="Times New Roman" w:eastAsia="Times New Roman" w:hAnsi="Times New Roman"/>
            <w:sz w:val="18"/>
            <w:szCs w:val="18"/>
            <w:color w:val="000000"/>
          </w:rPr>
          <w:t>, and any subsequent amendment thereto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99" w:lineRule="exact"/>
        <w:rPr>
          <w:rFonts w:ascii="Times New Roman" w:cs="Times New Roman" w:eastAsia="Times New Roman" w:hAnsi="Times New Roman"/>
          <w:sz w:val="18"/>
          <w:szCs w:val="18"/>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08"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39" w:lineRule="exact"/>
        <w:rPr>
          <w:rFonts w:ascii="Times New Roman" w:cs="Times New Roman" w:eastAsia="Times New Roman" w:hAnsi="Times New Roman"/>
          <w:sz w:val="18"/>
          <w:szCs w:val="18"/>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7" w:lineRule="exact"/>
        <w:rPr>
          <w:sz w:val="20"/>
          <w:szCs w:val="20"/>
          <w:color w:val="auto"/>
        </w:rPr>
      </w:pPr>
    </w:p>
    <w:p>
      <w:pPr>
        <w:ind w:left="1800" w:right="539" w:hanging="180"/>
        <w:spacing w:after="0" w:line="25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2"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72"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8"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26"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4"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26" w:lineRule="exact"/>
        <w:rPr>
          <w:rFonts w:ascii="Times New Roman" w:cs="Times New Roman" w:eastAsia="Times New Roman" w:hAnsi="Times New Roman"/>
          <w:sz w:val="18"/>
          <w:szCs w:val="18"/>
          <w:color w:val="auto"/>
        </w:rPr>
      </w:pPr>
    </w:p>
    <w:p>
      <w:pPr>
        <w:ind w:left="1800" w:right="93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w:t>
      </w:r>
    </w:p>
    <w:p>
      <w:pPr>
        <w:ind w:left="18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64"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4"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5"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7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26"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26"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jc w:val="both"/>
        <w:ind w:left="1800" w:right="619" w:hanging="180"/>
        <w:spacing w:after="0" w:line="275"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or incorporated by reference herein, as well as factors that are unknown or unpredictable, could also have a material adverse effect on future results. See “Risk Factors” beginning on </w:t>
      </w:r>
      <w:hyperlink r:id="rId104">
        <w:r>
          <w:rPr>
            <w:rFonts w:ascii="Times New Roman" w:cs="Times New Roman" w:eastAsia="Times New Roman" w:hAnsi="Times New Roman"/>
            <w:sz w:val="18"/>
            <w:szCs w:val="18"/>
            <w:color w:val="auto"/>
          </w:rPr>
          <w:t xml:space="preserve">page 3 of this prospectus and discussed in Item 1A. “Risk Factors” in our Annual Report on </w:t>
        </w:r>
        <w:r>
          <w:rPr>
            <w:rFonts w:ascii="Times New Roman" w:cs="Times New Roman" w:eastAsia="Times New Roman" w:hAnsi="Times New Roman"/>
            <w:sz w:val="18"/>
            <w:szCs w:val="18"/>
            <w:u w:val="single" w:color="auto"/>
            <w:color w:val="0000EE"/>
          </w:rPr>
          <w:t>Form 10-K for</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the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in any of our subsequent quarterly or current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ABOUT PLAINS ALL AMERICAN PIPELINE, L.P.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12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Executive Offices and Internet Address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60" w:right="43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us please refer to the documents set forth under “Where You Can Find </w:t>
      </w:r>
      <w:hyperlink r:id="rId104">
        <w:r>
          <w:rPr>
            <w:rFonts w:ascii="Times New Roman" w:cs="Times New Roman" w:eastAsia="Times New Roman" w:hAnsi="Times New Roman"/>
            <w:sz w:val="18"/>
            <w:szCs w:val="18"/>
            <w:color w:val="auto"/>
          </w:rPr>
          <w:t xml:space="preserve">More Information” in this prospectus, including our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December 31, 2023 (File No. 001-14569)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of our subsequent quarterly reports or current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An investment in our securities involves a high degree of risk. Before you invest in our securities, you </w:t>
      </w:r>
      <w:hyperlink r:id="rId104">
        <w:r>
          <w:rPr>
            <w:rFonts w:ascii="Times New Roman" w:cs="Times New Roman" w:eastAsia="Times New Roman" w:hAnsi="Times New Roman"/>
            <w:sz w:val="18"/>
            <w:szCs w:val="18"/>
            <w:color w:val="auto"/>
          </w:rPr>
          <w:t xml:space="preserve">should carefully consider the risk factors included in Item 1A. “Risk Factors” in our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10-K for the year ended December 31, 2023 (File No. 001-14569)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 any of our subsequent quarterly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117"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Trust Company, National Association, as successor Trustee.</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2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148"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68"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1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61" w:lineRule="exact"/>
        <w:rPr>
          <w:sz w:val="20"/>
          <w:szCs w:val="20"/>
          <w:color w:val="auto"/>
        </w:rPr>
      </w:pPr>
    </w:p>
    <w:p>
      <w:pPr>
        <w:ind w:left="1800" w:right="41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under “— Events of Default and Remedies” below) may exist.</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set forth in the prospectus supplement, the debt securities will not contain any</w:t>
      </w:r>
    </w:p>
    <w:p>
      <w:pPr>
        <w:spacing w:after="0" w:line="27"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provisions that protect the holders of the debt securities in the event of a change of control of us or in the event of a highly leveraged transaction, whether or not such transaction results in a change of control of us.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8" w:lineRule="exact"/>
        <w:rPr>
          <w:sz w:val="20"/>
          <w:szCs w:val="20"/>
          <w:color w:val="auto"/>
        </w:rPr>
      </w:pPr>
    </w:p>
    <w:p>
      <w:pPr>
        <w:ind w:left="1800" w:right="10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10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8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supplement or amend an indenture without the consent of any holders of the debt securities in certain circumstances, including:</w:t>
      </w:r>
    </w:p>
    <w:p>
      <w:pPr>
        <w:spacing w:after="0" w:line="40"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obligations to holders of debt securities in the case of a merger or consolidation or disposition of all or substantially all of such issuer’s assets;</w:t>
      </w:r>
    </w:p>
    <w:p>
      <w:pPr>
        <w:spacing w:after="0" w:line="40" w:lineRule="exact"/>
        <w:rPr>
          <w:rFonts w:ascii="Times New Roman" w:cs="Times New Roman" w:eastAsia="Times New Roman" w:hAnsi="Times New Roman"/>
          <w:sz w:val="18"/>
          <w:szCs w:val="18"/>
          <w:color w:val="auto"/>
        </w:rPr>
      </w:pPr>
    </w:p>
    <w:p>
      <w:pPr>
        <w:jc w:val="both"/>
        <w:ind w:left="1800" w:right="69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54"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 Consolidation, Merger or Asset Sale;”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158"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0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1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104" w:lineRule="exact"/>
        <w:rPr>
          <w:sz w:val="20"/>
          <w:szCs w:val="20"/>
          <w:color w:val="auto"/>
        </w:rPr>
      </w:pPr>
    </w:p>
    <w:p>
      <w:pPr>
        <w:ind w:left="1800" w:right="47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44"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148"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authorizing resolutions respecting any issuance of a series of subordinated debt securities, and the definition will be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provide that no payment of principal, interest and any premium on the subordinated debt securities may be made in the event:</w:t>
      </w:r>
    </w:p>
    <w:p>
      <w:pPr>
        <w:spacing w:after="0" w:line="54"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8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8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1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54" w:lineRule="exact"/>
        <w:rPr>
          <w:sz w:val="20"/>
          <w:szCs w:val="20"/>
          <w:color w:val="auto"/>
        </w:rPr>
      </w:pPr>
    </w:p>
    <w:p>
      <w:pPr>
        <w:jc w:val="both"/>
        <w:ind w:left="1800" w:right="8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35"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81" w:lineRule="exact"/>
        <w:rPr>
          <w:sz w:val="20"/>
          <w:szCs w:val="20"/>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rFonts w:ascii="Times New Roman" w:cs="Times New Roman" w:eastAsia="Times New Roman" w:hAnsi="Times New Roman"/>
          <w:sz w:val="18"/>
          <w:szCs w:val="18"/>
          <w:color w:val="auto"/>
        </w:rPr>
      </w:pPr>
    </w:p>
    <w:p>
      <w:pPr>
        <w:ind w:left="2340" w:right="519" w:hanging="360"/>
        <w:spacing w:after="0" w:line="261" w:lineRule="auto"/>
        <w:tabs>
          <w:tab w:leader="none" w:pos="2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98" w:lineRule="exact"/>
        <w:rPr>
          <w:rFonts w:ascii="Times New Roman" w:cs="Times New Roman" w:eastAsia="Times New Roman" w:hAnsi="Times New Roman"/>
          <w:sz w:val="18"/>
          <w:szCs w:val="18"/>
          <w:color w:val="auto"/>
        </w:rPr>
      </w:pPr>
    </w:p>
    <w:p>
      <w:pPr>
        <w:ind w:left="2340" w:right="419" w:hanging="360"/>
        <w:spacing w:after="0" w:line="253" w:lineRule="auto"/>
        <w:tabs>
          <w:tab w:leader="none" w:pos="2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9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4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135"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resignation will require the appointment of a successor trustee under the applicable indenture in accordance with the terms and conditions of such indenture.</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OUR PREFERRED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116"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32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32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in arrears, (iii) the creation or issuance of any senior securities and (iv) the payment of distributions to our common unitholders out of capital surplus.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12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Future Issuances of Preferred Units</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68" w:lineRule="exact"/>
        <w:rPr>
          <w:sz w:val="20"/>
          <w:szCs w:val="20"/>
          <w:color w:val="auto"/>
        </w:rPr>
      </w:pPr>
    </w:p>
    <w:p>
      <w:pPr>
        <w:ind w:left="1800" w:right="7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liquidation preference of the preferred units and the number of preferred units offered;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at which the preferred units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rights of the preferred units, if any;</w:t>
      </w:r>
    </w:p>
    <w:p>
      <w:pPr>
        <w:spacing w:after="0" w:line="117" w:lineRule="exact"/>
        <w:rPr>
          <w:rFonts w:ascii="Times New Roman" w:cs="Times New Roman" w:eastAsia="Times New Roman" w:hAnsi="Times New Roman"/>
          <w:sz w:val="18"/>
          <w:szCs w:val="18"/>
          <w:color w:val="auto"/>
        </w:rPr>
      </w:pPr>
    </w:p>
    <w:p>
      <w:pPr>
        <w:ind w:left="1800" w:right="15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material federal income tax considerations regarding the preferred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Our outstanding common units are listed on NASDAQ under the symbol “PAA.” Any additional common units we issue will also be listed on NASDAQ.</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Equiniti Trust Company, LLC.</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32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under “Description of Our Partnership Agreement — Limited Liability,” the common units will be fully paid, and common unitholders will not be required to make additional capital contributions to us.</w:t>
      </w:r>
    </w:p>
    <w:p>
      <w:pPr>
        <w:spacing w:after="0" w:line="10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1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An assignee, pending its admission as a substituted limited partner, is entitled to an interest in us equivalent to that of a limited partner with respect to the right to share in allocations and distributions,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9" w:lineRule="auto"/>
        <w:rPr>
          <w:sz w:val="20"/>
          <w:szCs w:val="20"/>
          <w:color w:val="auto"/>
        </w:rPr>
      </w:pPr>
      <w:r>
        <w:rPr>
          <w:rFonts w:ascii="Times New Roman" w:cs="Times New Roman" w:eastAsia="Times New Roman" w:hAnsi="Times New Roman"/>
          <w:sz w:val="18"/>
          <w:szCs w:val="18"/>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ownership percentage in PAGP GP.</w:t>
      </w:r>
    </w:p>
    <w:p>
      <w:pPr>
        <w:spacing w:after="0" w:line="1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160"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described below.</w:t>
      </w:r>
    </w:p>
    <w:p>
      <w:pPr>
        <w:spacing w:after="0" w:line="91"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all cash and cash equivalents on hand at the end of that quarter less reserves established in the reasonable discretion of the general partner to:</w:t>
      </w:r>
    </w:p>
    <w:p>
      <w:pPr>
        <w:spacing w:after="0" w:line="61" w:lineRule="exact"/>
        <w:rPr>
          <w:sz w:val="20"/>
          <w:szCs w:val="20"/>
          <w:color w:val="auto"/>
        </w:rPr>
      </w:pPr>
    </w:p>
    <w:p>
      <w:pPr>
        <w:ind w:left="1800" w:right="9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loan agreement, security agreement, mortgage, debt instrument or other agreement or obligation; or</w:t>
      </w:r>
    </w:p>
    <w:p>
      <w:pPr>
        <w:spacing w:after="0" w:line="40"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our Series A and Series B preferred unitholders or distributions to our common unitholders for any one or more of the next four quarters.</w:t>
      </w:r>
    </w:p>
    <w:p>
      <w:pPr>
        <w:spacing w:after="0" w:line="9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Our available cash also includes cash on hand resulting from borrowings made after the end of the quarter.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14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common unitholders will be characterized as either operating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capital surplus. We distribute available cash from operating surplus differently than available cash from capital surplus. See “— Quarterly Distributions of Available Cash.”</w:t>
      </w:r>
    </w:p>
    <w:p>
      <w:pPr>
        <w:spacing w:after="0" w:line="99" w:lineRule="exact"/>
        <w:rPr>
          <w:sz w:val="20"/>
          <w:szCs w:val="20"/>
          <w:color w:val="auto"/>
        </w:rPr>
      </w:pPr>
    </w:p>
    <w:p>
      <w:pPr>
        <w:ind w:left="1620"/>
        <w:spacing w:after="0"/>
        <w:tabs>
          <w:tab w:leader="none" w:pos="4200" w:val="left"/>
        </w:tabs>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Operating surplus refers generally to:</w:t>
      </w:r>
    </w:p>
    <w:p>
      <w:pPr>
        <w:spacing w:after="0" w:line="119"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06" w:lineRule="exact"/>
        <w:rPr>
          <w:sz w:val="20"/>
          <w:szCs w:val="20"/>
          <w:color w:val="auto"/>
        </w:rPr>
      </w:pPr>
    </w:p>
    <w:p>
      <w:pPr>
        <w:ind w:left="1620"/>
        <w:spacing w:after="0"/>
        <w:tabs>
          <w:tab w:leader="none" w:pos="4000" w:val="left"/>
        </w:tabs>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Capital surplus will generally be generated only by:</w:t>
      </w:r>
    </w:p>
    <w:p>
      <w:pPr>
        <w:spacing w:after="0" w:line="106"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1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 unitholders,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75" w:lineRule="auto"/>
        <w:rPr>
          <w:sz w:val="20"/>
          <w:szCs w:val="20"/>
          <w:color w:val="auto"/>
        </w:rPr>
      </w:pPr>
      <w:r>
        <w:rPr>
          <w:rFonts w:ascii="Times New Roman" w:cs="Times New Roman" w:eastAsia="Times New Roman" w:hAnsi="Times New Roman"/>
          <w:sz w:val="18"/>
          <w:szCs w:val="18"/>
          <w:color w:val="auto"/>
        </w:rPr>
        <w:t>other than current holders of our Series A preferred units and Series B preferred units in certain circumstances. We may fund acquisitions through the issuance of additional common units or other equity securities.</w:t>
      </w:r>
    </w:p>
    <w:p>
      <w:pPr>
        <w:spacing w:after="0" w:line="32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A preferred units and notable provisions with respect to distributions on the Series A preferred units are described under “Description of Our Preferred Units — Series A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B preferred units and notable provisions with respect to distributions on the Series B preferred units are described under “Description of Our Preferred Units — Series B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 2/3% of the outstanding Series B preferred units.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we dissolve and liquidate, we will sell or otherwise dispose of our assets and adjust the partners’ capital account balances to reflect any resulting gain or loss. We will apply the proceeds of liquidation</w:t>
      </w:r>
    </w:p>
    <w:p>
      <w:pPr>
        <w:ind w:left="1260" w:right="459"/>
        <w:spacing w:after="0" w:line="253" w:lineRule="auto"/>
        <w:tabs>
          <w:tab w:leader="none" w:pos="14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material provisions of our partnership agreement. The following provisions of our partnership agreement are summarized elsewhere in this prospectus:</w:t>
      </w:r>
    </w:p>
    <w:p>
      <w:pPr>
        <w:spacing w:after="0" w:line="67"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144"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preferred units are described under “Description of Our Preferred Units”;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common units are described under “Description of Our Common Units.”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Applicable Law; Forum, Venue and Jurisdiction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partnership agreement is governed by Delaware law. Our partnership agreement requires that any claims, suits, actions or proceedings:</w:t>
      </w:r>
    </w:p>
    <w:p>
      <w:pPr>
        <w:spacing w:after="0" w:line="67" w:lineRule="exact"/>
        <w:rPr>
          <w:sz w:val="20"/>
          <w:szCs w:val="20"/>
          <w:color w:val="auto"/>
        </w:rPr>
      </w:pPr>
    </w:p>
    <w:p>
      <w:pPr>
        <w:ind w:left="1800" w:right="81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in a derivative manner on our behalf;</w:t>
      </w:r>
    </w:p>
    <w:p>
      <w:pPr>
        <w:spacing w:after="0" w:line="14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of breach of a fiduciary duty owed by any director, officer or other employee of us or our generally partner, or owed by our general partner to us or the unitholders;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arising pursuant to any provision of the Delaware Revised Uniform Limited Partnership Act (the “Delaware Act”);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governed by the internal affairs doctrine;</w:t>
      </w:r>
    </w:p>
    <w:p>
      <w:pPr>
        <w:spacing w:after="0" w:line="158"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319"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335"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16"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32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0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11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69" w:lineRule="exact"/>
        <w:rPr>
          <w:sz w:val="20"/>
          <w:szCs w:val="20"/>
          <w:color w:val="auto"/>
        </w:rPr>
      </w:pPr>
    </w:p>
    <w:p>
      <w:pPr>
        <w:ind w:left="1800" w:right="115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to all partners in accordance with the positive balance in their respective capital accounts.</w:t>
      </w:r>
    </w:p>
    <w:p>
      <w:pPr>
        <w:spacing w:after="0" w:line="14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7" w:lineRule="exact"/>
        <w:rPr>
          <w:sz w:val="20"/>
          <w:szCs w:val="20"/>
          <w:color w:val="auto"/>
        </w:rPr>
      </w:pPr>
    </w:p>
    <w:p>
      <w:pPr>
        <w:jc w:val="both"/>
        <w:ind w:left="1800" w:right="659" w:hanging="180"/>
        <w:spacing w:after="0" w:line="275"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time our general partner and its affiliates (other than, with respect to the Series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units, such affiliates that originally purchased Series A preferred units) own 80% or more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issued and outstanding limited partner interests of any class, our general partner will have the right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purchase all, but not less than all, of the outstanding limited partner interests of that class that are held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non-affiliated persons. The record date for determining ownership of the limited partner interests would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selected by our general partner on at least 10 but not more than 60 days’ notice. The purchase price 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event of a purchase under these provisions would be the greater of (1) the current market price (as defined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our partnership agreement) of the limited partner interests of the class as of the date three days prior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date that notice is mailed to the limited partners as provided in our partnership agreement and (2)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highest cash price paid by our general partner or any of its affiliates for any limited partner interest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purchased within the 90 days preceding the date our general partner mails notice of its election to</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the units.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328"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32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3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327" w:lineRule="exact"/>
        <w:rPr>
          <w:sz w:val="20"/>
          <w:szCs w:val="20"/>
          <w:color w:val="auto"/>
        </w:rPr>
      </w:pPr>
    </w:p>
    <w:p>
      <w:pPr>
        <w:ind w:left="1260" w:right="95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w:t>
      </w:r>
    </w:p>
    <w:p>
      <w:pPr>
        <w:spacing w:after="0" w:line="54" w:lineRule="exact"/>
        <w:rPr>
          <w:sz w:val="20"/>
          <w:szCs w:val="20"/>
          <w:color w:val="auto"/>
        </w:rPr>
      </w:pPr>
    </w:p>
    <w:p>
      <w:pPr>
        <w:ind w:left="1800" w:right="67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 unitholder whose units are the subject of a securities loan (e.g., a loan to a short seller to cover a short sale of units) (please read “— Tax Consequences of Unit Ownership — Treatment of Securities Loans”);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monthly convention for allocating taxable income and losses is permitted by existing Treasury Regulations (please read “— Disposition of Units — Allocations Between Transferors and Transferees”);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method for taking into account Section 743 adjustments is sustainable in certain cases (please read “— Tax Consequences of Unit Ownership — Section 754 Election” and “— Disposition of Units — Uniformity of Units”);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67"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allocations of income, gain, loss and deduction will be given effect for federal income tax purposes (please read “— Tax Consequences of Unit Ownership — Allocation of Income, Gain, Loss and Deduction”).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162"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14" w:lineRule="exact"/>
        <w:rPr>
          <w:sz w:val="20"/>
          <w:szCs w:val="20"/>
          <w:color w:val="auto"/>
        </w:rPr>
      </w:pPr>
    </w:p>
    <w:p>
      <w:pPr>
        <w:ind w:left="1620" w:right="459" w:firstLine="360"/>
        <w:spacing w:after="0" w:line="258" w:lineRule="auto"/>
        <w:tabs>
          <w:tab w:leader="none" w:pos="23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101" w:lineRule="exact"/>
        <w:rPr>
          <w:rFonts w:ascii="Times New Roman" w:cs="Times New Roman" w:eastAsia="Times New Roman" w:hAnsi="Times New Roman"/>
          <w:sz w:val="18"/>
          <w:szCs w:val="18"/>
          <w:color w:val="auto"/>
        </w:rPr>
      </w:pPr>
    </w:p>
    <w:p>
      <w:pPr>
        <w:jc w:val="both"/>
        <w:ind w:left="1620" w:right="659" w:firstLine="360"/>
        <w:spacing w:after="0" w:line="250" w:lineRule="auto"/>
        <w:tabs>
          <w:tab w:leader="none" w:pos="23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09" w:lineRule="exact"/>
        <w:rPr>
          <w:rFonts w:ascii="Times New Roman" w:cs="Times New Roman" w:eastAsia="Times New Roman" w:hAnsi="Times New Roman"/>
          <w:sz w:val="18"/>
          <w:szCs w:val="18"/>
          <w:color w:val="auto"/>
        </w:rPr>
      </w:pPr>
    </w:p>
    <w:p>
      <w:pPr>
        <w:jc w:val="both"/>
        <w:ind w:left="1620" w:right="479" w:firstLine="360"/>
        <w:spacing w:after="0" w:line="250" w:lineRule="auto"/>
        <w:tabs>
          <w:tab w:leader="none" w:pos="23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1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2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on the opinion of Vinson &amp; Elkins L.L.P. that we will be treated as a partnership for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335"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 Tax Consequences of Unit Ownership — Treatment of Securities Loans.”</w:t>
      </w:r>
    </w:p>
    <w:p>
      <w:pPr>
        <w:spacing w:after="0" w:line="81"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 unitholder’s tax basis in its units initially will be the amount paid or treated as paid for those units increased by the unitholder’s initial allocable share of our liabilities. That basis generally will be</w:t>
      </w:r>
    </w:p>
    <w:p>
      <w:pPr>
        <w:ind w:left="1260" w:right="419"/>
        <w:spacing w:after="0" w:line="242" w:lineRule="auto"/>
        <w:tabs>
          <w:tab w:leader="none" w:pos="14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13"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1" w:lineRule="exact"/>
        <w:rPr>
          <w:sz w:val="20"/>
          <w:szCs w:val="20"/>
          <w:color w:val="auto"/>
        </w:rPr>
      </w:pPr>
    </w:p>
    <w:p>
      <w:pPr>
        <w:ind w:left="1260" w:right="779"/>
        <w:spacing w:after="0" w:line="260" w:lineRule="auto"/>
        <w:tabs>
          <w:tab w:leader="none" w:pos="15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tax basis (typically zero) in the Section 751 Assets deemed to be relinquished in the exchange.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3" w:lineRule="exact"/>
        <w:rPr>
          <w:sz w:val="20"/>
          <w:szCs w:val="20"/>
          <w:color w:val="auto"/>
        </w:rPr>
      </w:pPr>
    </w:p>
    <w:p>
      <w:pPr>
        <w:ind w:left="1260" w:right="439"/>
        <w:spacing w:after="0"/>
        <w:tabs>
          <w:tab w:leader="none" w:pos="15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3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basis and at risk limitations, passive activity loss limitations limit the deductibility of losses incurred by individuals, estates, trusts, some closely-held corporations and personal service</w:t>
      </w:r>
    </w:p>
    <w:p>
      <w:pPr>
        <w:ind w:left="1260" w:right="499"/>
        <w:spacing w:after="0"/>
        <w:rPr>
          <w:sz w:val="20"/>
          <w:szCs w:val="20"/>
          <w:color w:val="auto"/>
        </w:rPr>
      </w:pPr>
      <w:r>
        <w:rPr>
          <w:rFonts w:ascii="Times New Roman" w:cs="Times New Roman" w:eastAsia="Times New Roman" w:hAnsi="Times New Roman"/>
          <w:sz w:val="18"/>
          <w:szCs w:val="18"/>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2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68"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above) to the unitholder who was allocated the deduction giving rise to that recapture income in order to minimize the recognition of ordinary income by other unitholders.</w:t>
      </w:r>
    </w:p>
    <w:p>
      <w:pPr>
        <w:spacing w:after="0" w:line="81"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32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27"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taxable years beginning after December 31, 2017 and ending on or before December 31, 2025, subject to certain limitations, an individual unitholder is entitled to a deduction equal to 20% of his or her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allocable share of our “qualified business income.” For purposes of this deduction, our “qualified business income” is equal to the sum of:</w:t>
      </w:r>
    </w:p>
    <w:p>
      <w:pPr>
        <w:spacing w:after="0" w:line="40" w:lineRule="exact"/>
        <w:rPr>
          <w:sz w:val="20"/>
          <w:szCs w:val="20"/>
          <w:color w:val="auto"/>
        </w:rPr>
      </w:pPr>
    </w:p>
    <w:p>
      <w:pPr>
        <w:ind w:left="1800" w:right="51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3" w:lineRule="exact"/>
        <w:rPr>
          <w:sz w:val="20"/>
          <w:szCs w:val="20"/>
          <w:color w:val="auto"/>
        </w:rPr>
      </w:pPr>
    </w:p>
    <w:p>
      <w:pPr>
        <w:ind w:left="1260" w:right="619"/>
        <w:spacing w:after="0" w:line="245" w:lineRule="auto"/>
        <w:tabs>
          <w:tab w:leader="none" w:pos="15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share of the tax basis in our assets as to all unitholders and (2) its Section 743(b) adjustment to that tax basis (which may be positive or negative).</w:t>
      </w:r>
    </w:p>
    <w:p>
      <w:pPr>
        <w:spacing w:after="0" w:line="113"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w:t>
      </w:r>
    </w:p>
    <w:p>
      <w:pPr>
        <w:spacing w:after="0" w:line="16"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47" w:lineRule="auto"/>
        <w:rPr>
          <w:sz w:val="20"/>
          <w:szCs w:val="20"/>
          <w:color w:val="auto"/>
        </w:rPr>
      </w:pPr>
      <w:r>
        <w:rPr>
          <w:rFonts w:ascii="Times New Roman" w:cs="Times New Roman" w:eastAsia="Times New Roman" w:hAnsi="Times New Roman"/>
          <w:sz w:val="18"/>
          <w:szCs w:val="18"/>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32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Each of Our Properties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32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34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3" w:lineRule="exact"/>
        <w:rPr>
          <w:sz w:val="20"/>
          <w:szCs w:val="20"/>
          <w:color w:val="auto"/>
        </w:rPr>
      </w:pPr>
    </w:p>
    <w:p>
      <w:pPr>
        <w:jc w:val="both"/>
        <w:ind w:left="1260" w:right="479"/>
        <w:spacing w:after="0" w:line="255" w:lineRule="auto"/>
        <w:rPr>
          <w:sz w:val="20"/>
          <w:szCs w:val="20"/>
          <w:color w:val="auto"/>
        </w:rPr>
      </w:pPr>
      <w:r>
        <w:rPr>
          <w:rFonts w:ascii="Times New Roman" w:cs="Times New Roman" w:eastAsia="Times New Roman" w:hAnsi="Times New Roman"/>
          <w:sz w:val="18"/>
          <w:szCs w:val="18"/>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0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72" w:lineRule="exact"/>
        <w:rPr>
          <w:sz w:val="20"/>
          <w:szCs w:val="20"/>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94"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32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162" w:lineRule="exact"/>
        <w:rPr>
          <w:sz w:val="20"/>
          <w:szCs w:val="20"/>
          <w:color w:val="auto"/>
        </w:rPr>
      </w:pPr>
    </w:p>
    <w:p>
      <w:pPr>
        <w:jc w:val="both"/>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1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 unitholder’s adjusted tax basis in units is reduced by its share of our deductions (whether or not such deductions were claimed on an individual income tax return) so that any position that we take that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spacing w:after="0" w:line="2"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Tax-Exempt Organizations and Other Investors</w:t>
      </w:r>
    </w:p>
    <w:p>
      <w:pPr>
        <w:spacing w:after="0" w:line="148"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 -exempt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121"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260" w:right="459"/>
        <w:spacing w:after="0"/>
        <w:rPr>
          <w:sz w:val="20"/>
          <w:szCs w:val="20"/>
          <w:color w:val="auto"/>
        </w:rPr>
      </w:pPr>
      <w:r>
        <w:rPr>
          <w:rFonts w:ascii="Times New Roman" w:cs="Times New Roman" w:eastAsia="Times New Roman" w:hAnsi="Times New Roman"/>
          <w:sz w:val="18"/>
          <w:szCs w:val="18"/>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W- 8BEN or W-8BEN-E (or other applicable or successor form) in order to obtain credit for these withholding taxes.</w:t>
      </w:r>
    </w:p>
    <w:p>
      <w:pPr>
        <w:spacing w:after="0" w:line="117"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332"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1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1" w:lineRule="auto"/>
        <w:rPr>
          <w:sz w:val="20"/>
          <w:szCs w:val="20"/>
          <w:color w:val="auto"/>
        </w:rPr>
      </w:pPr>
      <w:r>
        <w:rPr>
          <w:rFonts w:ascii="Times New Roman" w:cs="Times New Roman" w:eastAsia="Times New Roman" w:hAnsi="Times New Roman"/>
          <w:sz w:val="18"/>
          <w:szCs w:val="18"/>
          <w:color w:val="auto"/>
        </w:rPr>
        <w:t>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3" w:lineRule="exact"/>
        <w:rPr>
          <w:sz w:val="20"/>
          <w:szCs w:val="20"/>
          <w:color w:val="auto"/>
        </w:rPr>
      </w:pPr>
    </w:p>
    <w:p>
      <w:pPr>
        <w:ind w:left="1260" w:right="479"/>
        <w:spacing w:after="0" w:line="251" w:lineRule="auto"/>
        <w:tabs>
          <w:tab w:leader="none" w:pos="14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2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117" w:lineRule="exact"/>
        <w:rPr>
          <w:sz w:val="20"/>
          <w:szCs w:val="20"/>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103" w:lineRule="exact"/>
        <w:rPr>
          <w:rFonts w:ascii="Times New Roman" w:cs="Times New Roman" w:eastAsia="Times New Roman" w:hAnsi="Times New Roman"/>
          <w:sz w:val="18"/>
          <w:szCs w:val="18"/>
          <w:color w:val="auto"/>
        </w:rPr>
      </w:pPr>
    </w:p>
    <w:p>
      <w:pPr>
        <w:ind w:left="2160" w:right="1259" w:hanging="180"/>
        <w:spacing w:after="0" w:line="282" w:lineRule="auto"/>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wholly-owned agency or instrumentality of either of the foregoing; or</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9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Preferred Units</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Debt Securities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04"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ind w:left="1260" w:right="1239"/>
        <w:spacing w:after="0" w:line="260" w:lineRule="auto"/>
        <w:tabs>
          <w:tab w:leader="none" w:pos="1438"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17"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 including exchange distributions, distributions to beneficial owners and/or secondary distributions;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 and delivery of such securities to close out short positions;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other method permitted pursuant to applicable law.</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price our securities at:</w:t>
      </w:r>
    </w:p>
    <w:p>
      <w:pPr>
        <w:spacing w:after="0" w:line="117" w:lineRule="exact"/>
        <w:rPr>
          <w:sz w:val="20"/>
          <w:szCs w:val="20"/>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w:t>
      </w:r>
    </w:p>
    <w:p>
      <w:pPr>
        <w:spacing w:after="0" w:line="8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24"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9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95"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04">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876300</wp:posOffset>
            </wp:positionV>
            <wp:extent cx="1234440" cy="6172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20" w:hanging="113"/>
        <w:spacing w:after="0"/>
        <w:tabs>
          <w:tab w:leader="none" w:pos="3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        % Senior Notes due 2031</w:t>
      </w:r>
    </w:p>
    <w:p>
      <w:pPr>
        <w:spacing w:after="0" w:line="246" w:lineRule="exact"/>
        <w:rPr>
          <w:rFonts w:ascii="Times New Roman" w:cs="Times New Roman" w:eastAsia="Times New Roman" w:hAnsi="Times New Roman"/>
          <w:sz w:val="22"/>
          <w:szCs w:val="22"/>
          <w:b w:val="1"/>
          <w:bCs w:val="1"/>
          <w:color w:val="auto"/>
        </w:rPr>
      </w:pPr>
    </w:p>
    <w:p>
      <w:pPr>
        <w:ind w:left="3520" w:hanging="113"/>
        <w:spacing w:after="0"/>
        <w:tabs>
          <w:tab w:leader="none" w:pos="3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        %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1126490</wp:posOffset>
            </wp:positionV>
            <wp:extent cx="1234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0" w:lineRule="exact"/>
        <w:rPr>
          <w:sz w:val="20"/>
          <w:szCs w:val="20"/>
          <w:color w:val="auto"/>
        </w:rPr>
      </w:pPr>
    </w:p>
    <w:p>
      <w:pPr>
        <w:spacing w:after="0" w:line="2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PNC Capital Markets LLC</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TD Securities</w:t>
      </w: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883920</wp:posOffset>
            </wp:positionV>
            <wp:extent cx="52120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lvl w:ilvl="1">
      <w:lvlJc w:val="left"/>
      <w:lvlText w:val="(%2)"/>
      <w:numFmt w:val="lowerLetter"/>
      <w:start w:val="1"/>
    </w:lvl>
  </w:abstractNum>
  <w:abstractNum w:abstractNumId="15">
    <w:nsid w:val="7644A45C"/>
    <w:multiLevelType w:val="hybridMultilevel"/>
    <w:lvl w:ilvl="0">
      <w:lvlJc w:val="left"/>
      <w:lvlText w:val="•"/>
      <w:numFmt w:val="bullet"/>
      <w:start w:val="1"/>
    </w:lvl>
    <w:lvl w:ilvl="1">
      <w:lvlJc w:val="left"/>
      <w:lvlText w:val="(%2)"/>
      <w:numFmt w:val="lowerLetter"/>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decimal"/>
      <w:start w:val="1"/>
    </w:lvl>
    <w:lvl w:ilvl="1">
      <w:lvlJc w:val="left"/>
      <w:lvlText w:val="(%2)"/>
      <w:numFmt w:val="lowerLetter"/>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5"/>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2"/>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decimal"/>
      <w:start w:val="8"/>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lowerLetter"/>
      <w:start w:val="1"/>
    </w:lvl>
    <w:lvl w:ilvl="1">
      <w:lvlJc w:val="left"/>
      <w:lvlText w:val="(%2)"/>
      <w:numFmt w:val="decimal"/>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lowerRoman"/>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Roman"/>
      <w:start w:val="1"/>
    </w:lvl>
  </w:abstractNum>
  <w:abstractNum w:abstractNumId="68">
    <w:nsid w:val="540A471C"/>
    <w:multiLevelType w:val="hybridMultilevel"/>
    <w:lvl w:ilvl="0">
      <w:lvlJc w:val="left"/>
      <w:lvlText w:val="(%1)"/>
      <w:numFmt w:val="decimal"/>
      <w:start w:val="2"/>
    </w:lvl>
  </w:abstractNum>
  <w:abstractNum w:abstractNumId="69">
    <w:nsid w:val="7BD3EE7B"/>
    <w:multiLevelType w:val="hybridMultilevel"/>
    <w:lvl w:ilvl="0">
      <w:lvlJc w:val="left"/>
      <w:lvlText w:val="(%1)"/>
      <w:numFmt w:val="decimal"/>
      <w:start w:val="3"/>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lowerRoman"/>
      <w:start w:val="1"/>
    </w:lvl>
  </w:abstractNum>
  <w:abstractNum w:abstractNumId="75">
    <w:nsid w:val="A0382C5"/>
    <w:multiLevelType w:val="hybridMultilevel"/>
    <w:lvl w:ilvl="0">
      <w:lvlJc w:val="left"/>
      <w:lvlText w:val="•"/>
      <w:numFmt w:val="bullet"/>
      <w:start w:val="1"/>
    </w:lvl>
    <w:lvl w:ilvl="1">
      <w:lvlJc w:val="left"/>
      <w:lvlText w:val="•"/>
      <w:numFmt w:val="bullet"/>
      <w:start w:val="1"/>
    </w:lvl>
  </w:abstractNum>
  <w:abstractNum w:abstractNumId="76">
    <w:nsid w:val="8F2B15E"/>
    <w:multiLevelType w:val="hybridMultilevel"/>
    <w:lvl w:ilvl="0">
      <w:lvlJc w:val="left"/>
      <w:lvlText w:val="&amp;"/>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jpe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36" Type="http://schemas.openxmlformats.org/officeDocument/2006/relationships/hyperlink" Target="https://www.sec.gov/ix?doc=/Archives/edgar/data/1070423/000107042325000006/paa-20241231.htm" TargetMode="External"/><Relationship Id="rId41" Type="http://schemas.openxmlformats.org/officeDocument/2006/relationships/hyperlink" Target="https://www.sec.gov/ix?doc=/Archives/edgar/data/1070423/000107042325000012/paa-20250331.htm" TargetMode="External"/><Relationship Id="rId42" Type="http://schemas.openxmlformats.org/officeDocument/2006/relationships/hyperlink" Target="https://www.sec.gov/ix?doc=/Archives/edgar/data/1070423/000107042325000020/paa-20250630.htm" TargetMode="External"/><Relationship Id="rId94" Type="http://schemas.openxmlformats.org/officeDocument/2006/relationships/hyperlink" Target="https://www.sec.gov/ix?doc=/Archives/edgar/data/1070423/000110465925028276/tm2510413d1_8k.htm" TargetMode="External"/><Relationship Id="rId95" Type="http://schemas.openxmlformats.org/officeDocument/2006/relationships/hyperlink" Target="https://www.sec.gov/ix?doc=/Archives/edgar/data/1070423/000110465925052094/tm2515906d1_8k.htm" TargetMode="External"/><Relationship Id="rId96" Type="http://schemas.openxmlformats.org/officeDocument/2006/relationships/hyperlink" Target="https://www.sec.gov/ix?doc=/Archives/edgar/data/1070423/000110465925060314/tm2518178d1_8k.htm" TargetMode="External"/><Relationship Id="rId97" Type="http://schemas.openxmlformats.org/officeDocument/2006/relationships/hyperlink" Target="https://www.sec.gov/ix?doc=/Archives/edgar/data/1070423/000110465925079894/tm2523703d1_8k.htm" TargetMode="External"/><Relationship Id="rId98" Type="http://schemas.openxmlformats.org/officeDocument/2006/relationships/hyperlink" Target="https://www.sec.gov/ix?doc=/Archives/edgar/data/1070423/000110465925086018/tm2524777d1_8k.htm" TargetMode="External"/><Relationship Id="rId104" Type="http://schemas.openxmlformats.org/officeDocument/2006/relationships/hyperlink" Target="https://www.sec.gov/ix?doc=/Archives/edgar/data/1070423/000107042324000008/paa-20231231.htm" TargetMode="External"/><Relationship Id="rId105" Type="http://schemas.openxmlformats.org/officeDocument/2006/relationships/hyperlink" Target="https://www.sec.gov/ix?doc=/Archives/edgar/data/1070423/000107042324000020/paa-20240630.htm" TargetMode="External"/><Relationship Id="rId106" Type="http://schemas.openxmlformats.org/officeDocument/2006/relationships/hyperlink" Target="https://www.sec.gov/ix?doc=/Archives/edgar/data/1070423/000110465924065666/tm2415729d1_8k.htm" TargetMode="External"/><Relationship Id="rId107" Type="http://schemas.openxmlformats.org/officeDocument/2006/relationships/hyperlink" Target="https://www.sec.gov/ix?doc=/Archives/edgar/data/1070423/000110465924073377/tm2416478d4_8k.htm" TargetMode="External"/><Relationship Id="rId108" Type="http://schemas.openxmlformats.org/officeDocument/2006/relationships/hyperlink" Target="https://www.sec.gov/ix?doc=/Archives/edgar/data/1070423/000110465924075672/tm2418387d1_8k.htm" TargetMode="External"/><Relationship Id="rId109" Type="http://schemas.openxmlformats.org/officeDocument/2006/relationships/hyperlink" Target="https://www.sec.gov/ix?doc=/Archives/edgar/data/1070423/000110465924092056/tm2422213d1_8k.htm" TargetMode="External"/><Relationship Id="rId110" Type="http://schemas.openxmlformats.org/officeDocument/2006/relationships/hyperlink" Target="https://www.sec.gov/ix?doc=/Archives/edgar/data/1070423/000110465924046387/tm242707d2_def14a.htm" TargetMode="External"/><Relationship Id="rId111" Type="http://schemas.openxmlformats.org/officeDocument/2006/relationships/hyperlink" Target="https://www.sec.gov/Archives/edgar/data/1070423/000107042324000008/paa202310-kexhibit416.htm" TargetMode="External"/><Relationship Id="rId112"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2025-09-03T07:44:23Z</dcterms:created>
  <dcterms:modified xsi:type="dcterms:W3CDTF">2025-09-03T07:44:23Z</dcterms:modified>
</cp:coreProperties>
</file>