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-637540</wp:posOffset>
            </wp:positionV>
            <wp:extent cx="59055" cy="650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087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-637540</wp:posOffset>
            </wp:positionV>
            <wp:extent cx="59055" cy="650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08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275830" cy="855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830" cy="8552180"/>
                    </a:xfrm>
                    <a:prstGeom prst="rect">
                      <a:avLst/>
                    </a:prstGeom>
                    <a:noFill/>
                  </pic:spPr>
                </pic:pic>
              </a:graphicData>
            </a:graphic>
          </wp:anchor>
        </w:drawing>
      </w:r>
    </w:p>
    <w:p>
      <w:pPr>
        <w:spacing w:after="0" w:line="43" w:lineRule="exact"/>
        <w:rPr>
          <w:sz w:val="24"/>
          <w:szCs w:val="24"/>
          <w:color w:val="auto"/>
        </w:rPr>
      </w:pPr>
    </w:p>
    <w:p>
      <w:pPr>
        <w:sectPr>
          <w:pgSz w:w="11900" w:h="16940" w:orient="portrait"/>
          <w:cols w:equalWidth="0" w:num="2">
            <w:col w:w="2300" w:space="420"/>
            <w:col w:w="8800"/>
          </w:cols>
          <w:pgMar w:left="240" w:top="223"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12"/>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80" w:type="dxa"/>
            <w:vAlign w:val="bottom"/>
            <w:gridSpan w:val="13"/>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KAFU Holdings (QP), L.P.</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gridSpan w:val="13"/>
          </w:tcPr>
          <w:p>
            <w:pPr>
              <w:ind w:left="60"/>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5"/>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20" w:type="dxa"/>
            <w:vAlign w:val="bottom"/>
          </w:tcPr>
          <w:p>
            <w:pPr>
              <w:spacing w:after="0"/>
              <w:rPr>
                <w:sz w:val="7"/>
                <w:szCs w:val="7"/>
                <w:color w:val="auto"/>
              </w:rPr>
            </w:pPr>
          </w:p>
        </w:tc>
        <w:tc>
          <w:tcPr>
            <w:tcW w:w="320" w:type="dxa"/>
            <w:vAlign w:val="bottom"/>
            <w:vMerge w:val="restart"/>
          </w:tcPr>
          <w:p>
            <w:pPr>
              <w:ind w:left="20"/>
              <w:spacing w:after="0"/>
              <w:rPr>
                <w:sz w:val="20"/>
                <w:szCs w:val="20"/>
                <w:color w:val="auto"/>
              </w:rPr>
            </w:pPr>
            <w:r>
              <w:rPr>
                <w:rFonts w:ascii="Arial" w:cs="Arial" w:eastAsia="Arial" w:hAnsi="Arial"/>
                <w:sz w:val="17"/>
                <w:szCs w:val="17"/>
                <w:color w:val="0000FF"/>
              </w:rPr>
              <w:t>X</w:t>
            </w:r>
          </w:p>
        </w:tc>
        <w:tc>
          <w:tcPr>
            <w:tcW w:w="1340" w:type="dxa"/>
            <w:vAlign w:val="bottom"/>
            <w:gridSpan w:val="5"/>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3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8"/>
                <w:szCs w:val="8"/>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20" w:type="dxa"/>
            <w:vAlign w:val="bottom"/>
            <w:gridSpan w:val="12"/>
            <w:vMerge w:val="restart"/>
          </w:tcPr>
          <w:p>
            <w:pPr>
              <w:ind w:left="60"/>
              <w:spacing w:after="0" w:line="137" w:lineRule="exact"/>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restart"/>
          </w:tcPr>
          <w:p>
            <w:pPr>
              <w:ind w:left="200"/>
              <w:spacing w:after="0" w:line="137" w:lineRule="exact"/>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gridSpan w:val="2"/>
            <w:vMerge w:val="restart"/>
          </w:tcPr>
          <w:p>
            <w:pPr>
              <w:ind w:left="40"/>
              <w:spacing w:after="0" w:line="137"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gridSpan w:val="12"/>
            <w:vMerge w:val="continue"/>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540" w:type="dxa"/>
            <w:vAlign w:val="bottom"/>
            <w:gridSpan w:val="9"/>
            <w:vMerge w:val="restart"/>
          </w:tcPr>
          <w:p>
            <w:pPr>
              <w:ind w:left="240"/>
              <w:spacing w:after="0"/>
              <w:rPr>
                <w:sz w:val="20"/>
                <w:szCs w:val="20"/>
                <w:color w:val="auto"/>
              </w:rPr>
            </w:pPr>
            <w:r>
              <w:rPr>
                <w:rFonts w:ascii="Arial" w:cs="Arial" w:eastAsia="Arial" w:hAnsi="Arial"/>
                <w:sz w:val="17"/>
                <w:szCs w:val="17"/>
                <w:color w:val="0000FF"/>
              </w:rPr>
              <w:t>12/31/2018</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80" w:type="dxa"/>
            <w:vAlign w:val="bottom"/>
            <w:gridSpan w:val="3"/>
            <w:vMerge w:val="restart"/>
          </w:tcPr>
          <w:p>
            <w:pPr>
              <w:jc w:val="center"/>
              <w:ind w:left="139"/>
              <w:spacing w:after="0"/>
              <w:rPr>
                <w:sz w:val="20"/>
                <w:szCs w:val="20"/>
                <w:color w:val="auto"/>
              </w:rPr>
            </w:pPr>
            <w:r>
              <w:rPr>
                <w:rFonts w:ascii="Arial" w:cs="Arial" w:eastAsia="Arial" w:hAnsi="Arial"/>
                <w:sz w:val="17"/>
                <w:szCs w:val="17"/>
                <w:color w:val="0000FF"/>
                <w:w w:val="85"/>
              </w:rPr>
              <w:t>See remaks</w:t>
            </w: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gridSpan w:val="6"/>
            <w:vMerge w:val="restart"/>
          </w:tcPr>
          <w:p>
            <w:pPr>
              <w:spacing w:after="0"/>
              <w:rPr>
                <w:sz w:val="20"/>
                <w:szCs w:val="20"/>
                <w:color w:val="auto"/>
              </w:rPr>
            </w:pPr>
            <w:r>
              <w:rPr>
                <w:rFonts w:ascii="Arial" w:cs="Arial" w:eastAsia="Arial" w:hAnsi="Arial"/>
                <w:sz w:val="17"/>
                <w:szCs w:val="17"/>
                <w:color w:val="0000FF"/>
              </w:rPr>
              <w:t>1800 AVENUE OF THE STARS, SUITE 300</w:t>
            </w:r>
          </w:p>
        </w:tc>
        <w:tc>
          <w:tcPr>
            <w:tcW w:w="1540" w:type="dxa"/>
            <w:vAlign w:val="bottom"/>
            <w:gridSpan w:val="9"/>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0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gridSpan w:val="2"/>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gridSpan w:val="2"/>
          </w:tcPr>
          <w:p>
            <w:pPr>
              <w:spacing w:after="0"/>
              <w:rPr>
                <w:sz w:val="19"/>
                <w:szCs w:val="19"/>
                <w:color w:val="auto"/>
              </w:rPr>
            </w:pPr>
          </w:p>
        </w:tc>
        <w:tc>
          <w:tcPr>
            <w:tcW w:w="1180" w:type="dxa"/>
            <w:vAlign w:val="bottom"/>
            <w:tcBorders>
              <w:bottom w:val="single" w:sz="8" w:color="2C2C2C"/>
            </w:tcBorders>
            <w:gridSpan w:val="4"/>
          </w:tcPr>
          <w:p>
            <w:pPr>
              <w:spacing w:after="0"/>
              <w:rPr>
                <w:sz w:val="19"/>
                <w:szCs w:val="19"/>
                <w:color w:val="auto"/>
              </w:rPr>
            </w:pPr>
          </w:p>
        </w:tc>
        <w:tc>
          <w:tcPr>
            <w:tcW w:w="980" w:type="dxa"/>
            <w:vAlign w:val="bottom"/>
            <w:tcBorders>
              <w:bottom w:val="single" w:sz="8" w:color="2C2C2C"/>
            </w:tcBorders>
            <w:gridSpan w:val="2"/>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gridSpan w:val="2"/>
          </w:tcPr>
          <w:p>
            <w:pPr>
              <w:spacing w:after="0"/>
              <w:rPr>
                <w:sz w:val="19"/>
                <w:szCs w:val="19"/>
                <w:color w:val="auto"/>
              </w:rPr>
            </w:pPr>
          </w:p>
        </w:tc>
        <w:tc>
          <w:tcPr>
            <w:tcW w:w="3160" w:type="dxa"/>
            <w:vAlign w:val="bottom"/>
            <w:tcBorders>
              <w:bottom w:val="single" w:sz="8" w:color="2C2C2C"/>
            </w:tcBorders>
            <w:gridSpan w:val="8"/>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86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gridSpan w:val="1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3"/>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20" w:type="dxa"/>
            <w:vAlign w:val="bottom"/>
            <w:gridSpan w:val="13"/>
            <w:vMerge w:val="continue"/>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LOS ANGELES</w:t>
            </w: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2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6"/>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7"/>
                <w:szCs w:val="17"/>
                <w:color w:val="0000FF"/>
              </w:rPr>
              <w:t>X</w:t>
            </w:r>
          </w:p>
        </w:tc>
        <w:tc>
          <w:tcPr>
            <w:tcW w:w="3120" w:type="dxa"/>
            <w:vAlign w:val="bottom"/>
            <w:gridSpan w:val="9"/>
          </w:tcPr>
          <w:p>
            <w:pPr>
              <w:ind w:left="20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4"/>
                <w:szCs w:val="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6580" w:type="dxa"/>
            <w:vAlign w:val="bottom"/>
            <w:tcBorders>
              <w:top w:val="single" w:sz="8" w:color="2C2C2C"/>
            </w:tcBorders>
            <w:gridSpan w:val="24"/>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6"/>
          </w:tcPr>
          <w:p>
            <w:pPr>
              <w:ind w:left="6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00" w:type="dxa"/>
            <w:vAlign w:val="bottom"/>
          </w:tcPr>
          <w:p>
            <w:pPr>
              <w:spacing w:after="0"/>
              <w:rPr>
                <w:sz w:val="14"/>
                <w:szCs w:val="14"/>
                <w:color w:val="auto"/>
              </w:rPr>
            </w:pPr>
          </w:p>
        </w:tc>
        <w:tc>
          <w:tcPr>
            <w:tcW w:w="18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80" w:type="dxa"/>
            <w:vAlign w:val="bottom"/>
            <w:gridSpan w:val="3"/>
          </w:tcPr>
          <w:p>
            <w:pPr>
              <w:ind w:left="360"/>
              <w:spacing w:after="0"/>
              <w:rPr>
                <w:sz w:val="20"/>
                <w:szCs w:val="20"/>
                <w:color w:val="auto"/>
              </w:rPr>
            </w:pPr>
            <w:r>
              <w:rPr>
                <w:rFonts w:ascii="Arial" w:cs="Arial" w:eastAsia="Arial" w:hAnsi="Arial"/>
                <w:sz w:val="12"/>
                <w:szCs w:val="12"/>
                <w:b w:val="1"/>
                <w:bCs w:val="1"/>
                <w:color w:val="auto"/>
              </w:rPr>
              <w:t>6. Ownership</w:t>
            </w:r>
          </w:p>
        </w:tc>
        <w:tc>
          <w:tcPr>
            <w:tcW w:w="120" w:type="dxa"/>
            <w:vAlign w:val="bottom"/>
          </w:tcPr>
          <w:p>
            <w:pPr>
              <w:spacing w:after="0"/>
              <w:rPr>
                <w:sz w:val="14"/>
                <w:szCs w:val="14"/>
                <w:color w:val="auto"/>
              </w:rPr>
            </w:pP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180" w:type="dxa"/>
            <w:vAlign w:val="bottom"/>
            <w:gridSpan w:val="3"/>
          </w:tcPr>
          <w:p>
            <w:pPr>
              <w:ind w:left="360"/>
              <w:spacing w:after="0" w:line="129" w:lineRule="exact"/>
              <w:rPr>
                <w:sz w:val="20"/>
                <w:szCs w:val="20"/>
                <w:color w:val="auto"/>
              </w:rPr>
            </w:pPr>
            <w:r>
              <w:rPr>
                <w:rFonts w:ascii="Arial" w:cs="Arial" w:eastAsia="Arial" w:hAnsi="Arial"/>
                <w:sz w:val="12"/>
                <w:szCs w:val="12"/>
                <w:b w:val="1"/>
                <w:bCs w:val="1"/>
                <w:color w:val="auto"/>
              </w:rPr>
              <w:t>Form: Direct</w:t>
            </w:r>
          </w:p>
        </w:tc>
        <w:tc>
          <w:tcPr>
            <w:tcW w:w="12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5"/>
          </w:tcPr>
          <w:p>
            <w:pPr>
              <w:ind w:left="56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1180" w:type="dxa"/>
            <w:vAlign w:val="bottom"/>
            <w:gridSpan w:val="3"/>
          </w:tcPr>
          <w:p>
            <w:pPr>
              <w:ind w:left="360"/>
              <w:spacing w:after="0" w:line="132" w:lineRule="exact"/>
              <w:rPr>
                <w:sz w:val="20"/>
                <w:szCs w:val="20"/>
                <w:color w:val="auto"/>
              </w:rPr>
            </w:pPr>
            <w:r>
              <w:rPr>
                <w:rFonts w:ascii="Arial" w:cs="Arial" w:eastAsia="Arial" w:hAnsi="Arial"/>
                <w:sz w:val="12"/>
                <w:szCs w:val="12"/>
                <w:b w:val="1"/>
                <w:bCs w:val="1"/>
                <w:color w:val="auto"/>
              </w:rPr>
              <w:t>(D) or Indirect</w:t>
            </w:r>
          </w:p>
        </w:tc>
        <w:tc>
          <w:tcPr>
            <w:tcW w:w="120" w:type="dxa"/>
            <w:vAlign w:val="bottom"/>
          </w:tcPr>
          <w:p>
            <w:pPr>
              <w:spacing w:after="0"/>
              <w:rPr>
                <w:sz w:val="11"/>
                <w:szCs w:val="11"/>
                <w:color w:val="auto"/>
              </w:rPr>
            </w:pPr>
          </w:p>
        </w:tc>
        <w:tc>
          <w:tcPr>
            <w:tcW w:w="12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2" w:lineRule="exact"/>
              <w:rPr>
                <w:sz w:val="20"/>
                <w:szCs w:val="20"/>
                <w:color w:val="auto"/>
              </w:rPr>
            </w:pPr>
            <w:r>
              <w:rPr>
                <w:rFonts w:ascii="Arial" w:cs="Arial" w:eastAsia="Arial" w:hAnsi="Arial"/>
                <w:sz w:val="12"/>
                <w:szCs w:val="12"/>
                <w:b w:val="1"/>
                <w:bCs w:val="1"/>
                <w:color w:val="auto"/>
                <w:w w:val="93"/>
              </w:rPr>
              <w:t>8)</w:t>
            </w: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gridSpan w:val="6"/>
          </w:tcPr>
          <w:p>
            <w:pPr>
              <w:ind w:left="20"/>
              <w:spacing w:after="0" w:line="132" w:lineRule="exact"/>
              <w:rPr>
                <w:sz w:val="20"/>
                <w:szCs w:val="20"/>
                <w:color w:val="auto"/>
              </w:rPr>
            </w:pPr>
            <w:r>
              <w:rPr>
                <w:rFonts w:ascii="Arial" w:cs="Arial" w:eastAsia="Arial" w:hAnsi="Arial"/>
                <w:sz w:val="12"/>
                <w:szCs w:val="12"/>
                <w:b w:val="1"/>
                <w:bCs w:val="1"/>
                <w:color w:val="auto"/>
              </w:rPr>
              <w:t>Owned Following   (I) (Instr. 4)</w:t>
            </w:r>
          </w:p>
        </w:tc>
        <w:tc>
          <w:tcPr>
            <w:tcW w:w="120" w:type="dxa"/>
            <w:vAlign w:val="bottom"/>
          </w:tcPr>
          <w:p>
            <w:pPr>
              <w:spacing w:after="0"/>
              <w:rPr>
                <w:sz w:val="11"/>
                <w:szCs w:val="11"/>
                <w:color w:val="auto"/>
              </w:rPr>
            </w:pPr>
          </w:p>
        </w:tc>
        <w:tc>
          <w:tcPr>
            <w:tcW w:w="4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4"/>
              </w:rPr>
              <w:t>Transaction(s)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w w:val="95"/>
              </w:rPr>
              <w:t>(Instr. 3 and 4)</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5"/>
            <w:vMerge w:val="restart"/>
          </w:tcPr>
          <w:p>
            <w:pPr>
              <w:jc w:val="right"/>
              <w:ind w:right="160"/>
              <w:spacing w:after="0"/>
              <w:rPr>
                <w:sz w:val="20"/>
                <w:szCs w:val="20"/>
                <w:color w:val="auto"/>
              </w:rPr>
            </w:pPr>
            <w:r>
              <w:rPr>
                <w:rFonts w:ascii="Arial" w:cs="Arial" w:eastAsia="Arial" w:hAnsi="Arial"/>
                <w:sz w:val="17"/>
                <w:szCs w:val="17"/>
                <w:color w:val="0000FF"/>
              </w:rPr>
              <w:t>12/31/2018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rPr>
              <w:t>J</w:t>
            </w:r>
          </w:p>
        </w:tc>
        <w:tc>
          <w:tcPr>
            <w:tcW w:w="8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324,803</w:t>
            </w:r>
          </w:p>
        </w:tc>
        <w:tc>
          <w:tcPr>
            <w:tcW w:w="50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46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91"/>
              </w:rPr>
              <w:t>324,803</w:t>
            </w:r>
          </w:p>
        </w:tc>
        <w:tc>
          <w:tcPr>
            <w:tcW w:w="640" w:type="dxa"/>
            <w:vAlign w:val="bottom"/>
          </w:tcPr>
          <w:p>
            <w:pPr>
              <w:spacing w:after="0"/>
              <w:rPr>
                <w:sz w:val="22"/>
                <w:szCs w:val="22"/>
                <w:color w:val="auto"/>
              </w:rPr>
            </w:pPr>
          </w:p>
        </w:tc>
        <w:tc>
          <w:tcPr>
            <w:tcW w:w="22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7"/>
                <w:szCs w:val="17"/>
                <w:color w:val="0000FF"/>
              </w:rPr>
              <w:t>See</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7"/>
                <w:szCs w:val="17"/>
                <w:color w:val="0000FF"/>
                <w:w w:val="97"/>
              </w:rPr>
              <w:t>footnotes</w:t>
            </w:r>
            <w:r>
              <w:rPr>
                <w:rFonts w:ascii="Arial" w:cs="Arial" w:eastAsia="Arial" w:hAnsi="Arial"/>
                <w:sz w:val="21"/>
                <w:szCs w:val="21"/>
                <w:color w:val="008000"/>
                <w:w w:val="97"/>
                <w:vertAlign w:val="superscript"/>
              </w:rPr>
              <w:t>(1)(2)(3)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18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5"/>
            <w:vMerge w:val="restart"/>
          </w:tcPr>
          <w:p>
            <w:pPr>
              <w:jc w:val="right"/>
              <w:ind w:right="160"/>
              <w:spacing w:after="0"/>
              <w:rPr>
                <w:sz w:val="20"/>
                <w:szCs w:val="20"/>
                <w:color w:val="auto"/>
              </w:rPr>
            </w:pPr>
            <w:r>
              <w:rPr>
                <w:rFonts w:ascii="Arial" w:cs="Arial" w:eastAsia="Arial" w:hAnsi="Arial"/>
                <w:sz w:val="17"/>
                <w:szCs w:val="17"/>
                <w:color w:val="0000FF"/>
              </w:rPr>
              <w:t>12/31/2018</w:t>
            </w:r>
          </w:p>
        </w:tc>
        <w:tc>
          <w:tcPr>
            <w:tcW w:w="1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vMerge w:val="restart"/>
          </w:tcPr>
          <w:p>
            <w:pPr>
              <w:spacing w:after="0"/>
              <w:rPr>
                <w:sz w:val="20"/>
                <w:szCs w:val="20"/>
                <w:color w:val="auto"/>
              </w:rPr>
            </w:pPr>
            <w:r>
              <w:rPr>
                <w:rFonts w:ascii="Arial" w:cs="Arial" w:eastAsia="Arial" w:hAnsi="Arial"/>
                <w:sz w:val="13"/>
                <w:szCs w:val="13"/>
                <w:color w:val="0000FF"/>
              </w:rPr>
              <w:t>J</w:t>
            </w:r>
          </w:p>
        </w:tc>
        <w:tc>
          <w:tcPr>
            <w:tcW w:w="86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324,803</w:t>
            </w:r>
          </w:p>
        </w:tc>
        <w:tc>
          <w:tcPr>
            <w:tcW w:w="5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4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vMerge w:val="restart"/>
          </w:tcPr>
          <w:p>
            <w:pPr>
              <w:jc w:val="right"/>
              <w:ind w:right="170"/>
              <w:spacing w:after="0"/>
              <w:rPr>
                <w:sz w:val="20"/>
                <w:szCs w:val="20"/>
                <w:color w:val="auto"/>
              </w:rPr>
            </w:pPr>
            <w:r>
              <w:rPr>
                <w:rFonts w:ascii="Arial" w:cs="Arial" w:eastAsia="Arial" w:hAnsi="Arial"/>
                <w:sz w:val="17"/>
                <w:szCs w:val="17"/>
                <w:color w:val="0000FF"/>
              </w:rPr>
              <w:t>0</w:t>
            </w:r>
          </w:p>
        </w:tc>
        <w:tc>
          <w:tcPr>
            <w:tcW w:w="6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rPr>
              <w:t>See</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7"/>
                <w:szCs w:val="17"/>
                <w:color w:val="0000FF"/>
                <w:w w:val="97"/>
              </w:rPr>
              <w:t>footnotes</w:t>
            </w:r>
            <w:r>
              <w:rPr>
                <w:rFonts w:ascii="Arial" w:cs="Arial" w:eastAsia="Arial" w:hAnsi="Arial"/>
                <w:sz w:val="21"/>
                <w:szCs w:val="21"/>
                <w:color w:val="008000"/>
                <w:w w:val="97"/>
                <w:vertAlign w:val="superscript"/>
              </w:rPr>
              <w:t>(1)(2)(3)</w:t>
            </w:r>
          </w:p>
        </w:tc>
        <w:tc>
          <w:tcPr>
            <w:tcW w:w="0" w:type="dxa"/>
            <w:vAlign w:val="bottom"/>
          </w:tcPr>
          <w:p>
            <w:pPr>
              <w:spacing w:after="0"/>
              <w:rPr>
                <w:sz w:val="1"/>
                <w:szCs w:val="1"/>
                <w:color w:val="auto"/>
              </w:rPr>
            </w:pPr>
          </w:p>
        </w:tc>
      </w:tr>
      <w:tr>
        <w:trPr>
          <w:trHeight w:val="207"/>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2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340" w:type="dxa"/>
            <w:vAlign w:val="bottom"/>
            <w:gridSpan w:val="2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20" w:type="dxa"/>
            <w:vAlign w:val="bottom"/>
            <w:gridSpan w:val="2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Conversion</w:t>
            </w:r>
          </w:p>
        </w:tc>
        <w:tc>
          <w:tcPr>
            <w:tcW w:w="11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8"/>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4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8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or Exercise</w:t>
            </w:r>
          </w:p>
        </w:tc>
        <w:tc>
          <w:tcPr>
            <w:tcW w:w="11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8"/>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4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4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w w:val="93"/>
              </w:rPr>
              <w:t>Form:</w:t>
            </w:r>
          </w:p>
        </w:tc>
        <w:tc>
          <w:tcPr>
            <w:tcW w:w="400" w:type="dxa"/>
            <w:vAlign w:val="bottom"/>
          </w:tcPr>
          <w:p>
            <w:pPr>
              <w:spacing w:after="0"/>
              <w:rPr>
                <w:sz w:val="11"/>
                <w:szCs w:val="11"/>
                <w:color w:val="auto"/>
              </w:rPr>
            </w:pP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w w:val="97"/>
              </w:rPr>
              <w:t>Acquired (A)</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8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Security</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w w:val="95"/>
              </w:rPr>
              <w:t>Security (Instr. 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20" w:type="dxa"/>
            <w:vAlign w:val="bottom"/>
          </w:tcPr>
          <w:p>
            <w:pPr>
              <w:spacing w:after="0"/>
              <w:rPr>
                <w:sz w:val="11"/>
                <w:szCs w:val="11"/>
                <w:color w:val="auto"/>
              </w:rPr>
            </w:pPr>
          </w:p>
        </w:tc>
        <w:tc>
          <w:tcPr>
            <w:tcW w:w="8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4"/>
          </w:tcPr>
          <w:p>
            <w:pPr>
              <w:ind w:left="8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ind w:left="120"/>
              <w:spacing w:after="0"/>
              <w:rPr>
                <w:sz w:val="20"/>
                <w:szCs w:val="20"/>
                <w:color w:val="auto"/>
              </w:rPr>
            </w:pPr>
            <w:r>
              <w:rPr>
                <w:rFonts w:ascii="Arial" w:cs="Arial" w:eastAsia="Arial" w:hAnsi="Arial"/>
                <w:sz w:val="13"/>
                <w:szCs w:val="13"/>
                <w:color w:val="0000FF"/>
              </w:rPr>
              <w:t>Class</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3"/>
            <w:vMerge w:val="restart"/>
          </w:tcPr>
          <w:p>
            <w:pPr>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27" w:lineRule="exact"/>
              <w:rPr>
                <w:sz w:val="20"/>
                <w:szCs w:val="20"/>
                <w:color w:val="auto"/>
              </w:rPr>
            </w:pPr>
            <w:r>
              <w:rPr>
                <w:rFonts w:ascii="Arial" w:cs="Arial" w:eastAsia="Arial" w:hAnsi="Arial"/>
                <w:sz w:val="13"/>
                <w:szCs w:val="13"/>
                <w:color w:val="0000FF"/>
                <w:w w:val="93"/>
              </w:rPr>
              <w:t>Shares/Class</w:t>
            </w: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240"/>
              <w:spacing w:after="0"/>
              <w:rPr>
                <w:sz w:val="20"/>
                <w:szCs w:val="20"/>
                <w:color w:val="auto"/>
              </w:rPr>
            </w:pPr>
            <w:r>
              <w:rPr>
                <w:rFonts w:ascii="Arial" w:cs="Arial" w:eastAsia="Arial" w:hAnsi="Arial"/>
                <w:sz w:val="11"/>
                <w:szCs w:val="11"/>
                <w:color w:val="008000"/>
              </w:rPr>
              <w:t>(1)(2)</w:t>
            </w:r>
          </w:p>
        </w:tc>
        <w:tc>
          <w:tcPr>
            <w:tcW w:w="860" w:type="dxa"/>
            <w:vAlign w:val="bottom"/>
            <w:gridSpan w:val="2"/>
            <w:vMerge w:val="restart"/>
          </w:tcPr>
          <w:p>
            <w:pPr>
              <w:ind w:left="400"/>
              <w:spacing w:after="0"/>
              <w:rPr>
                <w:sz w:val="20"/>
                <w:szCs w:val="20"/>
                <w:color w:val="auto"/>
              </w:rPr>
            </w:pPr>
            <w:r>
              <w:rPr>
                <w:rFonts w:ascii="Arial" w:cs="Arial" w:eastAsia="Arial" w:hAnsi="Arial"/>
                <w:sz w:val="11"/>
                <w:szCs w:val="11"/>
                <w:color w:val="008000"/>
              </w:rPr>
              <w:t>(1)(2)</w:t>
            </w:r>
          </w:p>
        </w:tc>
        <w:tc>
          <w:tcPr>
            <w:tcW w:w="500" w:type="dxa"/>
            <w:vAlign w:val="bottom"/>
            <w:vMerge w:val="continue"/>
          </w:tcPr>
          <w:p>
            <w:pPr>
              <w:spacing w:after="0"/>
              <w:rPr>
                <w:sz w:val="5"/>
                <w:szCs w:val="5"/>
                <w:color w:val="auto"/>
              </w:rPr>
            </w:pPr>
          </w:p>
        </w:tc>
        <w:tc>
          <w:tcPr>
            <w:tcW w:w="660" w:type="dxa"/>
            <w:vAlign w:val="bottom"/>
            <w:gridSpan w:val="4"/>
            <w:vMerge w:val="restart"/>
          </w:tcPr>
          <w:p>
            <w:pPr>
              <w:ind w:left="80"/>
              <w:spacing w:after="0"/>
              <w:rPr>
                <w:sz w:val="20"/>
                <w:szCs w:val="20"/>
                <w:color w:val="auto"/>
              </w:rPr>
            </w:pPr>
            <w:r>
              <w:rPr>
                <w:rFonts w:ascii="Arial" w:cs="Arial" w:eastAsia="Arial" w:hAnsi="Arial"/>
                <w:sz w:val="17"/>
                <w:szCs w:val="17"/>
                <w:color w:val="0000FF"/>
                <w:w w:val="91"/>
              </w:rPr>
              <w:t>324,803</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1"/>
                <w:szCs w:val="11"/>
                <w:color w:val="008000"/>
                <w:w w:val="88"/>
              </w:rPr>
              <w:t>(4)</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60" w:type="dxa"/>
            <w:vAlign w:val="bottom"/>
            <w:vMerge w:val="restart"/>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80" w:type="dxa"/>
            <w:vAlign w:val="bottom"/>
          </w:tcPr>
          <w:p>
            <w:pPr>
              <w:spacing w:after="0"/>
              <w:rPr>
                <w:sz w:val="5"/>
                <w:szCs w:val="5"/>
                <w:color w:val="auto"/>
              </w:rPr>
            </w:pPr>
          </w:p>
        </w:tc>
        <w:tc>
          <w:tcPr>
            <w:tcW w:w="1100" w:type="dxa"/>
            <w:vAlign w:val="bottom"/>
            <w:gridSpan w:val="2"/>
            <w:vMerge w:val="restart"/>
          </w:tcPr>
          <w:p>
            <w:pPr>
              <w:ind w:left="320"/>
              <w:spacing w:after="0" w:line="145" w:lineRule="exact"/>
              <w:rPr>
                <w:sz w:val="20"/>
                <w:szCs w:val="20"/>
                <w:color w:val="auto"/>
              </w:rPr>
            </w:pPr>
            <w:r>
              <w:rPr>
                <w:rFonts w:ascii="Arial" w:cs="Arial" w:eastAsia="Arial" w:hAnsi="Arial"/>
                <w:sz w:val="13"/>
                <w:szCs w:val="13"/>
                <w:color w:val="0000FF"/>
              </w:rPr>
              <w:t>12/31/2018</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gridSpan w:val="3"/>
            <w:vMerge w:val="restart"/>
          </w:tcPr>
          <w:p>
            <w:pPr>
              <w:jc w:val="right"/>
              <w:ind w:right="160"/>
              <w:spacing w:after="0" w:line="145" w:lineRule="exact"/>
              <w:rPr>
                <w:sz w:val="20"/>
                <w:szCs w:val="20"/>
                <w:color w:val="auto"/>
              </w:rPr>
            </w:pPr>
            <w:r>
              <w:rPr>
                <w:rFonts w:ascii="Arial" w:cs="Arial" w:eastAsia="Arial" w:hAnsi="Arial"/>
                <w:sz w:val="13"/>
                <w:szCs w:val="13"/>
                <w:color w:val="0000FF"/>
              </w:rPr>
              <w:t>M</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3"/>
            <w:vMerge w:val="restart"/>
          </w:tcPr>
          <w:p>
            <w:pPr>
              <w:ind w:left="340"/>
              <w:spacing w:after="0" w:line="145" w:lineRule="exact"/>
              <w:rPr>
                <w:sz w:val="20"/>
                <w:szCs w:val="20"/>
                <w:color w:val="auto"/>
              </w:rPr>
            </w:pPr>
            <w:r>
              <w:rPr>
                <w:rFonts w:ascii="Arial" w:cs="Arial" w:eastAsia="Arial" w:hAnsi="Arial"/>
                <w:sz w:val="13"/>
                <w:szCs w:val="13"/>
                <w:color w:val="0000FF"/>
              </w:rPr>
              <w:t>324,803</w:t>
            </w:r>
          </w:p>
        </w:tc>
        <w:tc>
          <w:tcPr>
            <w:tcW w:w="6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00" w:type="dxa"/>
            <w:vAlign w:val="bottom"/>
            <w:vMerge w:val="restart"/>
          </w:tcPr>
          <w:p>
            <w:pPr>
              <w:ind w:left="220"/>
              <w:spacing w:after="0" w:line="145" w:lineRule="exact"/>
              <w:rPr>
                <w:sz w:val="20"/>
                <w:szCs w:val="20"/>
                <w:color w:val="auto"/>
              </w:rPr>
            </w:pPr>
            <w:r>
              <w:rPr>
                <w:rFonts w:ascii="Arial" w:cs="Arial" w:eastAsia="Arial" w:hAnsi="Arial"/>
                <w:sz w:val="13"/>
                <w:szCs w:val="13"/>
                <w:color w:val="0000FF"/>
              </w:rPr>
              <w:t>A</w:t>
            </w:r>
          </w:p>
        </w:tc>
        <w:tc>
          <w:tcPr>
            <w:tcW w:w="66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w w:val="86"/>
              </w:rPr>
              <w:t>16,308,178</w:t>
            </w:r>
          </w:p>
        </w:tc>
        <w:tc>
          <w:tcPr>
            <w:tcW w:w="2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I</w:t>
            </w:r>
          </w:p>
        </w:tc>
        <w:tc>
          <w:tcPr>
            <w:tcW w:w="4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A Units/GP</w:t>
            </w: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gridSpan w:val="3"/>
            <w:vMerge w:val="restart"/>
          </w:tcPr>
          <w:p>
            <w:pPr>
              <w:spacing w:after="0" w:line="162" w:lineRule="exact"/>
              <w:rPr>
                <w:sz w:val="20"/>
                <w:szCs w:val="20"/>
                <w:color w:val="auto"/>
              </w:rPr>
            </w:pPr>
            <w:r>
              <w:rPr>
                <w:rFonts w:ascii="Arial" w:cs="Arial" w:eastAsia="Arial" w:hAnsi="Arial"/>
                <w:sz w:val="12"/>
                <w:szCs w:val="12"/>
                <w:color w:val="0000FF"/>
              </w:rPr>
              <w:t>footnotes</w:t>
            </w:r>
            <w:r>
              <w:rPr>
                <w:rFonts w:ascii="Arial" w:cs="Arial" w:eastAsia="Arial" w:hAnsi="Arial"/>
                <w:sz w:val="18"/>
                <w:szCs w:val="18"/>
                <w:color w:val="008000"/>
                <w:vertAlign w:val="superscript"/>
              </w:rPr>
              <w:t>(1)(2)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w w:val="92"/>
              </w:rPr>
              <w:t>Shares</w:t>
            </w:r>
          </w:p>
        </w:tc>
        <w:tc>
          <w:tcPr>
            <w:tcW w:w="6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4"/>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spacing w:after="0" w:line="219" w:lineRule="exact"/>
              <w:rPr>
                <w:rFonts w:ascii="Arial" w:cs="Arial" w:eastAsia="Arial" w:hAnsi="Arial"/>
                <w:sz w:val="21"/>
                <w:szCs w:val="21"/>
                <w:color w:val="0000EE"/>
              </w:rPr>
            </w:pPr>
            <w:hyperlink r:id="rId12">
              <w:r>
                <w:rPr>
                  <w:rFonts w:ascii="Arial" w:cs="Arial" w:eastAsia="Arial" w:hAnsi="Arial"/>
                  <w:sz w:val="21"/>
                  <w:szCs w:val="21"/>
                  <w:color w:val="0000EE"/>
                </w:rPr>
                <w:t>KAFU Holdings (QP), L.P.</w:t>
              </w:r>
            </w:hyperlink>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6"/>
          </w:tcPr>
          <w:p>
            <w:pPr>
              <w:spacing w:after="0"/>
              <w:rPr>
                <w:sz w:val="20"/>
                <w:szCs w:val="20"/>
                <w:color w:val="auto"/>
              </w:rPr>
            </w:pPr>
            <w:r>
              <w:rPr>
                <w:rFonts w:ascii="Arial" w:cs="Arial" w:eastAsia="Arial" w:hAnsi="Arial"/>
                <w:sz w:val="17"/>
                <w:szCs w:val="17"/>
                <w:color w:val="0000FF"/>
              </w:rPr>
              <w:t>1800 AVENUE OF THE STARS, SUITE 300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8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60" w:type="dxa"/>
            <w:vAlign w:val="bottom"/>
          </w:tcPr>
          <w:p>
            <w:pPr>
              <w:ind w:left="38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4"/>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gridSpan w:val="14"/>
          </w:tcPr>
          <w:p>
            <w:pPr>
              <w:spacing w:after="0" w:line="219" w:lineRule="exact"/>
              <w:rPr>
                <w:rFonts w:ascii="Arial" w:cs="Arial" w:eastAsia="Arial" w:hAnsi="Arial"/>
                <w:sz w:val="21"/>
                <w:szCs w:val="21"/>
                <w:color w:val="0000EE"/>
              </w:rPr>
            </w:pPr>
            <w:hyperlink r:id="rId14">
              <w:r>
                <w:rPr>
                  <w:rFonts w:ascii="Arial" w:cs="Arial" w:eastAsia="Arial" w:hAnsi="Arial"/>
                  <w:sz w:val="21"/>
                  <w:szCs w:val="21"/>
                  <w:color w:val="0000EE"/>
                </w:rPr>
                <w:t>KAYNE ANDERSON CAPITAL ADVISORS LP</w:t>
              </w:r>
            </w:hyperlink>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gridSpan w:val="5"/>
          </w:tcPr>
          <w:p>
            <w:pPr>
              <w:spacing w:after="0"/>
              <w:rPr>
                <w:sz w:val="20"/>
                <w:szCs w:val="20"/>
                <w:color w:val="auto"/>
              </w:rPr>
            </w:pPr>
            <w:r>
              <w:rPr>
                <w:rFonts w:ascii="Arial" w:cs="Arial" w:eastAsia="Arial" w:hAnsi="Arial"/>
                <w:sz w:val="17"/>
                <w:szCs w:val="17"/>
                <w:color w:val="0000FF"/>
              </w:rPr>
              <w:t>1800 AVENUE OF THE STARS</w:t>
            </w: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8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60" w:type="dxa"/>
            <w:vAlign w:val="bottom"/>
          </w:tcPr>
          <w:p>
            <w:pPr>
              <w:ind w:left="380"/>
              <w:spacing w:after="0"/>
              <w:rPr>
                <w:sz w:val="20"/>
                <w:szCs w:val="20"/>
                <w:color w:val="auto"/>
              </w:rPr>
            </w:pPr>
            <w:r>
              <w:rPr>
                <w:rFonts w:ascii="Arial" w:cs="Arial" w:eastAsia="Arial" w:hAnsi="Arial"/>
                <w:sz w:val="17"/>
                <w:szCs w:val="17"/>
                <w:color w:val="0000FF"/>
              </w:rPr>
              <w:t>90067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-5234305</wp:posOffset>
            </wp:positionV>
            <wp:extent cx="24130" cy="1910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1910715"/>
                    </a:xfrm>
                    <a:prstGeom prst="rect">
                      <a:avLst/>
                    </a:prstGeom>
                    <a:noFill/>
                  </pic:spPr>
                </pic:pic>
              </a:graphicData>
            </a:graphic>
          </wp:anchor>
        </w:drawing>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40" w:right="280" w:firstLine="5"/>
        <w:spacing w:after="0" w:line="238"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holds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Eight Amended and Restated Limited Partnership Agreement of AAP provides that each limited partner of AAP, including KAFU, has the right at any time (without expiration) to immediately exchange (the "Exchange Right") its Class A units in AAP together with a like number of Class B shares and GP Units, for a like number of Class A shares of the Issuer. On December 31, 2018, KAFU Holdings (QP), L.P. exercised the Exchange Right with respect to 324,803 Class A Units.</w:t>
      </w:r>
    </w:p>
    <w:p>
      <w:pPr>
        <w:spacing w:after="0" w:line="33" w:lineRule="exact"/>
        <w:rPr>
          <w:rFonts w:ascii="Arial" w:cs="Arial" w:eastAsia="Arial" w:hAnsi="Arial"/>
          <w:sz w:val="13"/>
          <w:szCs w:val="13"/>
          <w:color w:val="008000"/>
        </w:rPr>
      </w:pPr>
    </w:p>
    <w:p>
      <w:pPr>
        <w:ind w:left="40" w:right="240" w:firstLine="5"/>
        <w:spacing w:after="0" w:line="298"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Kayne Anderson Capital Advisors, L.P. ("KACALP") is the manager of the general partner of KAFU and may be deemed to beneficially own the Class B shares, Class A Units, and GP Units held by KAFU. The filing of this statement shall not be construed as an admission that either KAFU or KACALP are, for purposes of Section 13(d) of the Exchange Act, as amended, the beneficial owner of any security.</w:t>
      </w:r>
    </w:p>
    <w:p>
      <w:pPr>
        <w:sectPr>
          <w:pgSz w:w="11900" w:h="16940" w:orient="portrait"/>
          <w:cols w:equalWidth="0" w:num="1">
            <w:col w:w="11520"/>
          </w:cols>
          <w:pgMar w:left="240" w:top="223" w:right="139" w:bottom="0" w:gutter="0" w:footer="0" w:header="0"/>
          <w:type w:val="continuous"/>
        </w:sectPr>
      </w:pPr>
    </w:p>
    <w:bookmarkStart w:id="1" w:name="page2"/>
    <w:bookmarkEnd w:id="1"/>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involves an in-kind distribution to redeeming limited partners of KAFU Holdings (QP), L.P.</w:t>
      </w:r>
    </w:p>
    <w:p>
      <w:pPr>
        <w:spacing w:after="0" w:line="47" w:lineRule="exact"/>
        <w:rPr>
          <w:rFonts w:ascii="Arial" w:cs="Arial" w:eastAsia="Arial" w:hAnsi="Arial"/>
          <w:sz w:val="13"/>
          <w:szCs w:val="13"/>
          <w:color w:val="008000"/>
        </w:rPr>
      </w:pPr>
    </w:p>
    <w:p>
      <w:pPr>
        <w:ind w:firstLine="5"/>
        <w:spacing w:after="0" w:line="244"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1,640 Class A units. As a result, such Class A units were cancelled and 1,640 Common Units of Plains All American Pipeline, L.P. were distributed by AAP to KAFU. The number of derivative securities owned reflects both the exchange transaction reported herein and the simultaneous redemption transaction.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2"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and KACALP, which is the manager of the general partner of KAFU, are referred to herein as the "Reporting Persons". The filing of this Statement shall not be construed as an admission that any Reporting Person is, for purposes of Section 13(d) of the Exchange Act, as amended, the beneficial owner of any security.</w:t>
      </w:r>
    </w:p>
    <w:p>
      <w:pPr>
        <w:sectPr>
          <w:pgSz w:w="11900" w:h="16838" w:orient="portrait"/>
          <w:cols w:equalWidth="0" w:num="1">
            <w:col w:w="11140"/>
          </w:cols>
          <w:pgMar w:left="280" w:top="170" w:right="479" w:bottom="1440" w:gutter="0" w:footer="0" w:header="0"/>
        </w:sectPr>
      </w:pPr>
    </w:p>
    <w:p>
      <w:pPr>
        <w:spacing w:after="0" w:line="57"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David Shladovsky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4445</wp:posOffset>
            </wp:positionV>
            <wp:extent cx="1367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-13335</wp:posOffset>
            </wp:positionV>
            <wp:extent cx="502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spacing w:after="0" w:line="49"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1400" w:firstLine="5"/>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0000FF"/>
        </w:rPr>
        <w:t>01/03/2019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494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49403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19" w:lineRule="exact"/>
        <w:rPr>
          <w:sz w:val="20"/>
          <w:szCs w:val="20"/>
          <w:color w:val="auto"/>
        </w:rPr>
      </w:pPr>
    </w:p>
    <w:p>
      <w:pPr>
        <w:sectPr>
          <w:pgSz w:w="11900" w:h="16838" w:orient="portrait"/>
          <w:cols w:equalWidth="0" w:num="2">
            <w:col w:w="8980" w:space="120"/>
            <w:col w:w="2040"/>
          </w:cols>
          <w:pgMar w:left="280" w:top="170" w:right="47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40"/>
      </w:cols>
      <w:pgMar w:left="280" w:top="17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2019-12-24T06:39:34Z</dcterms:created>
  <dcterms:modified xsi:type="dcterms:W3CDTF">2019-12-24T06:39:34Z</dcterms:modified>
</cp:coreProperties>
</file>