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200025</wp:posOffset>
            </wp:positionH>
            <wp:positionV relativeFrom="page">
              <wp:posOffset>648335</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587375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8-K/A</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1)</w:t>
      </w:r>
    </w:p>
    <w:p>
      <w:pPr>
        <w:spacing w:after="0" w:line="18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8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 xml:space="preserve">Date of Report (Date of earliest event reported) — </w:t>
      </w:r>
      <w:r>
        <w:rPr>
          <w:rFonts w:ascii="Arial" w:cs="Arial" w:eastAsia="Arial" w:hAnsi="Arial"/>
          <w:sz w:val="14"/>
          <w:szCs w:val="14"/>
          <w:b w:val="1"/>
          <w:bCs w:val="1"/>
          <w:color w:val="auto"/>
        </w:rPr>
        <w:t>October 5, 2021</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Plains All American Pipeline, L.P.</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60"/>
          </w:cols>
          <w:pgMar w:left="300" w:top="1147" w:right="339" w:bottom="1440" w:gutter="0" w:footer="0" w:header="0"/>
        </w:sectPr>
      </w:pPr>
    </w:p>
    <w:p>
      <w:pPr>
        <w:spacing w:after="0" w:line="25" w:lineRule="exact"/>
        <w:rPr>
          <w:sz w:val="24"/>
          <w:szCs w:val="24"/>
          <w:color w:val="auto"/>
        </w:rPr>
      </w:pPr>
    </w:p>
    <w:p>
      <w:pPr>
        <w:jc w:val="center"/>
        <w:ind w:left="140"/>
        <w:spacing w:after="0"/>
        <w:rPr>
          <w:sz w:val="20"/>
          <w:szCs w:val="20"/>
          <w:color w:val="auto"/>
        </w:rPr>
      </w:pPr>
      <w:r>
        <w:rPr>
          <w:rFonts w:ascii="Arial" w:cs="Arial" w:eastAsia="Arial" w:hAnsi="Arial"/>
          <w:sz w:val="14"/>
          <w:szCs w:val="14"/>
          <w:b w:val="1"/>
          <w:bCs w:val="1"/>
          <w:color w:val="auto"/>
        </w:rPr>
        <w:t>Delaware</w:t>
      </w:r>
    </w:p>
    <w:p>
      <w:pPr>
        <w:spacing w:after="0" w:line="23" w:lineRule="exact"/>
        <w:rPr>
          <w:sz w:val="24"/>
          <w:szCs w:val="24"/>
          <w:color w:val="auto"/>
        </w:rPr>
      </w:pPr>
    </w:p>
    <w:p>
      <w:pPr>
        <w:jc w:val="center"/>
        <w:ind w:left="1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1-14569</w:t>
      </w:r>
    </w:p>
    <w:p>
      <w:pPr>
        <w:spacing w:after="0" w:line="23" w:lineRule="exact"/>
        <w:rPr>
          <w:sz w:val="24"/>
          <w:szCs w:val="24"/>
          <w:color w:val="auto"/>
        </w:rPr>
      </w:pPr>
    </w:p>
    <w:p>
      <w:pPr>
        <w:jc w:val="center"/>
        <w:ind w:right="1020"/>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jc w:val="center"/>
        <w:ind w:right="1140"/>
        <w:spacing w:after="0"/>
        <w:rPr>
          <w:sz w:val="20"/>
          <w:szCs w:val="20"/>
          <w:color w:val="auto"/>
        </w:rPr>
      </w:pPr>
      <w:r>
        <w:rPr>
          <w:rFonts w:ascii="Arial" w:cs="Arial" w:eastAsia="Arial" w:hAnsi="Arial"/>
          <w:sz w:val="14"/>
          <w:szCs w:val="14"/>
          <w:b w:val="1"/>
          <w:bCs w:val="1"/>
          <w:color w:val="auto"/>
        </w:rPr>
        <w:t>76-0582150</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3"/>
          <w:szCs w:val="13"/>
          <w:color w:val="auto"/>
        </w:rPr>
        <w:t>(IRS Employer Identification No.)</w:t>
      </w:r>
    </w:p>
    <w:p>
      <w:pPr>
        <w:spacing w:after="0" w:line="7" w:lineRule="exact"/>
        <w:rPr>
          <w:sz w:val="24"/>
          <w:szCs w:val="24"/>
          <w:color w:val="auto"/>
        </w:rPr>
      </w:pPr>
    </w:p>
    <w:p>
      <w:pPr>
        <w:sectPr>
          <w:pgSz w:w="11900" w:h="16838" w:orient="portrait"/>
          <w:cols w:equalWidth="0" w:num="3">
            <w:col w:w="4140" w:space="720"/>
            <w:col w:w="2580" w:space="720"/>
            <w:col w:w="3100"/>
          </w:cols>
          <w:pgMar w:left="300" w:top="1147" w:right="339" w:bottom="1440" w:gutter="0" w:footer="0" w:header="0"/>
          <w:type w:val="continuous"/>
        </w:sectPr>
      </w:pPr>
    </w:p>
    <w:p>
      <w:pPr>
        <w:ind w:left="1740"/>
        <w:spacing w:after="0"/>
        <w:rPr>
          <w:sz w:val="20"/>
          <w:szCs w:val="20"/>
          <w:color w:val="auto"/>
        </w:rPr>
      </w:pPr>
      <w:r>
        <w:rPr>
          <w:rFonts w:ascii="Arial" w:cs="Arial" w:eastAsia="Arial" w:hAnsi="Arial"/>
          <w:sz w:val="14"/>
          <w:szCs w:val="14"/>
          <w:color w:val="auto"/>
        </w:rPr>
        <w:t>incorporation)</w:t>
      </w:r>
    </w:p>
    <w:p>
      <w:pPr>
        <w:spacing w:after="0" w:line="251" w:lineRule="exact"/>
        <w:rPr>
          <w:sz w:val="24"/>
          <w:szCs w:val="24"/>
          <w:color w:val="auto"/>
        </w:rPr>
      </w:pPr>
    </w:p>
    <w:p>
      <w:pPr>
        <w:ind w:left="4140"/>
        <w:spacing w:after="0"/>
        <w:rPr>
          <w:sz w:val="20"/>
          <w:szCs w:val="20"/>
          <w:color w:val="auto"/>
        </w:rPr>
      </w:pPr>
      <w:r>
        <w:rPr>
          <w:rFonts w:ascii="Arial" w:cs="Arial" w:eastAsia="Arial" w:hAnsi="Arial"/>
          <w:sz w:val="12"/>
          <w:szCs w:val="12"/>
          <w:b w:val="1"/>
          <w:bCs w:val="1"/>
          <w:color w:val="auto"/>
        </w:rPr>
        <w:t>333 Clay Street, Suite 1600, Houston, Texas 77002</w:t>
      </w:r>
    </w:p>
    <w:p>
      <w:pPr>
        <w:spacing w:after="0" w:line="46" w:lineRule="exact"/>
        <w:rPr>
          <w:sz w:val="24"/>
          <w:szCs w:val="24"/>
          <w:color w:val="auto"/>
        </w:rPr>
      </w:pPr>
    </w:p>
    <w:p>
      <w:pPr>
        <w:ind w:left="4200"/>
        <w:spacing w:after="0"/>
        <w:rPr>
          <w:sz w:val="20"/>
          <w:szCs w:val="20"/>
          <w:color w:val="auto"/>
        </w:rPr>
      </w:pPr>
      <w:r>
        <w:rPr>
          <w:rFonts w:ascii="Arial" w:cs="Arial" w:eastAsia="Arial" w:hAnsi="Arial"/>
          <w:sz w:val="13"/>
          <w:szCs w:val="13"/>
          <w:color w:val="auto"/>
        </w:rPr>
        <w:t>(Address of principal executive offices) (Zip Code)</w:t>
      </w:r>
    </w:p>
    <w:p>
      <w:pPr>
        <w:sectPr>
          <w:pgSz w:w="11900" w:h="16838" w:orient="portrait"/>
          <w:cols w:equalWidth="0" w:num="1">
            <w:col w:w="11260"/>
          </w:cols>
          <w:pgMar w:left="300" w:top="1147" w:right="339" w:bottom="1440" w:gutter="0" w:footer="0" w:header="0"/>
          <w:type w:val="continuous"/>
        </w:sectPr>
      </w:pPr>
    </w:p>
    <w:p>
      <w:pPr>
        <w:spacing w:after="0" w:line="19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713-646-4100</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9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99" w:lineRule="exact"/>
        <w:rPr>
          <w:rFonts w:ascii="MS PGothic" w:cs="MS PGothic" w:eastAsia="MS PGothic" w:hAnsi="MS PGothic"/>
          <w:sz w:val="14"/>
          <w:szCs w:val="14"/>
          <w:color w:val="auto"/>
        </w:rPr>
      </w:pPr>
    </w:p>
    <w:p>
      <w:pPr>
        <w:ind w:right="4780" w:firstLine="5"/>
        <w:spacing w:after="0" w:line="558" w:lineRule="auto"/>
        <w:tabs>
          <w:tab w:leader="none" w:pos="167"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40" w:type="dxa"/>
        <w:tblCellMar>
          <w:top w:w="0" w:type="dxa"/>
          <w:left w:w="0" w:type="dxa"/>
          <w:bottom w:w="0" w:type="dxa"/>
          <w:right w:w="0" w:type="dxa"/>
        </w:tblCellMar>
      </w:tblPr>
      <w:tr>
        <w:trPr>
          <w:trHeight w:val="184"/>
        </w:trPr>
        <w:tc>
          <w:tcPr>
            <w:tcW w:w="3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3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Trading Symbol(s)</w:t>
            </w: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71"/>
        </w:trPr>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5"/>
              </w:rPr>
              <w:t>Common Units</w:t>
            </w:r>
          </w:p>
        </w:tc>
        <w:tc>
          <w:tcPr>
            <w:tcW w:w="100" w:type="dxa"/>
            <w:vAlign w:val="bottom"/>
          </w:tcPr>
          <w:p>
            <w:pPr>
              <w:spacing w:after="0"/>
              <w:rPr>
                <w:sz w:val="14"/>
                <w:szCs w:val="14"/>
                <w:color w:val="auto"/>
              </w:rPr>
            </w:pPr>
          </w:p>
        </w:tc>
        <w:tc>
          <w:tcPr>
            <w:tcW w:w="34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PAA</w:t>
            </w:r>
          </w:p>
        </w:tc>
        <w:tc>
          <w:tcPr>
            <w:tcW w:w="100" w:type="dxa"/>
            <w:vAlign w:val="bottom"/>
          </w:tcPr>
          <w:p>
            <w:pPr>
              <w:spacing w:after="0"/>
              <w:rPr>
                <w:sz w:val="14"/>
                <w:szCs w:val="14"/>
                <w:color w:val="auto"/>
              </w:rPr>
            </w:pPr>
          </w:p>
        </w:tc>
        <w:tc>
          <w:tcPr>
            <w:tcW w:w="4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Nasdaq</w:t>
            </w:r>
          </w:p>
        </w:tc>
      </w:tr>
    </w:tbl>
    <w:p>
      <w:pPr>
        <w:spacing w:after="0" w:line="244" w:lineRule="exact"/>
        <w:rPr>
          <w:sz w:val="24"/>
          <w:szCs w:val="24"/>
          <w:color w:val="auto"/>
        </w:rPr>
      </w:pPr>
    </w:p>
    <w:p>
      <w:pPr>
        <w:ind w:right="560"/>
        <w:spacing w:after="0" w:line="28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28" w:lineRule="exact"/>
        <w:rPr>
          <w:sz w:val="24"/>
          <w:szCs w:val="24"/>
          <w:color w:val="auto"/>
        </w:rPr>
      </w:pPr>
    </w:p>
    <w:p>
      <w:pPr>
        <w:ind w:right="4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658495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50800</wp:posOffset>
            </wp:positionV>
            <wp:extent cx="711454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4540" cy="13335"/>
                    </a:xfrm>
                    <a:prstGeom prst="rect">
                      <a:avLst/>
                    </a:prstGeom>
                    <a:noFill/>
                  </pic:spPr>
                </pic:pic>
              </a:graphicData>
            </a:graphic>
          </wp:anchor>
        </w:drawing>
        <w:drawing>
          <wp:anchor simplePos="0" relativeHeight="251657728" behindDoc="1" locked="0" layoutInCell="0" allowOverlap="1">
            <wp:simplePos x="0" y="0"/>
            <wp:positionH relativeFrom="column">
              <wp:posOffset>29845</wp:posOffset>
            </wp:positionH>
            <wp:positionV relativeFrom="paragraph">
              <wp:posOffset>3810</wp:posOffset>
            </wp:positionV>
            <wp:extent cx="711454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4540" cy="6985"/>
                    </a:xfrm>
                    <a:prstGeom prst="rect">
                      <a:avLst/>
                    </a:prstGeom>
                    <a:noFill/>
                  </pic:spPr>
                </pic:pic>
              </a:graphicData>
            </a:graphic>
          </wp:anchor>
        </w:drawing>
      </w:r>
    </w:p>
    <w:p>
      <w:pPr>
        <w:sectPr>
          <w:pgSz w:w="11900" w:h="16838" w:orient="portrait"/>
          <w:cols w:equalWidth="0" w:num="1">
            <w:col w:w="11260"/>
          </w:cols>
          <w:pgMar w:left="300" w:top="1147"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EXPLANATORY NOTE</w:t>
      </w:r>
    </w:p>
    <w:p>
      <w:pPr>
        <w:spacing w:after="0" w:line="204" w:lineRule="exact"/>
        <w:rPr>
          <w:sz w:val="20"/>
          <w:szCs w:val="20"/>
          <w:color w:val="auto"/>
        </w:rPr>
      </w:pPr>
    </w:p>
    <w:p>
      <w:pPr>
        <w:ind w:right="100" w:firstLine="141"/>
        <w:spacing w:after="0" w:line="262" w:lineRule="auto"/>
        <w:rPr>
          <w:sz w:val="20"/>
          <w:szCs w:val="20"/>
          <w:color w:val="auto"/>
        </w:rPr>
      </w:pPr>
      <w:r>
        <w:rPr>
          <w:rFonts w:ascii="Arial" w:cs="Arial" w:eastAsia="Arial" w:hAnsi="Arial"/>
          <w:sz w:val="14"/>
          <w:szCs w:val="14"/>
          <w:color w:val="auto"/>
        </w:rPr>
        <w:t>On October 5, 2021, Plains All American Pipeline, L.P. ("PAA" or the "Registrant") filed a Current Report on Form 8-K (the "Original Filing") to report that on October 5, 2021, pursuant to the terms of an Agreement and Plan of Merger dated as of July 12, 2021 between subsidiaries of PAA and Oryx Midstream Holdings LLC (together with certain affiliates, "Oryx"), PAA and Oryx completed the merger, in a cashless transaction, of their respective Permian Basin assets, operations and commercial activities into a newly formed strategic joint venture, Plains Oryx Permian Basin LLC (the "Joint Venture"). The Joint Venture is owned 65% by PAA and 35% by Oryx; PAA will serve as operator of the Joint Venture.</w:t>
      </w:r>
    </w:p>
    <w:p>
      <w:pPr>
        <w:spacing w:after="0" w:line="156" w:lineRule="exact"/>
        <w:rPr>
          <w:sz w:val="20"/>
          <w:szCs w:val="20"/>
          <w:color w:val="auto"/>
        </w:rPr>
      </w:pPr>
    </w:p>
    <w:p>
      <w:pPr>
        <w:ind w:firstLine="509"/>
        <w:spacing w:after="0" w:line="249" w:lineRule="auto"/>
        <w:rPr>
          <w:sz w:val="20"/>
          <w:szCs w:val="20"/>
          <w:color w:val="auto"/>
        </w:rPr>
      </w:pPr>
      <w:r>
        <w:rPr>
          <w:rFonts w:ascii="Arial" w:cs="Arial" w:eastAsia="Arial" w:hAnsi="Arial"/>
          <w:sz w:val="14"/>
          <w:szCs w:val="14"/>
          <w:color w:val="auto"/>
        </w:rPr>
        <w:t>This Current Report on Form 8-K/A (this "Amendment") amends and supplements the Original Filing to provide the financial statements of Oryx and the pro forma financial information of PAA required by Items 9.01(a) and 9.01(b) of Form 8-K. No other modifications to the Original Filing are being made by this Amendment.</w:t>
      </w:r>
    </w:p>
    <w:p>
      <w:pPr>
        <w:spacing w:after="0" w:line="1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23" w:lineRule="exact"/>
        <w:rPr>
          <w:sz w:val="20"/>
          <w:szCs w:val="20"/>
          <w:color w:val="auto"/>
        </w:rPr>
      </w:pPr>
    </w:p>
    <w:p>
      <w:pPr>
        <w:ind w:left="340" w:hanging="194"/>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u w:val="single" w:color="auto"/>
          <w:color w:val="auto"/>
        </w:rPr>
        <w:t>Financial Statements of Business or Funds Acquired.</w:t>
      </w:r>
    </w:p>
    <w:p>
      <w:pPr>
        <w:spacing w:after="0" w:line="189" w:lineRule="exact"/>
        <w:rPr>
          <w:sz w:val="20"/>
          <w:szCs w:val="20"/>
          <w:color w:val="auto"/>
        </w:rPr>
      </w:pPr>
    </w:p>
    <w:p>
      <w:pPr>
        <w:ind w:right="180" w:firstLine="509"/>
        <w:spacing w:after="0" w:line="281" w:lineRule="auto"/>
        <w:rPr>
          <w:sz w:val="20"/>
          <w:szCs w:val="20"/>
          <w:color w:val="auto"/>
        </w:rPr>
      </w:pPr>
      <w:r>
        <w:rPr>
          <w:rFonts w:ascii="Arial" w:cs="Arial" w:eastAsia="Arial" w:hAnsi="Arial"/>
          <w:sz w:val="14"/>
          <w:szCs w:val="14"/>
          <w:color w:val="auto"/>
        </w:rPr>
        <w:t>The audited consolidated financial statements of Oryx as of and for the year ended December 31, 2020 are filed as Exhibit 99.1 to this Current Report on Form 8-K/A and are incorporated herein by reference.</w:t>
      </w:r>
    </w:p>
    <w:p>
      <w:pPr>
        <w:spacing w:after="0" w:line="153" w:lineRule="exact"/>
        <w:rPr>
          <w:sz w:val="20"/>
          <w:szCs w:val="20"/>
          <w:color w:val="auto"/>
        </w:rPr>
      </w:pPr>
    </w:p>
    <w:p>
      <w:pPr>
        <w:ind w:right="100" w:firstLine="509"/>
        <w:spacing w:after="0" w:line="281" w:lineRule="auto"/>
        <w:rPr>
          <w:sz w:val="20"/>
          <w:szCs w:val="20"/>
          <w:color w:val="auto"/>
        </w:rPr>
      </w:pPr>
      <w:r>
        <w:rPr>
          <w:rFonts w:ascii="Arial" w:cs="Arial" w:eastAsia="Arial" w:hAnsi="Arial"/>
          <w:sz w:val="14"/>
          <w:szCs w:val="14"/>
          <w:color w:val="auto"/>
        </w:rPr>
        <w:t>The unaudited condensed consolidated financial statements of Oryx as of and for the six months ended June 30, 2021 are filed as Exhibit 99.2 to this Current Report on Form 8-K/A and are incorporated herein by reference.</w:t>
      </w:r>
    </w:p>
    <w:p>
      <w:pPr>
        <w:spacing w:after="0" w:line="153" w:lineRule="exact"/>
        <w:rPr>
          <w:sz w:val="20"/>
          <w:szCs w:val="20"/>
          <w:color w:val="auto"/>
        </w:rPr>
      </w:pPr>
    </w:p>
    <w:p>
      <w:pPr>
        <w:ind w:left="720" w:hanging="206"/>
        <w:spacing w:after="0"/>
        <w:tabs>
          <w:tab w:leader="none" w:pos="720" w:val="left"/>
        </w:tabs>
        <w:numPr>
          <w:ilvl w:val="0"/>
          <w:numId w:val="3"/>
        </w:numPr>
        <w:rPr>
          <w:rFonts w:ascii="Arial" w:cs="Arial" w:eastAsia="Arial" w:hAnsi="Arial"/>
          <w:sz w:val="14"/>
          <w:szCs w:val="14"/>
          <w:color w:val="auto"/>
        </w:rPr>
      </w:pPr>
      <w:r>
        <w:rPr>
          <w:rFonts w:ascii="Arial" w:cs="Arial" w:eastAsia="Arial" w:hAnsi="Arial"/>
          <w:sz w:val="14"/>
          <w:szCs w:val="14"/>
          <w:u w:val="single" w:color="auto"/>
          <w:color w:val="auto"/>
        </w:rPr>
        <w:t>Pro Forma Financial Information.</w:t>
      </w:r>
    </w:p>
    <w:p>
      <w:pPr>
        <w:spacing w:after="0" w:line="200" w:lineRule="exact"/>
        <w:rPr>
          <w:sz w:val="20"/>
          <w:szCs w:val="20"/>
          <w:color w:val="auto"/>
        </w:rPr>
      </w:pPr>
    </w:p>
    <w:p>
      <w:pPr>
        <w:ind w:right="440" w:firstLine="509"/>
        <w:spacing w:after="0" w:line="281" w:lineRule="auto"/>
        <w:rPr>
          <w:sz w:val="20"/>
          <w:szCs w:val="20"/>
          <w:color w:val="auto"/>
        </w:rPr>
      </w:pPr>
      <w:r>
        <w:rPr>
          <w:rFonts w:ascii="Arial" w:cs="Arial" w:eastAsia="Arial" w:hAnsi="Arial"/>
          <w:sz w:val="14"/>
          <w:szCs w:val="14"/>
          <w:color w:val="auto"/>
        </w:rPr>
        <w:t>The unaudited Pro Forma Condensed Combined Financial Statements of PAA for the year ended December 31, 2020 and as of and for the six months ended June 30, 2021 are filed as Exhibit 99.3 to this Current Report on Form 8-K/A and are incorporated herein by reference.</w:t>
      </w:r>
    </w:p>
    <w:p>
      <w:pPr>
        <w:spacing w:after="0" w:line="153" w:lineRule="exact"/>
        <w:rPr>
          <w:sz w:val="20"/>
          <w:szCs w:val="20"/>
          <w:color w:val="auto"/>
        </w:rPr>
      </w:pPr>
    </w:p>
    <w:p>
      <w:pPr>
        <w:ind w:left="140"/>
        <w:spacing w:after="0"/>
        <w:rPr>
          <w:sz w:val="20"/>
          <w:szCs w:val="20"/>
          <w:color w:val="auto"/>
        </w:rPr>
      </w:pPr>
      <w:r>
        <w:rPr>
          <w:rFonts w:ascii="Arial" w:cs="Arial" w:eastAsia="Arial" w:hAnsi="Arial"/>
          <w:sz w:val="14"/>
          <w:szCs w:val="14"/>
          <w:color w:val="auto"/>
        </w:rPr>
        <w:t xml:space="preserve">(d) </w:t>
      </w:r>
      <w:r>
        <w:rPr>
          <w:rFonts w:ascii="Arial" w:cs="Arial" w:eastAsia="Arial" w:hAnsi="Arial"/>
          <w:sz w:val="14"/>
          <w:szCs w:val="14"/>
          <w:u w:val="single" w:color="auto"/>
          <w:color w:val="auto"/>
        </w:rPr>
        <w:t>Exhibits.</w:t>
      </w:r>
    </w:p>
    <w:p>
      <w:pPr>
        <w:spacing w:after="0" w:line="19" w:lineRule="exact"/>
        <w:rPr>
          <w:sz w:val="20"/>
          <w:szCs w:val="20"/>
          <w:color w:val="auto"/>
        </w:rPr>
      </w:pPr>
    </w:p>
    <w:tbl>
      <w:tblPr>
        <w:tblLayout w:type="fixed"/>
        <w:tblInd w:w="520" w:type="dxa"/>
        <w:tblCellMar>
          <w:top w:w="0" w:type="dxa"/>
          <w:left w:w="0" w:type="dxa"/>
          <w:bottom w:w="0" w:type="dxa"/>
          <w:right w:w="0" w:type="dxa"/>
        </w:tblCellMar>
      </w:tblPr>
      <w:tr>
        <w:trPr>
          <w:trHeight w:val="149"/>
        </w:trPr>
        <w:tc>
          <w:tcPr>
            <w:tcW w:w="1180" w:type="dxa"/>
            <w:vAlign w:val="bottom"/>
            <w:gridSpan w:val="2"/>
          </w:tcPr>
          <w:p>
            <w:pPr>
              <w:jc w:val="center"/>
              <w:ind w:left="352"/>
              <w:spacing w:after="0"/>
              <w:rPr>
                <w:sz w:val="20"/>
                <w:szCs w:val="20"/>
                <w:color w:val="auto"/>
              </w:rPr>
            </w:pPr>
            <w:r>
              <w:rPr>
                <w:rFonts w:ascii="Arial" w:cs="Arial" w:eastAsia="Arial" w:hAnsi="Arial"/>
                <w:sz w:val="13"/>
                <w:szCs w:val="13"/>
                <w:b w:val="1"/>
                <w:bCs w:val="1"/>
                <w:color w:val="auto"/>
                <w:w w:val="92"/>
              </w:rPr>
              <w:t>Exhibit</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940" w:type="dxa"/>
            <w:vAlign w:val="bottom"/>
            <w:gridSpan w:val="5"/>
            <w:vMerge w:val="restart"/>
          </w:tcPr>
          <w:p>
            <w:pPr>
              <w:ind w:left="11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68"/>
        </w:trPr>
        <w:tc>
          <w:tcPr>
            <w:tcW w:w="1180" w:type="dxa"/>
            <w:vAlign w:val="bottom"/>
            <w:gridSpan w:val="2"/>
          </w:tcPr>
          <w:p>
            <w:pPr>
              <w:ind w:left="320"/>
              <w:spacing w:after="0"/>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9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100" w:type="dxa"/>
            <w:vAlign w:val="bottom"/>
            <w:tcBorders>
              <w:top w:val="single" w:sz="8" w:color="auto"/>
            </w:tcBorders>
          </w:tcPr>
          <w:p>
            <w:pPr>
              <w:jc w:val="center"/>
              <w:ind w:left="432"/>
              <w:spacing w:after="0" w:line="141" w:lineRule="exact"/>
              <w:rPr>
                <w:sz w:val="20"/>
                <w:szCs w:val="20"/>
                <w:color w:val="auto"/>
              </w:rPr>
            </w:pPr>
            <w:r>
              <w:rPr>
                <w:rFonts w:ascii="Arial" w:cs="Arial" w:eastAsia="Arial" w:hAnsi="Arial"/>
                <w:sz w:val="14"/>
                <w:szCs w:val="14"/>
                <w:color w:val="auto"/>
                <w:w w:val="87"/>
              </w:rPr>
              <w:t>23.1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20" w:type="dxa"/>
            <w:vAlign w:val="bottom"/>
            <w:tcBorders>
              <w:top w:val="single" w:sz="8" w:color="auto"/>
              <w:bottom w:val="single" w:sz="8" w:color="0000FF"/>
            </w:tcBorders>
            <w:gridSpan w:val="3"/>
          </w:tcPr>
          <w:p>
            <w:pPr>
              <w:spacing w:after="0" w:line="141" w:lineRule="exact"/>
              <w:rPr>
                <w:rFonts w:ascii="Arial" w:cs="Arial" w:eastAsia="Arial" w:hAnsi="Arial"/>
                <w:sz w:val="14"/>
                <w:szCs w:val="14"/>
                <w:color w:val="0000FF"/>
                <w:w w:val="92"/>
              </w:rPr>
            </w:pPr>
            <w:hyperlink w:anchor="page4">
              <w:r>
                <w:rPr>
                  <w:rFonts w:ascii="Arial" w:cs="Arial" w:eastAsia="Arial" w:hAnsi="Arial"/>
                  <w:sz w:val="14"/>
                  <w:szCs w:val="14"/>
                  <w:color w:val="0000FF"/>
                  <w:w w:val="92"/>
                </w:rPr>
                <w:t>Consent of Deloitte &amp; Touche LLP.</w:t>
              </w:r>
            </w:hyperlink>
          </w:p>
        </w:tc>
        <w:tc>
          <w:tcPr>
            <w:tcW w:w="4940" w:type="dxa"/>
            <w:vAlign w:val="bottom"/>
            <w:tcBorders>
              <w:top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100" w:type="dxa"/>
            <w:vAlign w:val="bottom"/>
          </w:tcPr>
          <w:p>
            <w:pPr>
              <w:jc w:val="center"/>
              <w:ind w:left="432"/>
              <w:spacing w:after="0"/>
              <w:rPr>
                <w:sz w:val="20"/>
                <w:szCs w:val="20"/>
                <w:color w:val="auto"/>
              </w:rPr>
            </w:pPr>
            <w:r>
              <w:rPr>
                <w:rFonts w:ascii="Arial" w:cs="Arial" w:eastAsia="Arial" w:hAnsi="Arial"/>
                <w:sz w:val="14"/>
                <w:szCs w:val="14"/>
                <w:color w:val="auto"/>
                <w:w w:val="87"/>
              </w:rPr>
              <w:t>99.1</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rFonts w:ascii="Arial" w:cs="Arial" w:eastAsia="Arial" w:hAnsi="Arial"/>
                <w:sz w:val="14"/>
                <w:szCs w:val="14"/>
                <w:color w:val="0000FF"/>
                <w:w w:val="86"/>
              </w:rPr>
            </w:pPr>
            <w:hyperlink w:anchor="page5">
              <w:r>
                <w:rPr>
                  <w:rFonts w:ascii="Arial" w:cs="Arial" w:eastAsia="Arial" w:hAnsi="Arial"/>
                  <w:sz w:val="14"/>
                  <w:szCs w:val="14"/>
                  <w:color w:val="0000FF"/>
                  <w:w w:val="86"/>
                </w:rPr>
                <w:t>including</w:t>
              </w:r>
            </w:hyperlink>
          </w:p>
        </w:tc>
        <w:tc>
          <w:tcPr>
            <w:tcW w:w="6960" w:type="dxa"/>
            <w:vAlign w:val="bottom"/>
            <w:gridSpan w:val="8"/>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Audited financial statements of Oryx Midstream Holdings LLC as of and for the year ended December 31, 2020,</w:t>
              </w:r>
            </w:hyperlink>
          </w:p>
        </w:tc>
        <w:tc>
          <w:tcPr>
            <w:tcW w:w="0" w:type="dxa"/>
            <w:vAlign w:val="bottom"/>
          </w:tcPr>
          <w:p>
            <w:pPr>
              <w:spacing w:after="0"/>
              <w:rPr>
                <w:sz w:val="1"/>
                <w:szCs w:val="1"/>
                <w:color w:val="auto"/>
              </w:rPr>
            </w:pPr>
          </w:p>
        </w:tc>
      </w:tr>
      <w:tr>
        <w:trPr>
          <w:trHeight w:val="118"/>
        </w:trPr>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0000FF"/>
            </w:tcBorders>
            <w:vMerge w:val="continue"/>
          </w:tcPr>
          <w:p>
            <w:pPr>
              <w:spacing w:after="0"/>
              <w:rPr>
                <w:sz w:val="10"/>
                <w:szCs w:val="10"/>
                <w:color w:val="auto"/>
              </w:rPr>
            </w:pPr>
          </w:p>
        </w:tc>
        <w:tc>
          <w:tcPr>
            <w:tcW w:w="840" w:type="dxa"/>
            <w:vAlign w:val="bottom"/>
            <w:tcBorders>
              <w:top w:val="single" w:sz="8" w:color="0000FF"/>
              <w:bottom w:val="single" w:sz="8" w:color="0000FF"/>
            </w:tcBorders>
            <w:gridSpan w:val="2"/>
          </w:tcPr>
          <w:p>
            <w:pPr>
              <w:ind w:left="60"/>
              <w:spacing w:after="0" w:line="118" w:lineRule="exact"/>
              <w:rPr>
                <w:rFonts w:ascii="Arial" w:cs="Arial" w:eastAsia="Arial" w:hAnsi="Arial"/>
                <w:sz w:val="13"/>
                <w:szCs w:val="13"/>
                <w:color w:val="0000FF"/>
                <w:w w:val="95"/>
              </w:rPr>
            </w:pPr>
            <w:hyperlink w:anchor="page5">
              <w:r>
                <w:rPr>
                  <w:rFonts w:ascii="Arial" w:cs="Arial" w:eastAsia="Arial" w:hAnsi="Arial"/>
                  <w:sz w:val="13"/>
                  <w:szCs w:val="13"/>
                  <w:color w:val="0000FF"/>
                  <w:w w:val="95"/>
                </w:rPr>
                <w:t>notes thereto.</w:t>
              </w:r>
            </w:hyperlink>
          </w:p>
        </w:tc>
        <w:tc>
          <w:tcPr>
            <w:tcW w:w="5560" w:type="dxa"/>
            <w:vAlign w:val="bottom"/>
            <w:tcBorders>
              <w:top w:val="single" w:sz="8" w:color="0000FF"/>
            </w:tcBorders>
            <w:gridSpan w:val="3"/>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100" w:type="dxa"/>
            <w:vAlign w:val="bottom"/>
            <w:vMerge w:val="restart"/>
          </w:tcPr>
          <w:p>
            <w:pPr>
              <w:jc w:val="center"/>
              <w:ind w:left="432"/>
              <w:spacing w:after="0"/>
              <w:rPr>
                <w:sz w:val="20"/>
                <w:szCs w:val="20"/>
                <w:color w:val="auto"/>
              </w:rPr>
            </w:pPr>
            <w:r>
              <w:rPr>
                <w:rFonts w:ascii="Arial" w:cs="Arial" w:eastAsia="Arial" w:hAnsi="Arial"/>
                <w:sz w:val="14"/>
                <w:szCs w:val="14"/>
                <w:color w:val="auto"/>
                <w:w w:val="87"/>
              </w:rPr>
              <w:t>99.2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rFonts w:ascii="Arial" w:cs="Arial" w:eastAsia="Arial" w:hAnsi="Arial"/>
                <w:sz w:val="14"/>
                <w:szCs w:val="14"/>
                <w:color w:val="0000FF"/>
                <w:w w:val="86"/>
              </w:rPr>
            </w:pPr>
            <w:hyperlink w:anchor="page30">
              <w:r>
                <w:rPr>
                  <w:rFonts w:ascii="Arial" w:cs="Arial" w:eastAsia="Arial" w:hAnsi="Arial"/>
                  <w:sz w:val="14"/>
                  <w:szCs w:val="14"/>
                  <w:color w:val="0000FF"/>
                  <w:w w:val="86"/>
                </w:rPr>
                <w:t>including</w:t>
              </w:r>
            </w:hyperlink>
          </w:p>
        </w:tc>
        <w:tc>
          <w:tcPr>
            <w:tcW w:w="6960" w:type="dxa"/>
            <w:vAlign w:val="bottom"/>
            <w:gridSpan w:val="8"/>
          </w:tcPr>
          <w:p>
            <w:pPr>
              <w:spacing w:after="0"/>
              <w:rPr>
                <w:rFonts w:ascii="Arial" w:cs="Arial" w:eastAsia="Arial" w:hAnsi="Arial"/>
                <w:sz w:val="14"/>
                <w:szCs w:val="14"/>
                <w:color w:val="0000FF"/>
                <w:w w:val="97"/>
              </w:rPr>
            </w:pPr>
            <w:hyperlink w:anchor="page30">
              <w:r>
                <w:rPr>
                  <w:rFonts w:ascii="Arial" w:cs="Arial" w:eastAsia="Arial" w:hAnsi="Arial"/>
                  <w:sz w:val="14"/>
                  <w:szCs w:val="14"/>
                  <w:color w:val="0000FF"/>
                  <w:w w:val="97"/>
                </w:rPr>
                <w:t>Unaudited financial statements of Oryx Midstream Holdings LLC as of and for the six months ended June 30, 2021,</w:t>
              </w:r>
            </w:hyperlink>
          </w:p>
        </w:tc>
        <w:tc>
          <w:tcPr>
            <w:tcW w:w="0" w:type="dxa"/>
            <w:vAlign w:val="bottom"/>
          </w:tcPr>
          <w:p>
            <w:pPr>
              <w:spacing w:after="0"/>
              <w:rPr>
                <w:sz w:val="1"/>
                <w:szCs w:val="1"/>
                <w:color w:val="auto"/>
              </w:rPr>
            </w:pPr>
          </w:p>
        </w:tc>
      </w:tr>
      <w:tr>
        <w:trPr>
          <w:trHeight w:val="118"/>
        </w:trPr>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580" w:type="dxa"/>
            <w:vAlign w:val="bottom"/>
            <w:tcBorders>
              <w:top w:val="single" w:sz="8" w:color="0000FF"/>
            </w:tcBorders>
            <w:gridSpan w:val="6"/>
          </w:tcPr>
          <w:p>
            <w:pPr>
              <w:ind w:left="60"/>
              <w:spacing w:after="0" w:line="118" w:lineRule="exact"/>
              <w:rPr>
                <w:rFonts w:ascii="Arial" w:cs="Arial" w:eastAsia="Arial" w:hAnsi="Arial"/>
                <w:sz w:val="13"/>
                <w:szCs w:val="13"/>
                <w:color w:val="0000FF"/>
              </w:rPr>
            </w:pPr>
            <w:hyperlink w:anchor="page30">
              <w:r>
                <w:rPr>
                  <w:rFonts w:ascii="Arial" w:cs="Arial" w:eastAsia="Arial" w:hAnsi="Arial"/>
                  <w:sz w:val="13"/>
                  <w:szCs w:val="13"/>
                  <w:color w:val="0000FF"/>
                </w:rPr>
                <w:t>notes thereto.</w:t>
              </w:r>
            </w:hyperlink>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140" w:type="dxa"/>
            <w:vAlign w:val="bottom"/>
            <w:gridSpan w:val="3"/>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100" w:type="dxa"/>
            <w:vAlign w:val="bottom"/>
            <w:vMerge w:val="restart"/>
          </w:tcPr>
          <w:p>
            <w:pPr>
              <w:jc w:val="center"/>
              <w:ind w:left="432"/>
              <w:spacing w:after="0"/>
              <w:rPr>
                <w:sz w:val="20"/>
                <w:szCs w:val="20"/>
                <w:color w:val="auto"/>
              </w:rPr>
            </w:pPr>
            <w:r>
              <w:rPr>
                <w:rFonts w:ascii="Arial" w:cs="Arial" w:eastAsia="Arial" w:hAnsi="Arial"/>
                <w:sz w:val="14"/>
                <w:szCs w:val="14"/>
                <w:color w:val="auto"/>
                <w:w w:val="87"/>
              </w:rPr>
              <w:t>99.3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vMerge w:val="restart"/>
          </w:tcPr>
          <w:p>
            <w:pPr>
              <w:spacing w:after="0"/>
              <w:rPr>
                <w:rFonts w:ascii="Arial" w:cs="Arial" w:eastAsia="Arial" w:hAnsi="Arial"/>
                <w:sz w:val="14"/>
                <w:szCs w:val="14"/>
                <w:color w:val="0000FF"/>
              </w:rPr>
            </w:pPr>
            <w:hyperlink w:anchor="page43">
              <w:r>
                <w:rPr>
                  <w:rFonts w:ascii="Arial" w:cs="Arial" w:eastAsia="Arial" w:hAnsi="Arial"/>
                  <w:sz w:val="14"/>
                  <w:szCs w:val="14"/>
                  <w:color w:val="0000FF"/>
                </w:rPr>
                <w:t>months</w:t>
              </w:r>
            </w:hyperlink>
          </w:p>
        </w:tc>
        <w:tc>
          <w:tcPr>
            <w:tcW w:w="6960" w:type="dxa"/>
            <w:vAlign w:val="bottom"/>
            <w:gridSpan w:val="8"/>
          </w:tcPr>
          <w:p>
            <w:pPr>
              <w:spacing w:after="0"/>
              <w:rPr>
                <w:rFonts w:ascii="Arial" w:cs="Arial" w:eastAsia="Arial" w:hAnsi="Arial"/>
                <w:sz w:val="14"/>
                <w:szCs w:val="14"/>
                <w:color w:val="0000FF"/>
                <w:w w:val="93"/>
              </w:rPr>
            </w:pPr>
            <w:hyperlink w:anchor="page43">
              <w:r>
                <w:rPr>
                  <w:rFonts w:ascii="Arial" w:cs="Arial" w:eastAsia="Arial" w:hAnsi="Arial"/>
                  <w:sz w:val="14"/>
                  <w:szCs w:val="14"/>
                  <w:color w:val="0000FF"/>
                  <w:w w:val="93"/>
                </w:rPr>
                <w:t>Unaudited pro forma condensed combined financial statements of Plains All American Pipeline, L.P. as of and for the six</w:t>
              </w:r>
            </w:hyperlink>
          </w:p>
        </w:tc>
        <w:tc>
          <w:tcPr>
            <w:tcW w:w="0" w:type="dxa"/>
            <w:vAlign w:val="bottom"/>
          </w:tcPr>
          <w:p>
            <w:pPr>
              <w:spacing w:after="0"/>
              <w:rPr>
                <w:sz w:val="1"/>
                <w:szCs w:val="1"/>
                <w:color w:val="auto"/>
              </w:rPr>
            </w:pPr>
          </w:p>
        </w:tc>
      </w:tr>
      <w:tr>
        <w:trPr>
          <w:trHeight w:val="118"/>
        </w:trPr>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0000FF"/>
            </w:tcBorders>
            <w:vMerge w:val="continue"/>
          </w:tcPr>
          <w:p>
            <w:pPr>
              <w:spacing w:after="0"/>
              <w:rPr>
                <w:sz w:val="10"/>
                <w:szCs w:val="10"/>
                <w:color w:val="auto"/>
              </w:rPr>
            </w:pPr>
          </w:p>
        </w:tc>
        <w:tc>
          <w:tcPr>
            <w:tcW w:w="4960" w:type="dxa"/>
            <w:vAlign w:val="bottom"/>
            <w:tcBorders>
              <w:top w:val="single" w:sz="8" w:color="0000FF"/>
              <w:bottom w:val="single" w:sz="8" w:color="0000FF"/>
            </w:tcBorders>
            <w:gridSpan w:val="4"/>
          </w:tcPr>
          <w:p>
            <w:pPr>
              <w:spacing w:after="0" w:line="118" w:lineRule="exact"/>
              <w:rPr>
                <w:rFonts w:ascii="Arial" w:cs="Arial" w:eastAsia="Arial" w:hAnsi="Arial"/>
                <w:sz w:val="13"/>
                <w:szCs w:val="13"/>
                <w:color w:val="0000FF"/>
                <w:w w:val="95"/>
              </w:rPr>
            </w:pPr>
            <w:hyperlink w:anchor="page43">
              <w:r>
                <w:rPr>
                  <w:rFonts w:ascii="Arial" w:cs="Arial" w:eastAsia="Arial" w:hAnsi="Arial"/>
                  <w:sz w:val="13"/>
                  <w:szCs w:val="13"/>
                  <w:color w:val="0000FF"/>
                  <w:w w:val="95"/>
                </w:rPr>
                <w:t>ended June 30, 2021 and for the year ended December 31, 2020, including notes thereto.</w:t>
              </w:r>
            </w:hyperlink>
          </w:p>
        </w:tc>
        <w:tc>
          <w:tcPr>
            <w:tcW w:w="1900" w:type="dxa"/>
            <w:vAlign w:val="bottom"/>
            <w:tcBorders>
              <w:top w:val="single" w:sz="8" w:color="0000FF"/>
            </w:tcBorders>
            <w:gridSpan w:val="3"/>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2220" w:hanging="1006"/>
        <w:spacing w:after="0"/>
        <w:tabs>
          <w:tab w:leader="none" w:pos="2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09" w:lineRule="exact"/>
        <w:rPr>
          <w:rFonts w:ascii="Arial" w:cs="Arial" w:eastAsia="Arial" w:hAnsi="Arial"/>
          <w:sz w:val="14"/>
          <w:szCs w:val="14"/>
          <w:color w:val="auto"/>
        </w:rPr>
      </w:pPr>
    </w:p>
    <w:p>
      <w:pPr>
        <w:ind w:left="5600"/>
        <w:spacing w:after="0"/>
        <w:rPr>
          <w:rFonts w:ascii="Arial" w:cs="Arial" w:eastAsia="Arial" w:hAnsi="Arial"/>
          <w:sz w:val="14"/>
          <w:szCs w:val="14"/>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ind w:left="5160"/>
        <w:spacing w:after="0"/>
        <w:rPr>
          <w:sz w:val="20"/>
          <w:szCs w:val="20"/>
          <w:color w:val="auto"/>
        </w:rPr>
      </w:pPr>
      <w:r>
        <w:rPr>
          <w:rFonts w:ascii="Arial" w:cs="Arial" w:eastAsia="Arial" w:hAnsi="Arial"/>
          <w:sz w:val="14"/>
          <w:szCs w:val="14"/>
          <w:b w:val="1"/>
          <w:bCs w:val="1"/>
          <w:color w:val="auto"/>
        </w:rPr>
        <w:t>SIGNATURES</w:t>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52"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PLAINS ALL AMERICAN PIPELINE, L.P.</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000" w:type="dxa"/>
            <w:vAlign w:val="bottom"/>
          </w:tcPr>
          <w:p>
            <w:pPr>
              <w:spacing w:after="0"/>
              <w:rPr>
                <w:sz w:val="15"/>
                <w:szCs w:val="15"/>
                <w:color w:val="auto"/>
              </w:rPr>
            </w:pPr>
          </w:p>
        </w:tc>
        <w:tc>
          <w:tcPr>
            <w:tcW w:w="1980" w:type="dxa"/>
            <w:vAlign w:val="bottom"/>
          </w:tcPr>
          <w:p>
            <w:pPr>
              <w:ind w:left="1520"/>
              <w:spacing w:after="0"/>
              <w:rPr>
                <w:sz w:val="20"/>
                <w:szCs w:val="20"/>
                <w:color w:val="auto"/>
              </w:rPr>
            </w:pPr>
            <w:r>
              <w:rPr>
                <w:rFonts w:ascii="Arial" w:cs="Arial" w:eastAsia="Arial" w:hAnsi="Arial"/>
                <w:sz w:val="14"/>
                <w:szCs w:val="14"/>
                <w:color w:val="auto"/>
              </w:rPr>
              <w:t>By:</w:t>
            </w:r>
          </w:p>
        </w:tc>
        <w:tc>
          <w:tcPr>
            <w:tcW w:w="6260" w:type="dxa"/>
            <w:vAlign w:val="bottom"/>
            <w:gridSpan w:val="2"/>
          </w:tcPr>
          <w:p>
            <w:pPr>
              <w:spacing w:after="0"/>
              <w:rPr>
                <w:sz w:val="20"/>
                <w:szCs w:val="20"/>
                <w:color w:val="auto"/>
              </w:rPr>
            </w:pPr>
            <w:r>
              <w:rPr>
                <w:rFonts w:ascii="Arial" w:cs="Arial" w:eastAsia="Arial" w:hAnsi="Arial"/>
                <w:sz w:val="14"/>
                <w:szCs w:val="14"/>
                <w:color w:val="auto"/>
              </w:rPr>
              <w:t>PAA GP LLC, its general partner</w:t>
            </w:r>
          </w:p>
        </w:tc>
      </w:tr>
      <w:tr>
        <w:trPr>
          <w:trHeight w:val="393"/>
        </w:trPr>
        <w:tc>
          <w:tcPr>
            <w:tcW w:w="3000" w:type="dxa"/>
            <w:vAlign w:val="bottom"/>
          </w:tcPr>
          <w:p>
            <w:pPr>
              <w:spacing w:after="0"/>
              <w:rPr>
                <w:sz w:val="24"/>
                <w:szCs w:val="24"/>
                <w:color w:val="auto"/>
              </w:rPr>
            </w:pPr>
          </w:p>
        </w:tc>
        <w:tc>
          <w:tcPr>
            <w:tcW w:w="1980" w:type="dxa"/>
            <w:vAlign w:val="bottom"/>
          </w:tcPr>
          <w:p>
            <w:pPr>
              <w:ind w:left="1520"/>
              <w:spacing w:after="0"/>
              <w:rPr>
                <w:sz w:val="20"/>
                <w:szCs w:val="20"/>
                <w:color w:val="auto"/>
              </w:rPr>
            </w:pPr>
            <w:r>
              <w:rPr>
                <w:rFonts w:ascii="Arial" w:cs="Arial" w:eastAsia="Arial" w:hAnsi="Arial"/>
                <w:sz w:val="14"/>
                <w:szCs w:val="14"/>
                <w:color w:val="auto"/>
              </w:rPr>
              <w:t>By:</w:t>
            </w:r>
          </w:p>
        </w:tc>
        <w:tc>
          <w:tcPr>
            <w:tcW w:w="6260" w:type="dxa"/>
            <w:vAlign w:val="bottom"/>
            <w:gridSpan w:val="2"/>
          </w:tcPr>
          <w:p>
            <w:pPr>
              <w:spacing w:after="0"/>
              <w:rPr>
                <w:sz w:val="20"/>
                <w:szCs w:val="20"/>
                <w:color w:val="auto"/>
              </w:rPr>
            </w:pPr>
            <w:r>
              <w:rPr>
                <w:rFonts w:ascii="Arial" w:cs="Arial" w:eastAsia="Arial" w:hAnsi="Arial"/>
                <w:sz w:val="14"/>
                <w:szCs w:val="14"/>
                <w:color w:val="auto"/>
              </w:rPr>
              <w:t>Plains AAP, L.P., its sole member</w:t>
            </w:r>
          </w:p>
        </w:tc>
      </w:tr>
      <w:tr>
        <w:trPr>
          <w:trHeight w:val="393"/>
        </w:trPr>
        <w:tc>
          <w:tcPr>
            <w:tcW w:w="3000" w:type="dxa"/>
            <w:vAlign w:val="bottom"/>
          </w:tcPr>
          <w:p>
            <w:pPr>
              <w:spacing w:after="0"/>
              <w:rPr>
                <w:sz w:val="24"/>
                <w:szCs w:val="24"/>
                <w:color w:val="auto"/>
              </w:rPr>
            </w:pPr>
          </w:p>
        </w:tc>
        <w:tc>
          <w:tcPr>
            <w:tcW w:w="1980" w:type="dxa"/>
            <w:vAlign w:val="bottom"/>
          </w:tcPr>
          <w:p>
            <w:pPr>
              <w:ind w:left="1520"/>
              <w:spacing w:after="0"/>
              <w:rPr>
                <w:sz w:val="20"/>
                <w:szCs w:val="20"/>
                <w:color w:val="auto"/>
              </w:rPr>
            </w:pPr>
            <w:r>
              <w:rPr>
                <w:rFonts w:ascii="Arial" w:cs="Arial" w:eastAsia="Arial" w:hAnsi="Arial"/>
                <w:sz w:val="14"/>
                <w:szCs w:val="14"/>
                <w:color w:val="auto"/>
              </w:rPr>
              <w:t>By:</w:t>
            </w:r>
          </w:p>
        </w:tc>
        <w:tc>
          <w:tcPr>
            <w:tcW w:w="6260" w:type="dxa"/>
            <w:vAlign w:val="bottom"/>
            <w:gridSpan w:val="2"/>
          </w:tcPr>
          <w:p>
            <w:pPr>
              <w:spacing w:after="0"/>
              <w:rPr>
                <w:sz w:val="20"/>
                <w:szCs w:val="20"/>
                <w:color w:val="auto"/>
              </w:rPr>
            </w:pPr>
            <w:r>
              <w:rPr>
                <w:rFonts w:ascii="Arial" w:cs="Arial" w:eastAsia="Arial" w:hAnsi="Arial"/>
                <w:sz w:val="14"/>
                <w:szCs w:val="14"/>
                <w:color w:val="auto"/>
              </w:rPr>
              <w:t>Plains All American GP LLC, its general partner</w:t>
            </w:r>
          </w:p>
        </w:tc>
      </w:tr>
      <w:tr>
        <w:trPr>
          <w:trHeight w:val="393"/>
        </w:trPr>
        <w:tc>
          <w:tcPr>
            <w:tcW w:w="3000" w:type="dxa"/>
            <w:vAlign w:val="bottom"/>
          </w:tcPr>
          <w:p>
            <w:pPr>
              <w:spacing w:after="0"/>
              <w:rPr>
                <w:sz w:val="20"/>
                <w:szCs w:val="20"/>
                <w:color w:val="auto"/>
              </w:rPr>
            </w:pPr>
            <w:r>
              <w:rPr>
                <w:rFonts w:ascii="Arial" w:cs="Arial" w:eastAsia="Arial" w:hAnsi="Arial"/>
                <w:sz w:val="14"/>
                <w:szCs w:val="14"/>
                <w:color w:val="auto"/>
              </w:rPr>
              <w:t>Date: December 14, 2021</w:t>
            </w:r>
          </w:p>
        </w:tc>
        <w:tc>
          <w:tcPr>
            <w:tcW w:w="1980" w:type="dxa"/>
            <w:vAlign w:val="bottom"/>
          </w:tcPr>
          <w:p>
            <w:pPr>
              <w:ind w:left="1520"/>
              <w:spacing w:after="0"/>
              <w:rPr>
                <w:sz w:val="20"/>
                <w:szCs w:val="20"/>
                <w:color w:val="auto"/>
              </w:rPr>
            </w:pPr>
            <w:r>
              <w:rPr>
                <w:rFonts w:ascii="Arial" w:cs="Arial" w:eastAsia="Arial" w:hAnsi="Arial"/>
                <w:sz w:val="14"/>
                <w:szCs w:val="14"/>
                <w:color w:val="auto"/>
              </w:rPr>
              <w:t>By:</w:t>
            </w:r>
          </w:p>
        </w:tc>
        <w:tc>
          <w:tcPr>
            <w:tcW w:w="62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 Chris Herbold</w:t>
            </w:r>
          </w:p>
        </w:tc>
      </w:tr>
      <w:tr>
        <w:trPr>
          <w:trHeight w:val="171"/>
        </w:trPr>
        <w:tc>
          <w:tcPr>
            <w:tcW w:w="30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Name:</w:t>
            </w:r>
          </w:p>
        </w:tc>
        <w:tc>
          <w:tcPr>
            <w:tcW w:w="5660" w:type="dxa"/>
            <w:vAlign w:val="bottom"/>
          </w:tcPr>
          <w:p>
            <w:pPr>
              <w:ind w:left="220"/>
              <w:spacing w:after="0"/>
              <w:rPr>
                <w:sz w:val="20"/>
                <w:szCs w:val="20"/>
                <w:color w:val="auto"/>
              </w:rPr>
            </w:pPr>
            <w:r>
              <w:rPr>
                <w:rFonts w:ascii="Arial" w:cs="Arial" w:eastAsia="Arial" w:hAnsi="Arial"/>
                <w:sz w:val="14"/>
                <w:szCs w:val="14"/>
                <w:color w:val="auto"/>
              </w:rPr>
              <w:t>Chris Herbold</w:t>
            </w:r>
          </w:p>
        </w:tc>
      </w:tr>
      <w:tr>
        <w:trPr>
          <w:trHeight w:val="180"/>
        </w:trPr>
        <w:tc>
          <w:tcPr>
            <w:tcW w:w="30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rPr>
              <w:t>Title:</w:t>
            </w:r>
          </w:p>
        </w:tc>
        <w:tc>
          <w:tcPr>
            <w:tcW w:w="5660" w:type="dxa"/>
            <w:vAlign w:val="bottom"/>
          </w:tcPr>
          <w:p>
            <w:pPr>
              <w:ind w:left="220"/>
              <w:spacing w:after="0"/>
              <w:rPr>
                <w:sz w:val="20"/>
                <w:szCs w:val="20"/>
                <w:color w:val="auto"/>
              </w:rPr>
            </w:pPr>
            <w:r>
              <w:rPr>
                <w:rFonts w:ascii="Arial" w:cs="Arial" w:eastAsia="Arial" w:hAnsi="Arial"/>
                <w:sz w:val="14"/>
                <w:szCs w:val="14"/>
                <w:i w:val="1"/>
                <w:iCs w:val="1"/>
                <w:color w:val="auto"/>
              </w:rPr>
              <w:t>Senior Vice President, Finance and 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40"/>
          </w:cols>
          <w:pgMar w:left="320" w:top="8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23.1</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AUDITORS</w:t>
      </w:r>
    </w:p>
    <w:p>
      <w:pPr>
        <w:spacing w:after="0" w:line="206" w:lineRule="exact"/>
        <w:rPr>
          <w:sz w:val="20"/>
          <w:szCs w:val="20"/>
          <w:color w:val="auto"/>
        </w:rPr>
      </w:pPr>
    </w:p>
    <w:p>
      <w:pPr>
        <w:ind w:right="100"/>
        <w:spacing w:after="0" w:line="241" w:lineRule="auto"/>
        <w:rPr>
          <w:sz w:val="20"/>
          <w:szCs w:val="20"/>
          <w:color w:val="auto"/>
        </w:rPr>
      </w:pPr>
      <w:r>
        <w:rPr>
          <w:rFonts w:ascii="Arial" w:cs="Arial" w:eastAsia="Arial" w:hAnsi="Arial"/>
          <w:sz w:val="13"/>
          <w:szCs w:val="13"/>
          <w:color w:val="auto"/>
        </w:rPr>
        <w:t>We consent to the incorporation by reference in Registration Statement No. 333-138888, 333-155673, 333-162477, 333-214778, 333-221845, 333-259387 and 333-259390 on Form S-3 and No. 333-193139, 333-193140 and 333-256507 on Form S-8 of Plains All American Pipeline, L.P. of our report dated March 19, 2021, relating to the financial statements of Oryx Midstream Holdings LLC appearing in this Current Report on Form 8-K dated December 14, 2021.</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 Deloitte &amp; Touche LLP</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color w:val="auto"/>
        </w:rPr>
        <w:t>Dallas, Texas</w:t>
      </w:r>
    </w:p>
    <w:p>
      <w:pPr>
        <w:spacing w:after="0"/>
        <w:rPr>
          <w:sz w:val="20"/>
          <w:szCs w:val="20"/>
          <w:color w:val="auto"/>
        </w:rPr>
      </w:pPr>
      <w:r>
        <w:rPr>
          <w:rFonts w:ascii="Arial" w:cs="Arial" w:eastAsia="Arial" w:hAnsi="Arial"/>
          <w:sz w:val="13"/>
          <w:szCs w:val="13"/>
          <w:color w:val="auto"/>
        </w:rPr>
        <w:t>December 14, 2021</w:t>
      </w:r>
    </w:p>
    <w:p>
      <w:pPr>
        <w:sectPr>
          <w:pgSz w:w="11900" w:h="16838" w:orient="portrait"/>
          <w:cols w:equalWidth="0" w:num="1">
            <w:col w:w="11280"/>
          </w:cols>
          <w:pgMar w:left="300" w:top="1419" w:right="31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p>
      <w:pPr>
        <w:jc w:val="right"/>
        <w:spacing w:after="0"/>
        <w:rPr>
          <w:sz w:val="20"/>
          <w:szCs w:val="20"/>
          <w:color w:val="auto"/>
        </w:rPr>
      </w:pPr>
      <w:r>
        <w:rPr>
          <w:rFonts w:ascii="Arial" w:cs="Arial" w:eastAsia="Arial" w:hAnsi="Arial"/>
          <w:sz w:val="14"/>
          <w:szCs w:val="14"/>
          <w:b w:val="1"/>
          <w:bCs w:val="1"/>
          <w:color w:val="auto"/>
        </w:rPr>
        <w:t>Exhibit 99.3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Plains All American Pipeline, L.P.</w:t>
      </w:r>
    </w:p>
    <w:p>
      <w:pPr>
        <w:spacing w:after="0" w:line="183" w:lineRule="exact"/>
        <w:rPr>
          <w:sz w:val="20"/>
          <w:szCs w:val="20"/>
          <w:color w:val="auto"/>
        </w:rPr>
      </w:pPr>
    </w:p>
    <w:p>
      <w:pPr>
        <w:ind w:firstLine="283"/>
        <w:spacing w:after="0" w:line="281" w:lineRule="auto"/>
        <w:rPr>
          <w:sz w:val="20"/>
          <w:szCs w:val="20"/>
          <w:color w:val="auto"/>
        </w:rPr>
      </w:pPr>
      <w:r>
        <w:rPr>
          <w:rFonts w:ascii="Arial" w:cs="Arial" w:eastAsia="Arial" w:hAnsi="Arial"/>
          <w:sz w:val="14"/>
          <w:szCs w:val="14"/>
          <w:color w:val="auto"/>
        </w:rPr>
        <w:t>Unaudited pro forma condensed combined financial statements of Plains All American Pipeline, L.P. as of and for the six months ended June 30, 2021 and for the year ended December 31, 2020, including the notes thereto.</w:t>
      </w:r>
    </w:p>
    <w:p>
      <w:pPr>
        <w:sectPr>
          <w:pgSz w:w="11900" w:h="16838" w:orient="portrait"/>
          <w:cols w:equalWidth="0" w:num="1">
            <w:col w:w="11280"/>
          </w:cols>
          <w:pgMar w:left="300" w:top="634" w:right="319" w:bottom="1440" w:gutter="0" w:footer="0" w:header="0"/>
        </w:sectPr>
      </w:pPr>
    </w:p>
    <w:bookmarkStart w:id="43" w:name="page44"/>
    <w:bookmarkEnd w:id="43"/>
    <w:p>
      <w:pPr>
        <w:jc w:val="center"/>
        <w:spacing w:after="0"/>
        <w:rPr>
          <w:sz w:val="20"/>
          <w:szCs w:val="20"/>
          <w:color w:val="auto"/>
        </w:rPr>
      </w:pPr>
      <w:r>
        <w:rPr>
          <w:rFonts w:ascii="Arial" w:cs="Arial" w:eastAsia="Arial" w:hAnsi="Arial"/>
          <w:sz w:val="14"/>
          <w:szCs w:val="14"/>
          <w:b w:val="1"/>
          <w:bCs w:val="1"/>
          <w:color w:val="auto"/>
        </w:rPr>
        <w:t>PLAINS ALL AMERICAN PIPELINE, 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INDEX TO UNAUDITED PRO FORMA CONDENSED COMBINED FINANCIAL STATEMENTS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Introduction</w:t>
            </w:r>
          </w:p>
        </w:tc>
        <w:tc>
          <w:tcPr>
            <w:tcW w:w="7940" w:type="dxa"/>
            <w:vAlign w:val="bottom"/>
            <w:gridSpan w:val="4"/>
          </w:tcPr>
          <w:p>
            <w:pPr>
              <w:spacing w:after="0"/>
              <w:rPr>
                <w:sz w:val="14"/>
                <w:szCs w:val="14"/>
                <w:color w:val="auto"/>
              </w:rPr>
            </w:pP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F-2</w:t>
            </w:r>
          </w:p>
        </w:tc>
      </w:tr>
      <w:tr>
        <w:trPr>
          <w:trHeight w:val="192"/>
        </w:trPr>
        <w:tc>
          <w:tcPr>
            <w:tcW w:w="8640" w:type="dxa"/>
            <w:vAlign w:val="bottom"/>
            <w:gridSpan w:val="5"/>
          </w:tcPr>
          <w:p>
            <w:pPr>
              <w:spacing w:after="0"/>
              <w:rPr>
                <w:sz w:val="20"/>
                <w:szCs w:val="20"/>
                <w:color w:val="auto"/>
              </w:rPr>
            </w:pPr>
            <w:r>
              <w:rPr>
                <w:rFonts w:ascii="Arial" w:cs="Arial" w:eastAsia="Arial" w:hAnsi="Arial"/>
                <w:sz w:val="14"/>
                <w:szCs w:val="14"/>
                <w:color w:val="auto"/>
              </w:rPr>
              <w:t>Unaudited Pro Forma Condensed Combined Balance Sheet as of June 30, 2021</w:t>
            </w: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F-3</w:t>
            </w:r>
          </w:p>
        </w:tc>
      </w:tr>
      <w:tr>
        <w:trPr>
          <w:trHeight w:val="20"/>
        </w:trPr>
        <w:tc>
          <w:tcPr>
            <w:tcW w:w="4480" w:type="dxa"/>
            <w:vAlign w:val="bottom"/>
            <w:tcBorders>
              <w:right w:val="single" w:sz="8" w:color="auto"/>
            </w:tcBorders>
            <w:gridSpan w:val="2"/>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192"/>
        </w:trPr>
        <w:tc>
          <w:tcPr>
            <w:tcW w:w="8640" w:type="dxa"/>
            <w:vAlign w:val="bottom"/>
            <w:gridSpan w:val="5"/>
          </w:tcPr>
          <w:p>
            <w:pPr>
              <w:spacing w:after="0"/>
              <w:rPr>
                <w:sz w:val="20"/>
                <w:szCs w:val="20"/>
                <w:color w:val="auto"/>
              </w:rPr>
            </w:pPr>
            <w:r>
              <w:rPr>
                <w:rFonts w:ascii="Arial" w:cs="Arial" w:eastAsia="Arial" w:hAnsi="Arial"/>
                <w:sz w:val="14"/>
                <w:szCs w:val="14"/>
                <w:color w:val="auto"/>
              </w:rPr>
              <w:t>Unaudited Pro Forma Condensed Statement of Combined Operations for the Six Months Ended June 30, 2021</w:t>
            </w: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F-4</w:t>
            </w:r>
          </w:p>
        </w:tc>
      </w:tr>
      <w:tr>
        <w:trPr>
          <w:trHeight w:val="192"/>
        </w:trPr>
        <w:tc>
          <w:tcPr>
            <w:tcW w:w="6240" w:type="dxa"/>
            <w:vAlign w:val="bottom"/>
            <w:tcBorders>
              <w:top w:val="single" w:sz="8" w:color="auto"/>
            </w:tcBorders>
            <w:gridSpan w:val="4"/>
          </w:tcPr>
          <w:p>
            <w:pPr>
              <w:spacing w:after="0"/>
              <w:rPr>
                <w:sz w:val="20"/>
                <w:szCs w:val="20"/>
                <w:color w:val="auto"/>
              </w:rPr>
            </w:pPr>
            <w:r>
              <w:rPr>
                <w:rFonts w:ascii="Arial" w:cs="Arial" w:eastAsia="Arial" w:hAnsi="Arial"/>
                <w:sz w:val="14"/>
                <w:szCs w:val="14"/>
                <w:color w:val="auto"/>
                <w:w w:val="91"/>
              </w:rPr>
              <w:t>Unaudited Pro Forma Condensed Statement of Combined Operations for the Year Ended December 31, 2020</w:t>
            </w:r>
          </w:p>
        </w:tc>
        <w:tc>
          <w:tcPr>
            <w:tcW w:w="2400" w:type="dxa"/>
            <w:vAlign w:val="bottom"/>
          </w:tcPr>
          <w:p>
            <w:pPr>
              <w:spacing w:after="0"/>
              <w:rPr>
                <w:sz w:val="16"/>
                <w:szCs w:val="16"/>
                <w:color w:val="auto"/>
              </w:rPr>
            </w:pP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F-5</w:t>
            </w:r>
          </w:p>
        </w:tc>
      </w:tr>
      <w:tr>
        <w:trPr>
          <w:trHeight w:val="192"/>
        </w:trPr>
        <w:tc>
          <w:tcPr>
            <w:tcW w:w="6160" w:type="dxa"/>
            <w:vAlign w:val="bottom"/>
            <w:tcBorders>
              <w:top w:val="single" w:sz="8" w:color="auto"/>
            </w:tcBorders>
            <w:gridSpan w:val="3"/>
          </w:tcPr>
          <w:p>
            <w:pPr>
              <w:spacing w:after="0"/>
              <w:rPr>
                <w:sz w:val="20"/>
                <w:szCs w:val="20"/>
                <w:color w:val="auto"/>
              </w:rPr>
            </w:pPr>
            <w:r>
              <w:rPr>
                <w:rFonts w:ascii="Arial" w:cs="Arial" w:eastAsia="Arial" w:hAnsi="Arial"/>
                <w:sz w:val="14"/>
                <w:szCs w:val="14"/>
                <w:color w:val="auto"/>
              </w:rPr>
              <w:t>Notes to the Unaudited Pro Forma Condensed Combined Financial Statements</w:t>
            </w:r>
          </w:p>
        </w:tc>
        <w:tc>
          <w:tcPr>
            <w:tcW w:w="2480" w:type="dxa"/>
            <w:vAlign w:val="bottom"/>
            <w:gridSpan w:val="2"/>
          </w:tcPr>
          <w:p>
            <w:pPr>
              <w:spacing w:after="0"/>
              <w:rPr>
                <w:sz w:val="16"/>
                <w:szCs w:val="16"/>
                <w:color w:val="auto"/>
              </w:rPr>
            </w:pPr>
          </w:p>
        </w:tc>
        <w:tc>
          <w:tcPr>
            <w:tcW w:w="2600" w:type="dxa"/>
            <w:vAlign w:val="bottom"/>
          </w:tcPr>
          <w:p>
            <w:pPr>
              <w:ind w:left="2400"/>
              <w:spacing w:after="0"/>
              <w:rPr>
                <w:sz w:val="20"/>
                <w:szCs w:val="20"/>
                <w:color w:val="auto"/>
              </w:rPr>
            </w:pPr>
            <w:r>
              <w:rPr>
                <w:rFonts w:ascii="Arial" w:cs="Arial" w:eastAsia="Arial" w:hAnsi="Arial"/>
                <w:sz w:val="14"/>
                <w:szCs w:val="14"/>
                <w:color w:val="auto"/>
                <w:w w:val="85"/>
              </w:rPr>
              <w:t>F-6</w:t>
            </w:r>
          </w:p>
        </w:tc>
      </w:tr>
      <w:tr>
        <w:trPr>
          <w:trHeight w:val="892"/>
        </w:trPr>
        <w:tc>
          <w:tcPr>
            <w:tcW w:w="70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4160" w:type="dxa"/>
            <w:vAlign w:val="bottom"/>
            <w:gridSpan w:val="3"/>
          </w:tcPr>
          <w:p>
            <w:pPr>
              <w:ind w:left="1040"/>
              <w:spacing w:after="0"/>
              <w:rPr>
                <w:sz w:val="20"/>
                <w:szCs w:val="20"/>
                <w:color w:val="auto"/>
              </w:rPr>
            </w:pPr>
            <w:r>
              <w:rPr>
                <w:rFonts w:ascii="Arial" w:cs="Arial" w:eastAsia="Arial" w:hAnsi="Arial"/>
                <w:sz w:val="14"/>
                <w:szCs w:val="14"/>
                <w:color w:val="auto"/>
              </w:rPr>
              <w:t>F-2</w:t>
            </w:r>
          </w:p>
        </w:tc>
        <w:tc>
          <w:tcPr>
            <w:tcW w:w="2600" w:type="dxa"/>
            <w:vAlign w:val="bottom"/>
          </w:tcPr>
          <w:p>
            <w:pPr>
              <w:spacing w:after="0"/>
              <w:rPr>
                <w:sz w:val="24"/>
                <w:szCs w:val="24"/>
                <w:color w:val="auto"/>
              </w:rPr>
            </w:pPr>
          </w:p>
        </w:tc>
      </w:tr>
    </w:tbl>
    <w:p>
      <w:pPr>
        <w:sectPr>
          <w:pgSz w:w="11900" w:h="16838" w:orient="portrait"/>
          <w:cols w:equalWidth="0" w:num="1">
            <w:col w:w="11240"/>
          </w:cols>
          <w:pgMar w:left="320" w:top="634"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ALL AMERICAN PIPELINE, L.P.</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 PRO FORMA CONDENSED COMBINED FINANCIAL STATEMENTS</w:t>
      </w:r>
    </w:p>
    <w:p>
      <w:pPr>
        <w:spacing w:after="0" w:line="158" w:lineRule="exact"/>
        <w:rPr>
          <w:sz w:val="20"/>
          <w:szCs w:val="20"/>
          <w:color w:val="auto"/>
        </w:rPr>
      </w:pPr>
    </w:p>
    <w:p>
      <w:pPr>
        <w:ind w:right="100" w:firstLine="255"/>
        <w:spacing w:after="0" w:line="230" w:lineRule="auto"/>
        <w:rPr>
          <w:sz w:val="20"/>
          <w:szCs w:val="20"/>
          <w:color w:val="auto"/>
        </w:rPr>
      </w:pPr>
      <w:r>
        <w:rPr>
          <w:rFonts w:ascii="Arial" w:cs="Arial" w:eastAsia="Arial" w:hAnsi="Arial"/>
          <w:sz w:val="14"/>
          <w:szCs w:val="14"/>
          <w:color w:val="auto"/>
        </w:rPr>
        <w:t>On October 5, 2021, pursuant to the terms of an Agreement and Plan of Merger dated as of July 12, 2021 (the “Merger Agreement”) between subsidiaries of Plains All American Pipeline, L.P. (“PAA” or the “Registrant”), a wholly-owned subsidiary of Plains GP Holdings, L.P. (“PAGP”), and Oryx Midstream Holdings LLC (together with certain affiliates, “Oryx”), a portfolio company of Stonepeak Infrastructure Partners (“Stonepeak”), PAA and Oryx completed the merger (the "transaction"), in a cashless transaction, of their respective Permian Basin assets, operations and commercial activities into a newly formed strategic joint venture, Plains Oryx Permian Basin LLC (the “Joint Venture”). The Joint Venture, which will be consolidated within PAA's financial statements, is owned 65% by PAA and 35% by Oryx; PAA will serve as operator of the Joint Venture.</w:t>
      </w:r>
    </w:p>
    <w:p>
      <w:pPr>
        <w:spacing w:after="0" w:line="173"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The following unaudited pro forma condensed statements of combined operations for the six months ended June 30, 2021 and for the year ended December 31, 2020 have been prepared as if the transaction described above had taken place on January 1, 2020. The unaudited pro forma condensed combined balance sheet as of June 30, 2021 assumes the transaction was consummated on June 30, 2021.</w:t>
      </w:r>
    </w:p>
    <w:p>
      <w:pPr>
        <w:spacing w:after="0" w:line="184" w:lineRule="exact"/>
        <w:rPr>
          <w:sz w:val="20"/>
          <w:szCs w:val="20"/>
          <w:color w:val="auto"/>
        </w:rPr>
      </w:pPr>
    </w:p>
    <w:p>
      <w:pPr>
        <w:ind w:right="140" w:firstLine="255"/>
        <w:spacing w:after="0" w:line="283" w:lineRule="auto"/>
        <w:rPr>
          <w:sz w:val="20"/>
          <w:szCs w:val="20"/>
          <w:color w:val="auto"/>
        </w:rPr>
      </w:pPr>
      <w:r>
        <w:rPr>
          <w:rFonts w:ascii="Arial" w:cs="Arial" w:eastAsia="Arial" w:hAnsi="Arial"/>
          <w:sz w:val="14"/>
          <w:szCs w:val="14"/>
          <w:color w:val="auto"/>
        </w:rPr>
        <w:t>The following unaudited pro forma condensed combined financial information has been prepared in accordance with Article 11 of SEC Regulation S-X and includes pro forma adjustments that are directly attributable to the transaction and factually supportable. Certain reclassifications have been made to the historical presentation of Oryx's financial statements to conform to our presentation and to the presentation of the pro forma financial statements contained herein. See Note 5 for additional information.</w:t>
      </w:r>
    </w:p>
    <w:p>
      <w:pPr>
        <w:spacing w:after="0" w:line="131"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unaudited pro forma condensed combined financial information has been derived from and should be read in conjunction with the following historical financial statements and accompanying notes of PAA and Oryx:</w:t>
      </w:r>
    </w:p>
    <w:p>
      <w:pPr>
        <w:spacing w:after="0" w:line="164" w:lineRule="exact"/>
        <w:rPr>
          <w:sz w:val="20"/>
          <w:szCs w:val="20"/>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audited consolidated financial statements and related notes of PAA included in PAA's Annual Report on Form 10-K for the year ended December 31, 2020;</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unaudited condensed consolidated financial statements and related notes of PAA included in PAA's Quarterly Report on Form 10-Q for the six months ended June 30, 2021;</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audited consolidated financial statements and related notes of Oryx for the year ended December 31, 2020, included in Exhibit 99.1 to this Current Report on Form 8-K; and</w:t>
      </w:r>
    </w:p>
    <w:p>
      <w:pPr>
        <w:spacing w:after="0" w:line="19" w:lineRule="exact"/>
        <w:rPr>
          <w:rFonts w:ascii="Arial" w:cs="Arial" w:eastAsia="Arial" w:hAnsi="Arial"/>
          <w:sz w:val="14"/>
          <w:szCs w:val="14"/>
          <w:color w:val="auto"/>
        </w:rPr>
      </w:pPr>
    </w:p>
    <w:p>
      <w:pPr>
        <w:ind w:left="520" w:hanging="260"/>
        <w:spacing w:after="0"/>
        <w:tabs>
          <w:tab w:leader="none" w:pos="520" w:val="left"/>
        </w:tabs>
        <w:numPr>
          <w:ilvl w:val="0"/>
          <w:numId w:val="5"/>
        </w:numPr>
        <w:rPr>
          <w:rFonts w:ascii="Arial" w:cs="Arial" w:eastAsia="Arial" w:hAnsi="Arial"/>
          <w:sz w:val="13"/>
          <w:szCs w:val="13"/>
          <w:color w:val="auto"/>
        </w:rPr>
      </w:pPr>
      <w:r>
        <w:rPr>
          <w:rFonts w:ascii="Arial" w:cs="Arial" w:eastAsia="Arial" w:hAnsi="Arial"/>
          <w:sz w:val="13"/>
          <w:szCs w:val="13"/>
          <w:color w:val="auto"/>
        </w:rPr>
        <w:t>unaudited condensed consolidated financial statements and related notes of Oryx for the six months ended June 30, 2021, included in Exhibit 99.2 to this Current Report on Form 8-K.</w:t>
      </w:r>
    </w:p>
    <w:p>
      <w:pPr>
        <w:spacing w:after="0" w:line="190"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 xml:space="preserve">The formation of the Joint Venture is accounted for as a business combination and thus the Transaction Accounting Adjustments presented in the unaudited pro forma condensed combined financial statements have been prepared using the acquisition method of accounting in accordance with Financial Accounting Standards Board Accounting Standards Codification 805, </w:t>
      </w:r>
      <w:r>
        <w:rPr>
          <w:rFonts w:ascii="Arial" w:cs="Arial" w:eastAsia="Arial" w:hAnsi="Arial"/>
          <w:sz w:val="13"/>
          <w:szCs w:val="13"/>
          <w:i w:val="1"/>
          <w:iCs w:val="1"/>
          <w:color w:val="auto"/>
        </w:rPr>
        <w:t>Business</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Combinations </w:t>
      </w:r>
      <w:r>
        <w:rPr>
          <w:rFonts w:ascii="Arial" w:cs="Arial" w:eastAsia="Arial" w:hAnsi="Arial"/>
          <w:sz w:val="13"/>
          <w:szCs w:val="13"/>
          <w:color w:val="auto"/>
        </w:rPr>
        <w:t>("ASC 805"). The unaudited pro forma condensed combined financial statements are based on assumptions that we believe are reasonable under the circumstances and are intended for</w:t>
      </w:r>
      <w:r>
        <w:rPr>
          <w:rFonts w:ascii="Arial" w:cs="Arial" w:eastAsia="Arial" w:hAnsi="Arial"/>
          <w:sz w:val="13"/>
          <w:szCs w:val="13"/>
          <w:i w:val="1"/>
          <w:iCs w:val="1"/>
          <w:color w:val="auto"/>
        </w:rPr>
        <w:t xml:space="preserve"> </w:t>
      </w:r>
      <w:r>
        <w:rPr>
          <w:rFonts w:ascii="Arial" w:cs="Arial" w:eastAsia="Arial" w:hAnsi="Arial"/>
          <w:sz w:val="13"/>
          <w:szCs w:val="13"/>
          <w:color w:val="auto"/>
        </w:rPr>
        <w:t>informational purposes only. They reflect management’s preliminary estimates of the values of the assets acquired and liabilities assumed, pending the completion of valuation procedures. A change in the unaudited pro forma adjustments of the purchase price for the transaction would primarily result in an adjustment to the determined fair values assigned to tangible and intangible assets. The income statement effect of these changes will depend on the nature and amount of the adjustments.</w:t>
      </w:r>
    </w:p>
    <w:p>
      <w:pPr>
        <w:spacing w:after="0" w:line="145"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The unaudited pro forma condensed combined financial statements are not necessarily indicative of the results of the actual or future operations or financial condition that would have been achieved had the transaction occurred at the dates assumed (as noted above). The actual results in the periods following the transaction may differ significantly from those reflected in the unaudited pro forma condensed combined financial statements for a number of reasons including, but not limited to, differences between the assumptions used to prepare the unaudited pro forma condensed combined financial data and the actual amounts and the completion of a final valuation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F-3</w:t>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CONDENSED COMBINED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June 30, 2021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Oryx Historical</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7"/>
        </w:trPr>
        <w:tc>
          <w:tcPr>
            <w:tcW w:w="5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1"/>
                <w:szCs w:val="11"/>
                <w:b w:val="1"/>
                <w:bCs w:val="1"/>
                <w:color w:val="auto"/>
                <w:w w:val="94"/>
              </w:rPr>
              <w:t>PAA</w:t>
            </w: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As Adjusted</w:t>
            </w:r>
          </w:p>
        </w:tc>
        <w:tc>
          <w:tcPr>
            <w:tcW w:w="200" w:type="dxa"/>
            <w:vAlign w:val="bottom"/>
          </w:tcPr>
          <w:p>
            <w:pPr>
              <w:spacing w:after="0"/>
              <w:rPr>
                <w:sz w:val="11"/>
                <w:szCs w:val="11"/>
                <w:color w:val="auto"/>
              </w:rPr>
            </w:pPr>
          </w:p>
        </w:tc>
        <w:tc>
          <w:tcPr>
            <w:tcW w:w="1000" w:type="dxa"/>
            <w:vAlign w:val="bottom"/>
          </w:tcPr>
          <w:p>
            <w:pPr>
              <w:jc w:val="right"/>
              <w:ind w:right="270"/>
              <w:spacing w:after="0"/>
              <w:rPr>
                <w:sz w:val="20"/>
                <w:szCs w:val="20"/>
                <w:color w:val="auto"/>
              </w:rPr>
            </w:pPr>
            <w:r>
              <w:rPr>
                <w:rFonts w:ascii="Arial" w:cs="Arial" w:eastAsia="Arial" w:hAnsi="Arial"/>
                <w:sz w:val="11"/>
                <w:szCs w:val="11"/>
                <w:b w:val="1"/>
                <w:bCs w:val="1"/>
                <w:color w:val="auto"/>
              </w:rPr>
              <w:t>Pro Forma</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30"/>
              <w:spacing w:after="0"/>
              <w:rPr>
                <w:sz w:val="20"/>
                <w:szCs w:val="20"/>
                <w:color w:val="auto"/>
              </w:rPr>
            </w:pPr>
            <w:r>
              <w:rPr>
                <w:rFonts w:ascii="Arial" w:cs="Arial" w:eastAsia="Arial" w:hAnsi="Arial"/>
                <w:sz w:val="11"/>
                <w:szCs w:val="11"/>
                <w:b w:val="1"/>
                <w:bCs w:val="1"/>
                <w:color w:val="auto"/>
              </w:rPr>
              <w:t>PAA</w:t>
            </w:r>
          </w:p>
        </w:tc>
      </w:tr>
      <w:tr>
        <w:trPr>
          <w:trHeight w:val="156"/>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Historical</w:t>
            </w:r>
          </w:p>
        </w:tc>
        <w:tc>
          <w:tcPr>
            <w:tcW w:w="160" w:type="dxa"/>
            <w:vAlign w:val="bottom"/>
          </w:tcPr>
          <w:p>
            <w:pPr>
              <w:spacing w:after="0"/>
              <w:rPr>
                <w:sz w:val="13"/>
                <w:szCs w:val="13"/>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(Note 5)</w:t>
            </w:r>
          </w:p>
        </w:tc>
        <w:tc>
          <w:tcPr>
            <w:tcW w:w="200" w:type="dxa"/>
            <w:vAlign w:val="bottom"/>
          </w:tcPr>
          <w:p>
            <w:pPr>
              <w:spacing w:after="0"/>
              <w:rPr>
                <w:sz w:val="13"/>
                <w:szCs w:val="13"/>
                <w:color w:val="auto"/>
              </w:rPr>
            </w:pPr>
          </w:p>
        </w:tc>
        <w:tc>
          <w:tcPr>
            <w:tcW w:w="1000" w:type="dxa"/>
            <w:vAlign w:val="bottom"/>
          </w:tcPr>
          <w:p>
            <w:pPr>
              <w:jc w:val="right"/>
              <w:ind w:right="210"/>
              <w:spacing w:after="0"/>
              <w:rPr>
                <w:sz w:val="20"/>
                <w:szCs w:val="20"/>
                <w:color w:val="auto"/>
              </w:rPr>
            </w:pPr>
            <w:r>
              <w:rPr>
                <w:rFonts w:ascii="Arial" w:cs="Arial" w:eastAsia="Arial" w:hAnsi="Arial"/>
                <w:sz w:val="11"/>
                <w:szCs w:val="11"/>
                <w:b w:val="1"/>
                <w:bCs w:val="1"/>
                <w:color w:val="auto"/>
              </w:rPr>
              <w:t>Adjustments</w:t>
            </w:r>
          </w:p>
        </w:tc>
        <w:tc>
          <w:tcPr>
            <w:tcW w:w="36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Arial" w:cs="Arial" w:eastAsia="Arial" w:hAnsi="Arial"/>
                <w:sz w:val="11"/>
                <w:szCs w:val="11"/>
                <w:b w:val="1"/>
                <w:bCs w:val="1"/>
                <w:color w:val="auto"/>
              </w:rPr>
              <w:t>Pro Forma Combined</w:t>
            </w:r>
          </w:p>
        </w:tc>
      </w:tr>
      <w:tr>
        <w:trPr>
          <w:trHeight w:val="182"/>
        </w:trPr>
        <w:tc>
          <w:tcPr>
            <w:tcW w:w="5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w:t>
            </w:r>
          </w:p>
        </w:tc>
        <w:tc>
          <w:tcPr>
            <w:tcW w:w="2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Trade accounts receivable and other receivables, net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3,897</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3,949</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Inventory</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675</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1,079</w:t>
            </w:r>
          </w:p>
        </w:tc>
      </w:tr>
      <w:tr>
        <w:trPr>
          <w:trHeight w:val="181"/>
        </w:trPr>
        <w:tc>
          <w:tcPr>
            <w:tcW w:w="5720" w:type="dxa"/>
            <w:vAlign w:val="bottom"/>
          </w:tcPr>
          <w:p>
            <w:pPr>
              <w:ind w:left="100"/>
              <w:spacing w:after="0"/>
              <w:rPr>
                <w:sz w:val="20"/>
                <w:szCs w:val="20"/>
                <w:color w:val="auto"/>
              </w:rPr>
            </w:pPr>
            <w:r>
              <w:rPr>
                <w:rFonts w:ascii="Arial" w:cs="Arial" w:eastAsia="Arial" w:hAnsi="Arial"/>
                <w:sz w:val="14"/>
                <w:szCs w:val="14"/>
                <w:color w:val="auto"/>
              </w:rPr>
              <w:t>Total current assets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5,676</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5,734</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5"/>
        </w:trPr>
        <w:tc>
          <w:tcPr>
            <w:tcW w:w="5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PROPERTY AND EQUIPMENT, NET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13,451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439</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15,338</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85"/>
        </w:trPr>
        <w:tc>
          <w:tcPr>
            <w:tcW w:w="5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OTHER ASSETS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Investments in unconsolidated entities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3,844</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Linefill and base gas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914</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operating lease right-of-use assets, net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344</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Long-term inventory</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long-term assets, net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(722)</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2,309</w:t>
            </w:r>
          </w:p>
        </w:tc>
      </w:tr>
      <w:tr>
        <w:trPr>
          <w:trHeight w:val="203"/>
        </w:trPr>
        <w:tc>
          <w:tcPr>
            <w:tcW w:w="5720" w:type="dxa"/>
            <w:vAlign w:val="bottom"/>
          </w:tcPr>
          <w:p>
            <w:pPr>
              <w:ind w:left="100"/>
              <w:spacing w:after="0"/>
              <w:rPr>
                <w:sz w:val="20"/>
                <w:szCs w:val="20"/>
                <w:color w:val="auto"/>
              </w:rPr>
            </w:pPr>
            <w:r>
              <w:rPr>
                <w:rFonts w:ascii="Arial" w:cs="Arial" w:eastAsia="Arial" w:hAnsi="Arial"/>
                <w:sz w:val="14"/>
                <w:szCs w:val="14"/>
                <w:color w:val="auto"/>
              </w:rPr>
              <w:t>Total assets</w:t>
            </w: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25,391</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3,630</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w:t>
            </w:r>
          </w:p>
        </w:tc>
        <w:tc>
          <w:tcPr>
            <w:tcW w:w="3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28,693</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
        </w:trPr>
        <w:tc>
          <w:tcPr>
            <w:tcW w:w="57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8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LIABILITIES AND PARTNERS' CAPITAL</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Trade accounts payable</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4,112</w:t>
            </w:r>
          </w:p>
        </w:tc>
        <w:tc>
          <w:tcPr>
            <w:tcW w:w="2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53</w:t>
            </w:r>
          </w:p>
        </w:tc>
        <w:tc>
          <w:tcPr>
            <w:tcW w:w="20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360" w:type="dxa"/>
            <w:vAlign w:val="bottom"/>
          </w:tcPr>
          <w:p>
            <w:pPr>
              <w:ind w:left="20"/>
              <w:spacing w:after="0"/>
              <w:rPr>
                <w:sz w:val="20"/>
                <w:szCs w:val="20"/>
                <w:color w:val="auto"/>
              </w:rPr>
            </w:pPr>
            <w:r>
              <w:rPr>
                <w:rFonts w:ascii="Arial" w:cs="Arial" w:eastAsia="Arial" w:hAnsi="Arial"/>
                <w:sz w:val="14"/>
                <w:szCs w:val="14"/>
                <w:color w:val="auto"/>
              </w:rPr>
              <w:t>(g)</w:t>
            </w:r>
          </w:p>
        </w:tc>
        <w:tc>
          <w:tcPr>
            <w:tcW w:w="280" w:type="dxa"/>
            <w:vAlign w:val="bottom"/>
          </w:tcPr>
          <w:p>
            <w:pPr>
              <w:jc w:val="right"/>
              <w:ind w:right="132"/>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4,180</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debt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1,456</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595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360" w:type="dxa"/>
            <w:vAlign w:val="bottom"/>
          </w:tcPr>
          <w:p>
            <w:pPr>
              <w:ind w:left="20"/>
              <w:spacing w:after="0"/>
              <w:rPr>
                <w:sz w:val="20"/>
                <w:szCs w:val="20"/>
                <w:color w:val="auto"/>
              </w:rPr>
            </w:pPr>
            <w:r>
              <w:rPr>
                <w:rFonts w:ascii="Arial" w:cs="Arial" w:eastAsia="Arial" w:hAnsi="Arial"/>
                <w:sz w:val="14"/>
                <w:szCs w:val="14"/>
                <w:color w:val="auto"/>
              </w:rPr>
              <w:t>(j)</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596</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181"/>
        </w:trPr>
        <w:tc>
          <w:tcPr>
            <w:tcW w:w="5720" w:type="dxa"/>
            <w:vAlign w:val="bottom"/>
          </w:tcPr>
          <w:p>
            <w:pPr>
              <w:ind w:left="10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6,163</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6,232</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27"/>
        </w:trPr>
        <w:tc>
          <w:tcPr>
            <w:tcW w:w="5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LONG-TERM LIABILITIES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Senior notes, net of unamortized discount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(j)</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8,326</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Other long-term debt, net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63</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Other long-term liabilities and deferred credits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w:t>
            </w:r>
          </w:p>
        </w:tc>
        <w:tc>
          <w:tcPr>
            <w:tcW w:w="360" w:type="dxa"/>
            <w:vAlign w:val="bottom"/>
          </w:tcPr>
          <w:p>
            <w:pPr>
              <w:ind w:left="20"/>
              <w:spacing w:after="0"/>
              <w:rPr>
                <w:sz w:val="20"/>
                <w:szCs w:val="20"/>
                <w:color w:val="auto"/>
              </w:rPr>
            </w:pPr>
            <w:r>
              <w:rPr>
                <w:rFonts w:ascii="Arial" w:cs="Arial" w:eastAsia="Arial" w:hAnsi="Arial"/>
                <w:sz w:val="14"/>
                <w:szCs w:val="14"/>
                <w:color w:val="auto"/>
              </w:rPr>
              <w:t>(j)</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long-term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9,588</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1,437</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(1,435)</w:t>
            </w: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9,590</w:t>
            </w:r>
          </w:p>
        </w:tc>
      </w:tr>
      <w:tr>
        <w:trPr>
          <w:trHeight w:val="159"/>
        </w:trPr>
        <w:tc>
          <w:tcPr>
            <w:tcW w:w="5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17"/>
        </w:trPr>
        <w:tc>
          <w:tcPr>
            <w:tcW w:w="5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PARTNERS' CAPITAL</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Preferred unitholders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2,292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2,292</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unitholders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7,203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(2,107)</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7,787</w:t>
            </w:r>
          </w:p>
        </w:tc>
      </w:tr>
      <w:tr>
        <w:trPr>
          <w:trHeight w:val="191"/>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599</w:t>
            </w:r>
          </w:p>
        </w:tc>
        <w:tc>
          <w:tcPr>
            <w:tcW w:w="360" w:type="dxa"/>
            <w:vAlign w:val="bottom"/>
          </w:tcPr>
          <w:p>
            <w:pPr>
              <w:ind w:left="20"/>
              <w:spacing w:after="0"/>
              <w:rPr>
                <w:sz w:val="20"/>
                <w:szCs w:val="20"/>
                <w:color w:val="auto"/>
              </w:rPr>
            </w:pPr>
            <w:r>
              <w:rPr>
                <w:rFonts w:ascii="Arial" w:cs="Arial" w:eastAsia="Arial" w:hAnsi="Arial"/>
                <w:sz w:val="14"/>
                <w:szCs w:val="14"/>
                <w:color w:val="auto"/>
              </w:rPr>
              <w:t>(a)</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Total partners' capital excluding noncontrolling interests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9,495</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2,107</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(1,523)</w:t>
            </w: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10,079</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2,647</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Total partners' capital</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9,640</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2,107</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1,124</w:t>
            </w: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12,871</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 and partners' capital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25,391</w:t>
            </w: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3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28,693</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Pro Forma Condensed Combined Financial Statements.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CONDENSED STATEMENT OF COMBINED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unit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Oryx Historical</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7"/>
        </w:trPr>
        <w:tc>
          <w:tcPr>
            <w:tcW w:w="5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411"/>
              <w:spacing w:after="0"/>
              <w:rPr>
                <w:sz w:val="20"/>
                <w:szCs w:val="20"/>
                <w:color w:val="auto"/>
              </w:rPr>
            </w:pPr>
            <w:r>
              <w:rPr>
                <w:rFonts w:ascii="Arial" w:cs="Arial" w:eastAsia="Arial" w:hAnsi="Arial"/>
                <w:sz w:val="11"/>
                <w:szCs w:val="11"/>
                <w:b w:val="1"/>
                <w:bCs w:val="1"/>
                <w:color w:val="auto"/>
              </w:rPr>
              <w:t>PAA</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As Adjusted</w:t>
            </w:r>
          </w:p>
        </w:tc>
        <w:tc>
          <w:tcPr>
            <w:tcW w:w="200" w:type="dxa"/>
            <w:vAlign w:val="bottom"/>
          </w:tcPr>
          <w:p>
            <w:pPr>
              <w:spacing w:after="0"/>
              <w:rPr>
                <w:sz w:val="11"/>
                <w:szCs w:val="11"/>
                <w:color w:val="auto"/>
              </w:rPr>
            </w:pPr>
          </w:p>
        </w:tc>
        <w:tc>
          <w:tcPr>
            <w:tcW w:w="1000" w:type="dxa"/>
            <w:vAlign w:val="bottom"/>
          </w:tcPr>
          <w:p>
            <w:pPr>
              <w:jc w:val="right"/>
              <w:ind w:right="271"/>
              <w:spacing w:after="0"/>
              <w:rPr>
                <w:sz w:val="20"/>
                <w:szCs w:val="20"/>
                <w:color w:val="auto"/>
              </w:rPr>
            </w:pPr>
            <w:r>
              <w:rPr>
                <w:rFonts w:ascii="Arial" w:cs="Arial" w:eastAsia="Arial" w:hAnsi="Arial"/>
                <w:sz w:val="11"/>
                <w:szCs w:val="11"/>
                <w:b w:val="1"/>
                <w:bCs w:val="1"/>
                <w:color w:val="auto"/>
              </w:rPr>
              <w:t>Pro Forma</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30"/>
              <w:spacing w:after="0"/>
              <w:rPr>
                <w:sz w:val="20"/>
                <w:szCs w:val="20"/>
                <w:color w:val="auto"/>
              </w:rPr>
            </w:pPr>
            <w:r>
              <w:rPr>
                <w:rFonts w:ascii="Arial" w:cs="Arial" w:eastAsia="Arial" w:hAnsi="Arial"/>
                <w:sz w:val="11"/>
                <w:szCs w:val="11"/>
                <w:b w:val="1"/>
                <w:bCs w:val="1"/>
                <w:color w:val="auto"/>
              </w:rPr>
              <w:t>PAA</w:t>
            </w:r>
          </w:p>
        </w:tc>
      </w:tr>
      <w:tr>
        <w:trPr>
          <w:trHeight w:val="156"/>
        </w:trPr>
        <w:tc>
          <w:tcPr>
            <w:tcW w:w="57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1"/>
              <w:spacing w:after="0"/>
              <w:rPr>
                <w:sz w:val="20"/>
                <w:szCs w:val="20"/>
                <w:color w:val="auto"/>
              </w:rPr>
            </w:pPr>
            <w:r>
              <w:rPr>
                <w:rFonts w:ascii="Arial" w:cs="Arial" w:eastAsia="Arial" w:hAnsi="Arial"/>
                <w:sz w:val="11"/>
                <w:szCs w:val="11"/>
                <w:b w:val="1"/>
                <w:bCs w:val="1"/>
                <w:color w:val="auto"/>
              </w:rPr>
              <w:t>Historical</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92"/>
              </w:rPr>
              <w:t>(Note 5)</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Adjustments</w:t>
            </w: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Pro Forma Combined</w:t>
            </w: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18,313</w:t>
            </w: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gridSpan w:val="3"/>
            <w:shd w:val="clear" w:color="auto" w:fill="CCEEFF"/>
          </w:tcPr>
          <w:p>
            <w:pPr>
              <w:jc w:val="right"/>
              <w:ind w:right="143"/>
              <w:spacing w:after="0"/>
              <w:rPr>
                <w:sz w:val="20"/>
                <w:szCs w:val="20"/>
                <w:color w:val="auto"/>
              </w:rPr>
            </w:pPr>
            <w:r>
              <w:rPr>
                <w:rFonts w:ascii="Arial" w:cs="Arial" w:eastAsia="Arial" w:hAnsi="Arial"/>
                <w:sz w:val="14"/>
                <w:szCs w:val="14"/>
                <w:color w:val="auto"/>
              </w:rPr>
              <w:t>(8) (e)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18,488</w:t>
            </w:r>
          </w:p>
        </w:tc>
      </w:tr>
      <w:tr>
        <w:trPr>
          <w:trHeight w:val="182"/>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Purchases and related costs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16,669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ind w:left="820"/>
              <w:spacing w:after="0"/>
              <w:rPr>
                <w:sz w:val="20"/>
                <w:szCs w:val="20"/>
                <w:color w:val="auto"/>
              </w:rPr>
            </w:pPr>
            <w:r>
              <w:rPr>
                <w:rFonts w:ascii="Arial" w:cs="Arial" w:eastAsia="Arial" w:hAnsi="Arial"/>
                <w:sz w:val="14"/>
                <w:szCs w:val="14"/>
                <w:color w:val="auto"/>
              </w:rPr>
              <w:t>(8) (e)</w:t>
            </w:r>
          </w:p>
        </w:tc>
        <w:tc>
          <w:tcPr>
            <w:tcW w:w="920" w:type="dxa"/>
            <w:vAlign w:val="bottom"/>
          </w:tcPr>
          <w:p>
            <w:pPr>
              <w:jc w:val="right"/>
              <w:spacing w:after="0"/>
              <w:rPr>
                <w:sz w:val="20"/>
                <w:szCs w:val="20"/>
                <w:color w:val="auto"/>
              </w:rPr>
            </w:pPr>
            <w:r>
              <w:rPr>
                <w:rFonts w:ascii="Arial" w:cs="Arial" w:eastAsia="Arial" w:hAnsi="Arial"/>
                <w:sz w:val="14"/>
                <w:szCs w:val="14"/>
                <w:color w:val="auto"/>
              </w:rPr>
              <w:t>16,701</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488</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156</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4"/>
                <w:szCs w:val="14"/>
                <w:color w:val="auto"/>
              </w:rPr>
              <w:t>(79) (c)</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w:t>
            </w:r>
          </w:p>
        </w:tc>
      </w:tr>
      <w:tr>
        <w:trPr>
          <w:trHeight w:val="191"/>
        </w:trPr>
        <w:tc>
          <w:tcPr>
            <w:tcW w:w="5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(d)</w:t>
            </w: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w:t>
            </w:r>
          </w:p>
        </w:tc>
      </w:tr>
      <w:tr>
        <w:trPr>
          <w:trHeight w:val="181"/>
        </w:trPr>
        <w:tc>
          <w:tcPr>
            <w:tcW w:w="5720" w:type="dxa"/>
            <w:vAlign w:val="bottom"/>
          </w:tcPr>
          <w:p>
            <w:pPr>
              <w:ind w:left="20"/>
              <w:spacing w:after="0"/>
              <w:rPr>
                <w:sz w:val="20"/>
                <w:szCs w:val="20"/>
                <w:color w:val="auto"/>
              </w:rPr>
            </w:pPr>
            <w:r>
              <w:rPr>
                <w:rFonts w:ascii="Arial" w:cs="Arial" w:eastAsia="Arial" w:hAnsi="Arial"/>
                <w:sz w:val="14"/>
                <w:szCs w:val="14"/>
                <w:color w:val="auto"/>
              </w:rPr>
              <w:t>Total costs and expenses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18,023</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153</w:t>
            </w: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18,193</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2"/>
        </w:trPr>
        <w:tc>
          <w:tcPr>
            <w:tcW w:w="5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290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ind w:left="740"/>
              <w:spacing w:after="0"/>
              <w:rPr>
                <w:sz w:val="20"/>
                <w:szCs w:val="20"/>
                <w:color w:val="auto"/>
              </w:rPr>
            </w:pPr>
            <w:r>
              <w:rPr>
                <w:rFonts w:ascii="Arial" w:cs="Arial" w:eastAsia="Arial" w:hAnsi="Arial"/>
                <w:sz w:val="14"/>
                <w:szCs w:val="14"/>
                <w:color w:val="auto"/>
                <w:w w:val="96"/>
              </w:rPr>
              <w:t>(25)</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2"/>
        </w:trPr>
        <w:tc>
          <w:tcPr>
            <w:tcW w:w="5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(j)</w:t>
            </w:r>
          </w:p>
        </w:tc>
        <w:tc>
          <w:tcPr>
            <w:tcW w:w="920" w:type="dxa"/>
            <w:vAlign w:val="bottom"/>
          </w:tcPr>
          <w:p>
            <w:pPr>
              <w:jc w:val="right"/>
              <w:spacing w:after="0"/>
              <w:rPr>
                <w:sz w:val="20"/>
                <w:szCs w:val="20"/>
                <w:color w:val="auto"/>
              </w:rPr>
            </w:pPr>
            <w:r>
              <w:rPr>
                <w:rFonts w:ascii="Arial" w:cs="Arial" w:eastAsia="Arial" w:hAnsi="Arial"/>
                <w:sz w:val="14"/>
                <w:szCs w:val="14"/>
                <w:color w:val="auto"/>
              </w:rPr>
              <w:t>(213)</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income/(expense), net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2"/>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TAX</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230</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Current income tax (expense)/benefit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20"/>
              <w:spacing w:after="0"/>
              <w:rPr>
                <w:sz w:val="20"/>
                <w:szCs w:val="20"/>
                <w:color w:val="auto"/>
              </w:rPr>
            </w:pPr>
            <w:r>
              <w:rPr>
                <w:rFonts w:ascii="Arial" w:cs="Arial" w:eastAsia="Arial" w:hAnsi="Arial"/>
                <w:sz w:val="14"/>
                <w:szCs w:val="14"/>
                <w:color w:val="auto"/>
              </w:rPr>
              <w:t>(i)</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income tax expense</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2"/>
        </w:trPr>
        <w:tc>
          <w:tcPr>
            <w:tcW w:w="57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w:t>
            </w:r>
          </w:p>
        </w:tc>
      </w:tr>
      <w:tr>
        <w:trPr>
          <w:trHeight w:val="191"/>
        </w:trPr>
        <w:tc>
          <w:tcPr>
            <w:tcW w:w="5720" w:type="dxa"/>
            <w:vAlign w:val="bottom"/>
          </w:tcPr>
          <w:p>
            <w:pPr>
              <w:ind w:left="100"/>
              <w:spacing w:after="0"/>
              <w:rPr>
                <w:sz w:val="20"/>
                <w:szCs w:val="20"/>
                <w:color w:val="auto"/>
              </w:rPr>
            </w:pPr>
            <w:r>
              <w:rPr>
                <w:rFonts w:ascii="Arial" w:cs="Arial" w:eastAsia="Arial" w:hAnsi="Arial"/>
                <w:sz w:val="14"/>
                <w:szCs w:val="14"/>
                <w:color w:val="auto"/>
              </w:rPr>
              <w:t>Net income attributable to noncontrolling interests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40" w:type="dxa"/>
            <w:vAlign w:val="bottom"/>
            <w:gridSpan w:val="3"/>
          </w:tcPr>
          <w:p>
            <w:pPr>
              <w:ind w:left="740"/>
              <w:spacing w:after="0"/>
              <w:rPr>
                <w:sz w:val="20"/>
                <w:szCs w:val="20"/>
                <w:color w:val="auto"/>
              </w:rPr>
            </w:pPr>
            <w:r>
              <w:rPr>
                <w:rFonts w:ascii="Arial" w:cs="Arial" w:eastAsia="Arial" w:hAnsi="Arial"/>
                <w:sz w:val="14"/>
                <w:szCs w:val="14"/>
                <w:color w:val="auto"/>
              </w:rPr>
              <w:t>(64) (f)</w:t>
            </w: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PAA</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ind w:left="740"/>
              <w:spacing w:after="0"/>
              <w:rPr>
                <w:sz w:val="20"/>
                <w:szCs w:val="20"/>
                <w:color w:val="auto"/>
              </w:rPr>
            </w:pPr>
            <w:r>
              <w:rPr>
                <w:rFonts w:ascii="Arial" w:cs="Arial" w:eastAsia="Arial" w:hAnsi="Arial"/>
                <w:sz w:val="14"/>
                <w:szCs w:val="14"/>
                <w:color w:val="auto"/>
                <w:w w:val="96"/>
              </w:rPr>
              <w:t>(61)</w:t>
            </w:r>
          </w:p>
        </w:tc>
        <w:tc>
          <w:tcPr>
            <w:tcW w:w="640" w:type="dxa"/>
            <w:vAlign w:val="bottom"/>
            <w:gridSpan w:val="2"/>
            <w:shd w:val="clear" w:color="auto" w:fill="CCEEFF"/>
          </w:tcPr>
          <w:p>
            <w:pPr>
              <w:jc w:val="right"/>
              <w:ind w:right="143"/>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5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PER COMMON UNIT: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Net income allocated to common unitholders - Basic and diluted</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2"/>
        </w:trPr>
        <w:tc>
          <w:tcPr>
            <w:tcW w:w="5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 weighted average common units outstanding</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w:t>
            </w:r>
          </w:p>
        </w:tc>
      </w:tr>
      <w:tr>
        <w:trPr>
          <w:trHeight w:val="212"/>
        </w:trPr>
        <w:tc>
          <w:tcPr>
            <w:tcW w:w="5720" w:type="dxa"/>
            <w:vAlign w:val="bottom"/>
          </w:tcPr>
          <w:p>
            <w:pPr>
              <w:ind w:left="20"/>
              <w:spacing w:after="0"/>
              <w:rPr>
                <w:sz w:val="20"/>
                <w:szCs w:val="20"/>
                <w:color w:val="auto"/>
              </w:rPr>
            </w:pPr>
            <w:r>
              <w:rPr>
                <w:rFonts w:ascii="Arial" w:cs="Arial" w:eastAsia="Arial" w:hAnsi="Arial"/>
                <w:sz w:val="14"/>
                <w:szCs w:val="14"/>
                <w:color w:val="auto"/>
              </w:rPr>
              <w:t>Basic and diluted net income per common unit</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gridSpan w:val="2"/>
          </w:tcPr>
          <w:p>
            <w:pPr>
              <w:jc w:val="right"/>
              <w:ind w:right="143"/>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0.07</w:t>
            </w:r>
          </w:p>
        </w:tc>
      </w:tr>
      <w:tr>
        <w:trPr>
          <w:trHeight w:val="20"/>
        </w:trPr>
        <w:tc>
          <w:tcPr>
            <w:tcW w:w="5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Unaudited Pro Forma Condensed Combined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3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 PRO FORMA CONDENSED STATEMENT OF COMBINED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unit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5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7"/>
              </w:rPr>
              <w:t>Oryx Historical</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27"/>
        </w:trPr>
        <w:tc>
          <w:tcPr>
            <w:tcW w:w="572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1"/>
                <w:szCs w:val="11"/>
                <w:b w:val="1"/>
                <w:bCs w:val="1"/>
                <w:color w:val="auto"/>
              </w:rPr>
              <w:t>PAA</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3"/>
              </w:rPr>
              <w:t>As Adjusted</w:t>
            </w:r>
          </w:p>
        </w:tc>
        <w:tc>
          <w:tcPr>
            <w:tcW w:w="200" w:type="dxa"/>
            <w:vAlign w:val="bottom"/>
          </w:tcPr>
          <w:p>
            <w:pPr>
              <w:spacing w:after="0"/>
              <w:rPr>
                <w:sz w:val="11"/>
                <w:szCs w:val="11"/>
                <w:color w:val="auto"/>
              </w:rPr>
            </w:pPr>
          </w:p>
        </w:tc>
        <w:tc>
          <w:tcPr>
            <w:tcW w:w="1000" w:type="dxa"/>
            <w:vAlign w:val="bottom"/>
          </w:tcPr>
          <w:p>
            <w:pPr>
              <w:jc w:val="right"/>
              <w:ind w:right="271"/>
              <w:spacing w:after="0"/>
              <w:rPr>
                <w:sz w:val="20"/>
                <w:szCs w:val="20"/>
                <w:color w:val="auto"/>
              </w:rPr>
            </w:pPr>
            <w:r>
              <w:rPr>
                <w:rFonts w:ascii="Arial" w:cs="Arial" w:eastAsia="Arial" w:hAnsi="Arial"/>
                <w:sz w:val="11"/>
                <w:szCs w:val="11"/>
                <w:b w:val="1"/>
                <w:bCs w:val="1"/>
                <w:color w:val="auto"/>
              </w:rPr>
              <w:t>Pro Forma</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jc w:val="right"/>
              <w:ind w:right="430"/>
              <w:spacing w:after="0"/>
              <w:rPr>
                <w:sz w:val="20"/>
                <w:szCs w:val="20"/>
                <w:color w:val="auto"/>
              </w:rPr>
            </w:pPr>
            <w:r>
              <w:rPr>
                <w:rFonts w:ascii="Arial" w:cs="Arial" w:eastAsia="Arial" w:hAnsi="Arial"/>
                <w:sz w:val="11"/>
                <w:szCs w:val="11"/>
                <w:b w:val="1"/>
                <w:bCs w:val="1"/>
                <w:color w:val="auto"/>
              </w:rPr>
              <w:t>PAA</w:t>
            </w:r>
          </w:p>
        </w:tc>
      </w:tr>
      <w:tr>
        <w:trPr>
          <w:trHeight w:val="156"/>
        </w:trPr>
        <w:tc>
          <w:tcPr>
            <w:tcW w:w="572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ind w:right="289"/>
              <w:spacing w:after="0"/>
              <w:rPr>
                <w:sz w:val="20"/>
                <w:szCs w:val="20"/>
                <w:color w:val="auto"/>
              </w:rPr>
            </w:pPr>
            <w:r>
              <w:rPr>
                <w:rFonts w:ascii="Arial" w:cs="Arial" w:eastAsia="Arial" w:hAnsi="Arial"/>
                <w:sz w:val="11"/>
                <w:szCs w:val="11"/>
                <w:b w:val="1"/>
                <w:bCs w:val="1"/>
                <w:color w:val="auto"/>
              </w:rPr>
              <w:t>Historical</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71"/>
              <w:spacing w:after="0"/>
              <w:rPr>
                <w:sz w:val="20"/>
                <w:szCs w:val="20"/>
                <w:color w:val="auto"/>
              </w:rPr>
            </w:pPr>
            <w:r>
              <w:rPr>
                <w:rFonts w:ascii="Arial" w:cs="Arial" w:eastAsia="Arial" w:hAnsi="Arial"/>
                <w:sz w:val="11"/>
                <w:szCs w:val="11"/>
                <w:b w:val="1"/>
                <w:bCs w:val="1"/>
                <w:color w:val="auto"/>
                <w:w w:val="92"/>
              </w:rPr>
              <w:t>(Note 5)</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1"/>
                <w:szCs w:val="11"/>
                <w:b w:val="1"/>
                <w:bCs w:val="1"/>
                <w:color w:val="auto"/>
              </w:rPr>
              <w:t>Adjustments</w:t>
            </w:r>
          </w:p>
        </w:tc>
        <w:tc>
          <w:tcPr>
            <w:tcW w:w="360" w:type="dxa"/>
            <w:vAlign w:val="bottom"/>
            <w:tcBorders>
              <w:bottom w:val="single" w:sz="8" w:color="CCEEFF"/>
            </w:tcBorders>
          </w:tcPr>
          <w:p>
            <w:pPr>
              <w:spacing w:after="0"/>
              <w:rPr>
                <w:sz w:val="13"/>
                <w:szCs w:val="13"/>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Pro Forma Combined</w:t>
            </w:r>
          </w:p>
        </w:tc>
      </w:tr>
      <w:tr>
        <w:trPr>
          <w:trHeight w:val="21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74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8"/>
              </w:rPr>
              <w:t>23,290</w:t>
            </w:r>
          </w:p>
        </w:tc>
        <w:tc>
          <w:tcPr>
            <w:tcW w:w="360" w:type="dxa"/>
            <w:vAlign w:val="bottom"/>
            <w:tcBorders>
              <w:bottom w:val="single" w:sz="8" w:color="CCEEFF"/>
            </w:tcBorders>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CCEEFF"/>
            </w:tcBorders>
            <w:gridSpan w:val="3"/>
            <w:shd w:val="clear" w:color="auto" w:fill="CCEEFF"/>
          </w:tcPr>
          <w:p>
            <w:pPr>
              <w:jc w:val="center"/>
              <w:ind w:left="471"/>
              <w:spacing w:after="0"/>
              <w:rPr>
                <w:sz w:val="20"/>
                <w:szCs w:val="20"/>
                <w:color w:val="auto"/>
              </w:rPr>
            </w:pPr>
            <w:r>
              <w:rPr>
                <w:rFonts w:ascii="Arial" w:cs="Arial" w:eastAsia="Arial" w:hAnsi="Arial"/>
                <w:sz w:val="14"/>
                <w:szCs w:val="14"/>
                <w:color w:val="auto"/>
              </w:rPr>
              <w:t>(13) (e)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23,536</w:t>
            </w:r>
          </w:p>
        </w:tc>
      </w:tr>
      <w:tr>
        <w:trPr>
          <w:trHeight w:val="192"/>
        </w:trPr>
        <w:tc>
          <w:tcPr>
            <w:tcW w:w="5720" w:type="dxa"/>
            <w:vAlign w:val="bottom"/>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AND EXPENSES</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Purchases and related costs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7"/>
              </w:rPr>
              <w:t>20,431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640" w:type="dxa"/>
            <w:vAlign w:val="bottom"/>
            <w:gridSpan w:val="2"/>
          </w:tcPr>
          <w:p>
            <w:pPr>
              <w:jc w:val="center"/>
              <w:ind w:right="376"/>
              <w:spacing w:after="0"/>
              <w:rPr>
                <w:sz w:val="20"/>
                <w:szCs w:val="20"/>
                <w:color w:val="auto"/>
              </w:rPr>
            </w:pPr>
            <w:r>
              <w:rPr>
                <w:rFonts w:ascii="Arial" w:cs="Arial" w:eastAsia="Arial" w:hAnsi="Arial"/>
                <w:sz w:val="14"/>
                <w:szCs w:val="14"/>
                <w:color w:val="auto"/>
                <w:w w:val="93"/>
              </w:rPr>
              <w:t>(e)</w:t>
            </w:r>
          </w:p>
        </w:tc>
        <w:tc>
          <w:tcPr>
            <w:tcW w:w="920" w:type="dxa"/>
            <w:vAlign w:val="bottom"/>
          </w:tcPr>
          <w:p>
            <w:pPr>
              <w:jc w:val="right"/>
              <w:spacing w:after="0"/>
              <w:rPr>
                <w:sz w:val="20"/>
                <w:szCs w:val="20"/>
                <w:color w:val="auto"/>
              </w:rPr>
            </w:pPr>
            <w:r>
              <w:rPr>
                <w:rFonts w:ascii="Arial" w:cs="Arial" w:eastAsia="Arial" w:hAnsi="Arial"/>
                <w:sz w:val="14"/>
                <w:szCs w:val="14"/>
                <w:color w:val="auto"/>
              </w:rPr>
              <w:t>20,392</w:t>
            </w: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Field operating costs</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1,120</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271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w:t>
            </w:r>
          </w:p>
        </w:tc>
        <w:tc>
          <w:tcPr>
            <w:tcW w:w="640" w:type="dxa"/>
            <w:vAlign w:val="bottom"/>
            <w:gridSpan w:val="2"/>
          </w:tcPr>
          <w:p>
            <w:pPr>
              <w:jc w:val="center"/>
              <w:ind w:right="376"/>
              <w:spacing w:after="0"/>
              <w:rPr>
                <w:sz w:val="20"/>
                <w:szCs w:val="20"/>
                <w:color w:val="auto"/>
              </w:rPr>
            </w:pPr>
            <w:r>
              <w:rPr>
                <w:rFonts w:ascii="Arial" w:cs="Arial" w:eastAsia="Arial" w:hAnsi="Arial"/>
                <w:sz w:val="14"/>
                <w:szCs w:val="14"/>
                <w:color w:val="auto"/>
                <w:w w:val="93"/>
              </w:rPr>
              <w:t>(g)</w:t>
            </w:r>
          </w:p>
        </w:tc>
        <w:tc>
          <w:tcPr>
            <w:tcW w:w="920" w:type="dxa"/>
            <w:vAlign w:val="bottom"/>
          </w:tcPr>
          <w:p>
            <w:pPr>
              <w:jc w:val="right"/>
              <w:spacing w:after="0"/>
              <w:rPr>
                <w:sz w:val="20"/>
                <w:szCs w:val="20"/>
                <w:color w:val="auto"/>
              </w:rPr>
            </w:pPr>
            <w:r>
              <w:rPr>
                <w:rFonts w:ascii="Arial" w:cs="Arial" w:eastAsia="Arial" w:hAnsi="Arial"/>
                <w:sz w:val="14"/>
                <w:szCs w:val="14"/>
                <w:color w:val="auto"/>
              </w:rPr>
              <w:t>327</w:t>
            </w: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640" w:type="dxa"/>
            <w:vAlign w:val="bottom"/>
            <w:tcBorders>
              <w:bottom w:val="single" w:sz="8" w:color="CCEEFF"/>
            </w:tcBorders>
            <w:gridSpan w:val="2"/>
            <w:shd w:val="clear" w:color="auto" w:fill="CCEEFF"/>
          </w:tcPr>
          <w:p>
            <w:pPr>
              <w:jc w:val="center"/>
              <w:ind w:right="376"/>
              <w:spacing w:after="0"/>
              <w:rPr>
                <w:sz w:val="20"/>
                <w:szCs w:val="20"/>
                <w:color w:val="auto"/>
              </w:rPr>
            </w:pPr>
            <w:r>
              <w:rPr>
                <w:rFonts w:ascii="Arial" w:cs="Arial" w:eastAsia="Arial" w:hAnsi="Arial"/>
                <w:sz w:val="14"/>
                <w:szCs w:val="14"/>
                <w:color w:val="auto"/>
                <w:w w:val="97"/>
              </w:rPr>
              <w:t>(c)</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866</w:t>
            </w:r>
          </w:p>
        </w:tc>
      </w:tr>
      <w:tr>
        <w:trPr>
          <w:trHeight w:val="191"/>
        </w:trPr>
        <w:tc>
          <w:tcPr>
            <w:tcW w:w="5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213</w:t>
            </w:r>
          </w:p>
        </w:tc>
        <w:tc>
          <w:tcPr>
            <w:tcW w:w="640" w:type="dxa"/>
            <w:vAlign w:val="bottom"/>
            <w:gridSpan w:val="2"/>
          </w:tcPr>
          <w:p>
            <w:pPr>
              <w:jc w:val="center"/>
              <w:ind w:right="376"/>
              <w:spacing w:after="0"/>
              <w:rPr>
                <w:sz w:val="20"/>
                <w:szCs w:val="20"/>
                <w:color w:val="auto"/>
              </w:rPr>
            </w:pPr>
            <w:r>
              <w:rPr>
                <w:rFonts w:ascii="Arial" w:cs="Arial" w:eastAsia="Arial" w:hAnsi="Arial"/>
                <w:sz w:val="14"/>
                <w:szCs w:val="14"/>
                <w:color w:val="auto"/>
                <w:w w:val="93"/>
              </w:rPr>
              <w:t>(d)</w:t>
            </w: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(Gains)/losses on asset sales and asset impairments, net</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Goodwill impairment losses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2,515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2,966</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costs and expenses</w:t>
            </w:r>
          </w:p>
        </w:tc>
        <w:tc>
          <w:tcPr>
            <w:tcW w:w="7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7"/>
              </w:rPr>
              <w:t>25,665</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666</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36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26,390</w:t>
            </w:r>
          </w:p>
        </w:tc>
      </w:tr>
      <w:tr>
        <w:trPr>
          <w:trHeight w:val="212"/>
        </w:trPr>
        <w:tc>
          <w:tcPr>
            <w:tcW w:w="5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INCOME/(LOSS)</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(2,375)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(2,854)</w:t>
            </w:r>
          </w:p>
        </w:tc>
      </w:tr>
      <w:tr>
        <w:trPr>
          <w:trHeight w:val="212"/>
        </w:trPr>
        <w:tc>
          <w:tcPr>
            <w:tcW w:w="5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INCOME/(EXPENSE)</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Equity earnings in unconsolidated entities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355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349</w:t>
            </w: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on/(impairment of) investments in unconsolidated entities, net</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Gain on bargain purchase</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640" w:type="dxa"/>
            <w:vAlign w:val="bottom"/>
            <w:tcBorders>
              <w:bottom w:val="single" w:sz="8" w:color="CCEEFF"/>
            </w:tcBorders>
            <w:gridSpan w:val="2"/>
            <w:shd w:val="clear" w:color="auto" w:fill="CCEEFF"/>
          </w:tcPr>
          <w:p>
            <w:pPr>
              <w:jc w:val="center"/>
              <w:ind w:right="396"/>
              <w:spacing w:after="0"/>
              <w:rPr>
                <w:sz w:val="20"/>
                <w:szCs w:val="20"/>
                <w:color w:val="auto"/>
              </w:rPr>
            </w:pPr>
            <w:r>
              <w:rPr>
                <w:rFonts w:ascii="Arial" w:cs="Arial" w:eastAsia="Arial" w:hAnsi="Arial"/>
                <w:sz w:val="14"/>
                <w:szCs w:val="14"/>
                <w:color w:val="auto"/>
              </w:rPr>
              <w:t>(j)</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Other income/(expense), net</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5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INCOME/(LOSS) BEFORE TAX</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(2,599)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(497)</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(3,027)</w:t>
            </w: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income tax expense</w:t>
            </w:r>
          </w:p>
        </w:tc>
        <w:tc>
          <w:tcPr>
            <w:tcW w:w="7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40" w:type="dxa"/>
            <w:vAlign w:val="bottom"/>
            <w:tcBorders>
              <w:bottom w:val="single" w:sz="8" w:color="CCEEFF"/>
            </w:tcBorders>
            <w:gridSpan w:val="3"/>
            <w:shd w:val="clear" w:color="auto" w:fill="CCEEFF"/>
          </w:tcPr>
          <w:p>
            <w:pPr>
              <w:jc w:val="right"/>
              <w:ind w:right="416"/>
              <w:spacing w:after="0"/>
              <w:rPr>
                <w:sz w:val="20"/>
                <w:szCs w:val="20"/>
                <w:color w:val="auto"/>
              </w:rPr>
            </w:pPr>
            <w:r>
              <w:rPr>
                <w:rFonts w:ascii="Arial" w:cs="Arial" w:eastAsia="Arial" w:hAnsi="Arial"/>
                <w:sz w:val="14"/>
                <w:szCs w:val="14"/>
                <w:color w:val="auto"/>
              </w:rPr>
              <w:t>— (i)</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Deferred income tax benefit</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40" w:type="dxa"/>
            <w:vAlign w:val="bottom"/>
            <w:gridSpan w:val="3"/>
          </w:tcPr>
          <w:p>
            <w:pPr>
              <w:jc w:val="right"/>
              <w:ind w:right="416"/>
              <w:spacing w:after="0"/>
              <w:rPr>
                <w:sz w:val="20"/>
                <w:szCs w:val="20"/>
                <w:color w:val="auto"/>
              </w:rPr>
            </w:pPr>
            <w:r>
              <w:rPr>
                <w:rFonts w:ascii="Arial" w:cs="Arial" w:eastAsia="Arial" w:hAnsi="Arial"/>
                <w:sz w:val="14"/>
                <w:szCs w:val="14"/>
                <w:color w:val="auto"/>
              </w:rPr>
              <w:t>— (i)</w:t>
            </w:r>
          </w:p>
        </w:tc>
        <w:tc>
          <w:tcPr>
            <w:tcW w:w="920" w:type="dxa"/>
            <w:vAlign w:val="bottom"/>
          </w:tcPr>
          <w:p>
            <w:pPr>
              <w:jc w:val="right"/>
              <w:spacing w:after="0"/>
              <w:rPr>
                <w:sz w:val="20"/>
                <w:szCs w:val="20"/>
                <w:color w:val="auto"/>
              </w:rPr>
            </w:pPr>
            <w:r>
              <w:rPr>
                <w:rFonts w:ascii="Arial" w:cs="Arial" w:eastAsia="Arial" w:hAnsi="Arial"/>
                <w:sz w:val="14"/>
                <w:szCs w:val="14"/>
                <w:color w:val="auto"/>
              </w:rPr>
              <w:t>70</w:t>
            </w: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57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NET INCOME/(LOSS)</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4"/>
              </w:rPr>
              <w:t>(2,580)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(498)</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69</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(3,009)</w:t>
            </w: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12"/>
        </w:trPr>
        <w:tc>
          <w:tcPr>
            <w:tcW w:w="5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Net (income)/loss attributable to noncontrolling interests</w:t>
            </w:r>
          </w:p>
        </w:tc>
        <w:tc>
          <w:tcPr>
            <w:tcW w:w="7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640" w:type="dxa"/>
            <w:vAlign w:val="bottom"/>
            <w:tcBorders>
              <w:bottom w:val="single" w:sz="8" w:color="CCEEFF"/>
            </w:tcBorders>
            <w:gridSpan w:val="2"/>
            <w:shd w:val="clear" w:color="auto" w:fill="CCEEFF"/>
          </w:tcPr>
          <w:p>
            <w:pPr>
              <w:jc w:val="center"/>
              <w:ind w:right="396"/>
              <w:spacing w:after="0"/>
              <w:rPr>
                <w:sz w:val="20"/>
                <w:szCs w:val="20"/>
                <w:color w:val="auto"/>
              </w:rPr>
            </w:pPr>
            <w:r>
              <w:rPr>
                <w:rFonts w:ascii="Arial" w:cs="Arial" w:eastAsia="Arial" w:hAnsi="Arial"/>
                <w:sz w:val="14"/>
                <w:szCs w:val="14"/>
                <w:color w:val="auto"/>
              </w:rPr>
              <w:t>(f)</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03"/>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NET INCOME/(LOSS) ATTRIBUTABLE TO PAA</w:t>
            </w:r>
          </w:p>
        </w:tc>
        <w:tc>
          <w:tcPr>
            <w:tcW w:w="74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(2,590)</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(498)</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190</w:t>
            </w:r>
          </w:p>
        </w:tc>
        <w:tc>
          <w:tcPr>
            <w:tcW w:w="36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(2,898)</w:t>
            </w:r>
          </w:p>
        </w:tc>
      </w:tr>
      <w:tr>
        <w:trPr>
          <w:trHeight w:val="20"/>
        </w:trPr>
        <w:tc>
          <w:tcPr>
            <w:tcW w:w="57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4"/>
        </w:trPr>
        <w:tc>
          <w:tcPr>
            <w:tcW w:w="5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NET LOSS PER COMMON UNIT:</w:t>
            </w: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allocated to common unitholders - Basic and diluted</w:t>
            </w:r>
          </w:p>
        </w:tc>
        <w:tc>
          <w:tcPr>
            <w:tcW w:w="74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4"/>
              </w:rPr>
              <w:t>(2,790)</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(3,098)</w:t>
            </w:r>
          </w:p>
        </w:tc>
      </w:tr>
      <w:tr>
        <w:trPr>
          <w:trHeight w:val="191"/>
        </w:trPr>
        <w:tc>
          <w:tcPr>
            <w:tcW w:w="5720" w:type="dxa"/>
            <w:vAlign w:val="bottom"/>
          </w:tcPr>
          <w:p>
            <w:pPr>
              <w:ind w:left="20"/>
              <w:spacing w:after="0"/>
              <w:rPr>
                <w:sz w:val="20"/>
                <w:szCs w:val="20"/>
                <w:color w:val="auto"/>
              </w:rPr>
            </w:pPr>
            <w:r>
              <w:rPr>
                <w:rFonts w:ascii="Arial" w:cs="Arial" w:eastAsia="Arial" w:hAnsi="Arial"/>
                <w:sz w:val="14"/>
                <w:szCs w:val="14"/>
                <w:color w:val="auto"/>
              </w:rPr>
              <w:t>Basic and diluted weighted average common units outstanding</w:t>
            </w:r>
          </w:p>
        </w:tc>
        <w:tc>
          <w:tcPr>
            <w:tcW w:w="7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728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728</w:t>
            </w:r>
          </w:p>
        </w:tc>
      </w:tr>
      <w:tr>
        <w:trPr>
          <w:trHeight w:val="22"/>
        </w:trPr>
        <w:tc>
          <w:tcPr>
            <w:tcW w:w="5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2"/>
        </w:trPr>
        <w:tc>
          <w:tcPr>
            <w:tcW w:w="5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net loss per common unit</w:t>
            </w:r>
          </w:p>
        </w:tc>
        <w:tc>
          <w:tcPr>
            <w:tcW w:w="740" w:type="dxa"/>
            <w:vAlign w:val="bottom"/>
            <w:shd w:val="clear" w:color="auto" w:fill="CCEEFF"/>
          </w:tcPr>
          <w:p>
            <w:pPr>
              <w:jc w:val="right"/>
              <w:ind w:right="594"/>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36"/>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Unaudited Pro Forma Condensed Combined Financial Statements.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ectPr>
          <w:pgSz w:w="11900" w:h="16838" w:orient="portrait"/>
          <w:cols w:equalWidth="0" w:num="1">
            <w:col w:w="11280"/>
          </w:cols>
          <w:pgMar w:left="300" w:top="129" w:right="31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1 - Basis of Presentation</w:t>
      </w:r>
    </w:p>
    <w:p>
      <w:pPr>
        <w:spacing w:after="0" w:line="214" w:lineRule="exact"/>
        <w:rPr>
          <w:sz w:val="20"/>
          <w:szCs w:val="20"/>
          <w:color w:val="auto"/>
        </w:rPr>
      </w:pPr>
    </w:p>
    <w:p>
      <w:pPr>
        <w:ind w:right="160" w:firstLine="255"/>
        <w:spacing w:after="0" w:line="283" w:lineRule="auto"/>
        <w:rPr>
          <w:sz w:val="20"/>
          <w:szCs w:val="20"/>
          <w:color w:val="auto"/>
        </w:rPr>
      </w:pPr>
      <w:r>
        <w:rPr>
          <w:rFonts w:ascii="Arial" w:cs="Arial" w:eastAsia="Arial" w:hAnsi="Arial"/>
          <w:sz w:val="14"/>
          <w:szCs w:val="14"/>
          <w:color w:val="auto"/>
        </w:rPr>
        <w:t>The unaudited pro forma condensed combined financial information was prepared in accordance with Article 11 of SEC Regulation S-X. The pro forma financial information includes adjustments that depict the accounting for the transaction using Transaction Accounting Adjustments (as defined in Article 11). Adjustments depicting synergies and dis-synergies of the transaction (“Management Adjustments”) are not presented herein.</w:t>
      </w:r>
    </w:p>
    <w:p>
      <w:pPr>
        <w:spacing w:after="0" w:line="173" w:lineRule="exact"/>
        <w:rPr>
          <w:sz w:val="20"/>
          <w:szCs w:val="20"/>
          <w:color w:val="auto"/>
        </w:rPr>
      </w:pPr>
    </w:p>
    <w:p>
      <w:pPr>
        <w:ind w:right="40" w:firstLine="255"/>
        <w:spacing w:after="0" w:line="278" w:lineRule="auto"/>
        <w:rPr>
          <w:sz w:val="20"/>
          <w:szCs w:val="20"/>
          <w:color w:val="auto"/>
        </w:rPr>
      </w:pPr>
      <w:r>
        <w:rPr>
          <w:rFonts w:ascii="Arial" w:cs="Arial" w:eastAsia="Arial" w:hAnsi="Arial"/>
          <w:sz w:val="14"/>
          <w:szCs w:val="14"/>
          <w:color w:val="auto"/>
        </w:rPr>
        <w:t>These unaudited pro forma condensed combined financial statements and underlying pro forma adjustments are based upon currently available information and certain estimates and assumptions that management believes are factually supportable; therefore, actual results could differ materially from the pro forma information. However, we believe the assumptions provide a reasonable basis for presenting the significant effects of the transaction noted herein. We believe the pro forma adjustments give appropriate effect to those assumptions and are properly applied in the pro forma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2 - Purchase Price Allocation</w:t>
      </w:r>
    </w:p>
    <w:p>
      <w:pPr>
        <w:spacing w:after="0" w:line="214" w:lineRule="exact"/>
        <w:rPr>
          <w:sz w:val="20"/>
          <w:szCs w:val="20"/>
          <w:color w:val="auto"/>
        </w:rPr>
      </w:pPr>
    </w:p>
    <w:p>
      <w:pPr>
        <w:ind w:right="100" w:firstLine="255"/>
        <w:spacing w:after="0" w:line="278" w:lineRule="auto"/>
        <w:rPr>
          <w:sz w:val="20"/>
          <w:szCs w:val="20"/>
          <w:color w:val="auto"/>
        </w:rPr>
      </w:pPr>
      <w:r>
        <w:rPr>
          <w:rFonts w:ascii="Arial" w:cs="Arial" w:eastAsia="Arial" w:hAnsi="Arial"/>
          <w:sz w:val="14"/>
          <w:szCs w:val="14"/>
          <w:color w:val="auto"/>
        </w:rPr>
        <w:t>The formation of the Joint Venture is accounted for as a business combination in accordance with ASC 805. As the majority owner and the controlling entity, PAA is considered the acquirer and as such the PAA predecessor business is accounted for at historical cost, while the Oryx predecessor business is accounted for at fair value. In accordance with ASC 805, the fair value of Oryx’s ownership interest in the Joint Venture following the formation is utilized as the consideration transferred for the purchase price allocation. The following table presents the fair value of the consideration transferred in the transaction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Consideration:</w:t>
            </w:r>
          </w:p>
        </w:tc>
        <w:tc>
          <w:tcPr>
            <w:tcW w:w="14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191"/>
        </w:trPr>
        <w:tc>
          <w:tcPr>
            <w:tcW w:w="8180" w:type="dxa"/>
            <w:vAlign w:val="bottom"/>
          </w:tcPr>
          <w:p>
            <w:pPr>
              <w:ind w:left="20"/>
              <w:spacing w:after="0"/>
              <w:rPr>
                <w:sz w:val="20"/>
                <w:szCs w:val="20"/>
                <w:color w:val="auto"/>
              </w:rPr>
            </w:pPr>
            <w:r>
              <w:rPr>
                <w:rFonts w:ascii="Arial" w:cs="Arial" w:eastAsia="Arial" w:hAnsi="Arial"/>
                <w:sz w:val="14"/>
                <w:szCs w:val="14"/>
                <w:color w:val="auto"/>
              </w:rPr>
              <w:t>Ownership Interest</w:t>
            </w:r>
          </w:p>
        </w:tc>
        <w:tc>
          <w:tcPr>
            <w:tcW w:w="1400" w:type="dxa"/>
            <w:vAlign w:val="bottom"/>
          </w:tcPr>
          <w:p>
            <w:pPr>
              <w:jc w:val="right"/>
              <w:ind w:right="1249"/>
              <w:spacing w:after="0"/>
              <w:rPr>
                <w:sz w:val="20"/>
                <w:szCs w:val="20"/>
                <w:color w:val="auto"/>
              </w:rPr>
            </w:pPr>
            <w:r>
              <w:rPr>
                <w:rFonts w:ascii="Arial" w:cs="Arial" w:eastAsia="Arial" w:hAnsi="Arial"/>
                <w:sz w:val="14"/>
                <w:szCs w:val="14"/>
                <w:color w:val="auto"/>
                <w:w w:val="76"/>
              </w:rPr>
              <w:t>$</w:t>
            </w:r>
          </w:p>
        </w:tc>
        <w:tc>
          <w:tcPr>
            <w:tcW w:w="1700" w:type="dxa"/>
            <w:vAlign w:val="bottom"/>
          </w:tcPr>
          <w:p>
            <w:pPr>
              <w:jc w:val="right"/>
              <w:spacing w:after="0"/>
              <w:rPr>
                <w:sz w:val="20"/>
                <w:szCs w:val="20"/>
                <w:color w:val="auto"/>
              </w:rPr>
            </w:pPr>
            <w:r>
              <w:rPr>
                <w:rFonts w:ascii="Arial" w:cs="Arial" w:eastAsia="Arial" w:hAnsi="Arial"/>
                <w:sz w:val="14"/>
                <w:szCs w:val="14"/>
                <w:color w:val="auto"/>
              </w:rPr>
              <w:t>3,246</w:t>
            </w:r>
          </w:p>
        </w:tc>
      </w:tr>
      <w:tr>
        <w:trPr>
          <w:trHeight w:val="22"/>
        </w:trPr>
        <w:tc>
          <w:tcPr>
            <w:tcW w:w="81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consideration transferred</w:t>
            </w:r>
          </w:p>
        </w:tc>
        <w:tc>
          <w:tcPr>
            <w:tcW w:w="1400" w:type="dxa"/>
            <w:vAlign w:val="bottom"/>
            <w:tcBorders>
              <w:bottom w:val="single" w:sz="8" w:color="auto"/>
            </w:tcBorders>
            <w:shd w:val="clear" w:color="auto" w:fill="CCEEFF"/>
          </w:tcPr>
          <w:p>
            <w:pPr>
              <w:jc w:val="right"/>
              <w:ind w:right="1249"/>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3,246</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right="320" w:firstLine="255"/>
        <w:spacing w:after="0" w:line="321" w:lineRule="auto"/>
        <w:rPr>
          <w:sz w:val="20"/>
          <w:szCs w:val="20"/>
          <w:color w:val="auto"/>
        </w:rPr>
      </w:pPr>
      <w:r>
        <w:rPr>
          <w:rFonts w:ascii="Arial" w:cs="Arial" w:eastAsia="Arial" w:hAnsi="Arial"/>
          <w:sz w:val="13"/>
          <w:szCs w:val="13"/>
          <w:color w:val="auto"/>
        </w:rPr>
        <w:t>The transaction has been accounted for using the acquisition method of accounting and the determination of the fair value of the assets acquired and liabilities assumed has been estimated in accordance with ASC 805. The following table shows our preliminary determination of the fair value of those assets and liabilities as of June 30, 2021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 Depreciable</w:t>
            </w:r>
          </w:p>
        </w:tc>
      </w:tr>
      <w:tr>
        <w:trPr>
          <w:trHeight w:val="212"/>
        </w:trPr>
        <w:tc>
          <w:tcPr>
            <w:tcW w:w="666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c>
          <w:tcPr>
            <w:tcW w:w="480" w:type="dxa"/>
            <w:vAlign w:val="bottom"/>
          </w:tcPr>
          <w:p>
            <w:pPr>
              <w:spacing w:after="0"/>
              <w:rPr>
                <w:sz w:val="18"/>
                <w:szCs w:val="18"/>
                <w:color w:val="auto"/>
              </w:rPr>
            </w:pPr>
          </w:p>
        </w:tc>
        <w:tc>
          <w:tcPr>
            <w:tcW w:w="1720" w:type="dxa"/>
            <w:vAlign w:val="bottom"/>
          </w:tcPr>
          <w:p>
            <w:pPr>
              <w:jc w:val="right"/>
              <w:ind w:right="789"/>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r>
      <w:tr>
        <w:trPr>
          <w:trHeight w:val="22"/>
        </w:trPr>
        <w:tc>
          <w:tcPr>
            <w:tcW w:w="6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r>
        <w:trPr>
          <w:trHeight w:val="183"/>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Working capital and other assets, net</w:t>
            </w:r>
          </w:p>
        </w:tc>
        <w:tc>
          <w:tcPr>
            <w:tcW w:w="480" w:type="dxa"/>
            <w:vAlign w:val="bottom"/>
            <w:tcBorders>
              <w:bottom w:val="single" w:sz="8" w:color="CCEEFF"/>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n/a</w:t>
            </w:r>
          </w:p>
        </w:tc>
      </w:tr>
      <w:tr>
        <w:trPr>
          <w:trHeight w:val="191"/>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Linefill and base gas</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4"/>
                <w:szCs w:val="14"/>
                <w:color w:val="auto"/>
                <w:w w:val="92"/>
              </w:rPr>
              <w:t>n/a</w:t>
            </w:r>
          </w:p>
        </w:tc>
      </w:tr>
      <w:tr>
        <w:trPr>
          <w:trHeight w:val="22"/>
        </w:trPr>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1,887</w:t>
            </w:r>
          </w:p>
        </w:tc>
        <w:tc>
          <w:tcPr>
            <w:tcW w:w="2420" w:type="dxa"/>
            <w:vAlign w:val="bottom"/>
            <w:tcBorders>
              <w:bottom w:val="single" w:sz="8" w:color="CCEEFF"/>
            </w:tcBorders>
            <w:gridSpan w:val="2"/>
            <w:shd w:val="clear" w:color="auto" w:fill="CCEEFF"/>
          </w:tcPr>
          <w:p>
            <w:pPr>
              <w:jc w:val="right"/>
              <w:ind w:right="849"/>
              <w:spacing w:after="0"/>
              <w:rPr>
                <w:sz w:val="20"/>
                <w:szCs w:val="20"/>
                <w:color w:val="auto"/>
              </w:rPr>
            </w:pPr>
            <w:r>
              <w:rPr>
                <w:rFonts w:ascii="Arial" w:cs="Arial" w:eastAsia="Arial" w:hAnsi="Arial"/>
                <w:sz w:val="14"/>
                <w:szCs w:val="14"/>
                <w:color w:val="auto"/>
              </w:rPr>
              <w:t>3 - 30</w:t>
            </w:r>
          </w:p>
        </w:tc>
      </w:tr>
      <w:tr>
        <w:trPr>
          <w:trHeight w:val="191"/>
        </w:trPr>
        <w:tc>
          <w:tcPr>
            <w:tcW w:w="6660" w:type="dxa"/>
            <w:vAlign w:val="bottom"/>
            <w:gridSpan w:val="2"/>
          </w:tcPr>
          <w:p>
            <w:pPr>
              <w:ind w:left="20"/>
              <w:spacing w:after="0"/>
              <w:rPr>
                <w:sz w:val="20"/>
                <w:szCs w:val="20"/>
                <w:color w:val="auto"/>
              </w:rPr>
            </w:pPr>
            <w:r>
              <w:rPr>
                <w:rFonts w:ascii="Arial" w:cs="Arial" w:eastAsia="Arial" w:hAnsi="Arial"/>
                <w:sz w:val="14"/>
                <w:szCs w:val="14"/>
                <w:color w:val="auto"/>
              </w:rPr>
              <w:t>Intangible Assets (included within Other long-term assets, net)</w:t>
            </w:r>
          </w:p>
        </w:tc>
        <w:tc>
          <w:tcPr>
            <w:tcW w:w="480" w:type="dxa"/>
            <w:vAlign w:val="bottom"/>
          </w:tcPr>
          <w:p>
            <w:pPr>
              <w:spacing w:after="0"/>
              <w:rPr>
                <w:sz w:val="16"/>
                <w:szCs w:val="16"/>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1,250</w:t>
            </w:r>
          </w:p>
        </w:tc>
        <w:tc>
          <w:tcPr>
            <w:tcW w:w="2420" w:type="dxa"/>
            <w:vAlign w:val="bottom"/>
            <w:gridSpan w:val="2"/>
          </w:tcPr>
          <w:p>
            <w:pPr>
              <w:jc w:val="right"/>
              <w:ind w:right="949"/>
              <w:spacing w:after="0"/>
              <w:rPr>
                <w:sz w:val="20"/>
                <w:szCs w:val="20"/>
                <w:color w:val="auto"/>
              </w:rPr>
            </w:pPr>
            <w:r>
              <w:rPr>
                <w:rFonts w:ascii="Arial" w:cs="Arial" w:eastAsia="Arial" w:hAnsi="Arial"/>
                <w:sz w:val="14"/>
                <w:szCs w:val="14"/>
                <w:color w:val="auto"/>
              </w:rPr>
              <w:t>20</w:t>
            </w:r>
          </w:p>
        </w:tc>
      </w:tr>
      <w:tr>
        <w:trPr>
          <w:trHeight w:val="22"/>
        </w:trPr>
        <w:tc>
          <w:tcPr>
            <w:tcW w:w="6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92"/>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Investments in unconsolidated entities</w:t>
            </w:r>
          </w:p>
        </w:tc>
        <w:tc>
          <w:tcPr>
            <w:tcW w:w="48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240" w:type="dxa"/>
            <w:vAlign w:val="bottom"/>
            <w:tcBorders>
              <w:bottom w:val="single" w:sz="8" w:color="CCEEFF"/>
            </w:tcBorders>
            <w:shd w:val="clear" w:color="auto" w:fill="CCEEFF"/>
          </w:tcPr>
          <w:p>
            <w:pPr>
              <w:spacing w:after="0"/>
              <w:rPr>
                <w:sz w:val="16"/>
                <w:szCs w:val="16"/>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n/a</w:t>
            </w:r>
          </w:p>
        </w:tc>
      </w:tr>
      <w:tr>
        <w:trPr>
          <w:trHeight w:val="212"/>
        </w:trPr>
        <w:tc>
          <w:tcPr>
            <w:tcW w:w="64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180" w:type="dxa"/>
            <w:vAlign w:val="bottom"/>
            <w:tcBorders>
              <w:bottom w:val="single" w:sz="8" w:color="CCEEFF"/>
            </w:tcBorders>
          </w:tcPr>
          <w:p>
            <w:pPr>
              <w:spacing w:after="0"/>
              <w:rPr>
                <w:sz w:val="18"/>
                <w:szCs w:val="18"/>
                <w:color w:val="auto"/>
              </w:rPr>
            </w:pPr>
          </w:p>
        </w:tc>
      </w:tr>
      <w:tr>
        <w:trPr>
          <w:trHeight w:val="228"/>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8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3,246</w:t>
            </w:r>
          </w:p>
        </w:tc>
        <w:tc>
          <w:tcPr>
            <w:tcW w:w="240" w:type="dxa"/>
            <w:vAlign w:val="bottom"/>
            <w:tcBorders>
              <w:bottom w:val="single" w:sz="8" w:color="CCEEFF"/>
            </w:tcBorders>
            <w:shd w:val="clear" w:color="auto" w:fill="CCEEFF"/>
          </w:tcPr>
          <w:p>
            <w:pPr>
              <w:spacing w:after="0"/>
              <w:rPr>
                <w:sz w:val="19"/>
                <w:szCs w:val="19"/>
                <w:color w:val="auto"/>
              </w:rPr>
            </w:pPr>
          </w:p>
        </w:tc>
        <w:tc>
          <w:tcPr>
            <w:tcW w:w="2180" w:type="dxa"/>
            <w:vAlign w:val="bottom"/>
            <w:tcBorders>
              <w:bottom w:val="single" w:sz="8" w:color="CCEEFF"/>
            </w:tcBorders>
            <w:shd w:val="clear" w:color="auto" w:fill="CCEEFF"/>
          </w:tcPr>
          <w:p>
            <w:pPr>
              <w:spacing w:after="0"/>
              <w:rPr>
                <w:sz w:val="19"/>
                <w:szCs w:val="19"/>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color w:val="auto"/>
        </w:rPr>
        <w:t>This preliminary purchase price allocation has been used to prepare the Transaction Accounting Adjustments in the pro forma condensed combined balance sheet and statement of operations. The analysis was performed based on estimates that are reflective of market participant assumptions. The determination of the fair value of the assets acquired and liabilities assumed is preliminary pending the completion of valuation procedures and other potential adjustments. The final allocation is expected to be completed as soon as practicable and could differ materially from the preliminary allocation used in the Transaction Accounting Adjustments.</w:t>
      </w:r>
    </w:p>
    <w:p>
      <w:pPr>
        <w:spacing w:after="0" w:line="167"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Intangible Assets are comprised of customer relationships with a 20 year life. Amortization of these customer relationships under the declining balance method of amortization is estimated to be approximately $72 million for the remaining six months of 2021 and approximately $131 million, $119 million, $107 million, $93 million and $82 million, respectively, for each of the five years thereafter.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F-7</w:t>
      </w:r>
    </w:p>
    <w:p>
      <w:pPr>
        <w:sectPr>
          <w:pgSz w:w="11900" w:h="16838" w:orient="portrait"/>
          <w:cols w:equalWidth="0" w:num="1">
            <w:col w:w="11280"/>
          </w:cols>
          <w:pgMar w:left="300" w:top="129" w:right="31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3 - Pro Forma Adjustments</w:t>
      </w:r>
    </w:p>
    <w:p>
      <w:pPr>
        <w:spacing w:after="0" w:line="183" w:lineRule="exact"/>
        <w:rPr>
          <w:sz w:val="20"/>
          <w:szCs w:val="20"/>
          <w:color w:val="auto"/>
        </w:rPr>
      </w:pPr>
    </w:p>
    <w:p>
      <w:pPr>
        <w:ind w:left="520" w:right="80" w:hanging="260"/>
        <w:spacing w:after="0" w:line="267" w:lineRule="auto"/>
        <w:tabs>
          <w:tab w:leader="none" w:pos="518"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adjustments to fair value of the assets acquired and liabilities assumed in the transaction based on the acquisition method of accounting. Reflects the elimination of Oryx's historical Partners' capital balance and the recognition of Oryx's 35% Noncontrolling interest in the Joint Venture. The difference between the Noncontrolling interest recognized and the fair value of Oryx's assets acquired and liabilities assumed is recognized by PAA as a gain within Partners' capital.</w:t>
      </w:r>
    </w:p>
    <w:p>
      <w:pPr>
        <w:spacing w:after="0" w:line="173" w:lineRule="exact"/>
        <w:rPr>
          <w:rFonts w:ascii="Arial" w:cs="Arial" w:eastAsia="Arial" w:hAnsi="Arial"/>
          <w:sz w:val="14"/>
          <w:szCs w:val="14"/>
          <w:color w:val="auto"/>
        </w:rPr>
      </w:pPr>
    </w:p>
    <w:p>
      <w:pPr>
        <w:ind w:left="520" w:right="60" w:hanging="260"/>
        <w:spacing w:after="0" w:line="297"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Oryx's outstanding Cash and cash equivalents balance of $18 million as of June 30, 2021, which was not acquired by PAA in connection with the transaction. The offset to this adjustment is within Partners' capital.</w:t>
      </w:r>
    </w:p>
    <w:p>
      <w:pPr>
        <w:spacing w:after="0" w:line="163" w:lineRule="exact"/>
        <w:rPr>
          <w:rFonts w:ascii="Arial" w:cs="Arial" w:eastAsia="Arial" w:hAnsi="Arial"/>
          <w:sz w:val="14"/>
          <w:szCs w:val="14"/>
          <w:color w:val="auto"/>
        </w:rPr>
      </w:pPr>
    </w:p>
    <w:p>
      <w:pPr>
        <w:ind w:left="520" w:right="180" w:hanging="260"/>
        <w:spacing w:after="0" w:line="297" w:lineRule="auto"/>
        <w:tabs>
          <w:tab w:leader="none" w:pos="518"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Oryx's historical depreciation and amortization of $79 million and $156 million for the six months ended June 30, 2021 and the year ended December 31, 2020, respectively.</w:t>
      </w:r>
    </w:p>
    <w:p>
      <w:pPr>
        <w:spacing w:after="0" w:line="153" w:lineRule="exact"/>
        <w:rPr>
          <w:rFonts w:ascii="Arial" w:cs="Arial" w:eastAsia="Arial" w:hAnsi="Arial"/>
          <w:sz w:val="14"/>
          <w:szCs w:val="14"/>
          <w:color w:val="auto"/>
        </w:rPr>
      </w:pPr>
    </w:p>
    <w:p>
      <w:pPr>
        <w:ind w:left="520" w:right="60" w:hanging="260"/>
        <w:spacing w:after="0" w:line="283"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depreciation on the acquired property and equipment under the straight-line method of depreciation over remaining average useful lives ranging from 3 to 30 years. Also reflects the amortization of the intangible assets under the declining balance method resulting in amortization expense of $72 million and $149 million for the six months ended June 30, 2021, and the year ended December 31, 2020, respectively.</w:t>
      </w:r>
    </w:p>
    <w:p>
      <w:pPr>
        <w:spacing w:after="0" w:line="162" w:lineRule="exact"/>
        <w:rPr>
          <w:rFonts w:ascii="Arial" w:cs="Arial" w:eastAsia="Arial" w:hAnsi="Arial"/>
          <w:sz w:val="14"/>
          <w:szCs w:val="14"/>
          <w:color w:val="auto"/>
        </w:rPr>
      </w:pPr>
    </w:p>
    <w:p>
      <w:pPr>
        <w:ind w:left="520" w:right="200" w:hanging="260"/>
        <w:spacing w:after="0" w:line="283" w:lineRule="auto"/>
        <w:tabs>
          <w:tab w:leader="none" w:pos="518"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elimination of transactions between PAA and Oryx as follows: $8 million from Revenues and Purchases and related costs for the six months ended June 30, 2021, and $13 million from Revenues and Purchases and related costs for the year ended December 31, 2020. There were no material balances between PAA and Oryx for Trade accounts receivable and other receivables, net and Trade accounts payable.</w:t>
      </w:r>
    </w:p>
    <w:p>
      <w:pPr>
        <w:spacing w:after="0" w:line="162" w:lineRule="exact"/>
        <w:rPr>
          <w:rFonts w:ascii="Arial" w:cs="Arial" w:eastAsia="Arial" w:hAnsi="Arial"/>
          <w:sz w:val="14"/>
          <w:szCs w:val="14"/>
          <w:color w:val="auto"/>
        </w:rPr>
      </w:pPr>
    </w:p>
    <w:p>
      <w:pPr>
        <w:ind w:left="520" w:right="60" w:hanging="260"/>
        <w:spacing w:after="0" w:line="297" w:lineRule="auto"/>
        <w:tabs>
          <w:tab w:leader="none" w:pos="513"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the allocation of Net income attributable to non-controlling interests, representing net income allocated to Oryx's 35% share of net income from the Joint Venture, for the six months ended June 30, 2021 and the year ended December 31, 2020.</w:t>
      </w:r>
    </w:p>
    <w:p>
      <w:pPr>
        <w:spacing w:after="0" w:line="163" w:lineRule="exact"/>
        <w:rPr>
          <w:rFonts w:ascii="Arial" w:cs="Arial" w:eastAsia="Arial" w:hAnsi="Arial"/>
          <w:sz w:val="14"/>
          <w:szCs w:val="14"/>
          <w:color w:val="auto"/>
        </w:rPr>
      </w:pPr>
    </w:p>
    <w:p>
      <w:pPr>
        <w:ind w:left="520" w:right="400" w:hanging="260"/>
        <w:spacing w:after="0" w:line="283"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transaction and other costs that are directly attributable to the transaction. Costs of $15 million that are expected to be incurred subsequent to completion of the transaction are reflected as an adjustment to Trade accounts payable on the pro forma condensed combined balance sheet, with the offset to Partners’ capital. This amount has been recorded as an adjustment to General and administrative expense in the pro forma statement of operations for the year ended December 31, 2020.</w:t>
      </w:r>
    </w:p>
    <w:p>
      <w:pPr>
        <w:spacing w:after="0" w:line="162" w:lineRule="exact"/>
        <w:rPr>
          <w:rFonts w:ascii="Arial" w:cs="Arial" w:eastAsia="Arial" w:hAnsi="Arial"/>
          <w:sz w:val="14"/>
          <w:szCs w:val="14"/>
          <w:color w:val="auto"/>
        </w:rPr>
      </w:pPr>
    </w:p>
    <w:p>
      <w:pPr>
        <w:ind w:left="520" w:right="40" w:hanging="260"/>
        <w:spacing w:after="0" w:line="275"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Financial Accounting Standards Board (“FASB”) Accounting Standards Codification (“ASC”) 842 with respect to the accounting for leases, allows different adoption dates for certain companies. As a result, PAA adopted ASC 842 on January 1, 2019, whereas Oryx had not yet adopted ASC 842 as of June 30, 2021. The unaudited pro forma condensed combined financial statements are adjusted for the estimated impact of ASC 842, assuming Oryx had adopted this standard as of June 30, 2021, for the unaudited pro forma condensed combined balance sheet, and as of January 1, 2020 for the unaudited pro forma condensed combined statements of operations. The adjustments are not material to either the unaudited pro forma condensed combined balance sheet or statements of operations.</w:t>
      </w:r>
    </w:p>
    <w:p>
      <w:pPr>
        <w:spacing w:after="0" w:line="170" w:lineRule="exact"/>
        <w:rPr>
          <w:rFonts w:ascii="Arial" w:cs="Arial" w:eastAsia="Arial" w:hAnsi="Arial"/>
          <w:sz w:val="14"/>
          <w:szCs w:val="14"/>
          <w:color w:val="auto"/>
        </w:rPr>
      </w:pPr>
    </w:p>
    <w:p>
      <w:pPr>
        <w:ind w:left="520" w:right="20" w:hanging="260"/>
        <w:spacing w:after="0" w:line="297" w:lineRule="auto"/>
        <w:tabs>
          <w:tab w:leader="none" w:pos="515"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pro forma statements of condensed combined operations do not reflect any adjustments to income tax expense as the effect on such expense is not deemed to be material to the pro forma results of operations.</w:t>
      </w:r>
    </w:p>
    <w:p>
      <w:pPr>
        <w:spacing w:after="0" w:line="153" w:lineRule="exact"/>
        <w:rPr>
          <w:rFonts w:ascii="Arial" w:cs="Arial" w:eastAsia="Arial" w:hAnsi="Arial"/>
          <w:sz w:val="14"/>
          <w:szCs w:val="14"/>
          <w:color w:val="auto"/>
        </w:rPr>
      </w:pPr>
    </w:p>
    <w:p>
      <w:pPr>
        <w:ind w:left="520" w:hanging="260"/>
        <w:spacing w:after="0" w:line="305" w:lineRule="auto"/>
        <w:tabs>
          <w:tab w:leader="none" w:pos="515" w:val="left"/>
        </w:tabs>
        <w:numPr>
          <w:ilvl w:val="0"/>
          <w:numId w:val="6"/>
        </w:numPr>
        <w:rPr>
          <w:rFonts w:ascii="Arial" w:cs="Arial" w:eastAsia="Arial" w:hAnsi="Arial"/>
          <w:sz w:val="13"/>
          <w:szCs w:val="13"/>
          <w:color w:val="auto"/>
        </w:rPr>
      </w:pPr>
      <w:r>
        <w:rPr>
          <w:rFonts w:ascii="Arial" w:cs="Arial" w:eastAsia="Arial" w:hAnsi="Arial"/>
          <w:sz w:val="13"/>
          <w:szCs w:val="13"/>
          <w:color w:val="auto"/>
        </w:rPr>
        <w:t>Oryx refinanced its debt prior to the completion of the transaction. As a result, the pro forma adjustments reflect the elimination of Oryx's outstanding Short-term debt of $15 million, long-term debt of $1,412 million included within Senior notes, net, and accrued interest rate swaps of $41 million of which $18 million is included within Other current liabilities and $23 million is included within Other long-term liabilities and deferred credits as of June 30, 2021. The offset to this adjustment is within Partners' capital. Also reflects the elimination of Oryx's historical Interest expense of $28 million and $141 million for the six months ended June 30, 2021 and the year ended December 31, 2020, respectively.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F-8</w:t>
      </w:r>
    </w:p>
    <w:p>
      <w:pPr>
        <w:sectPr>
          <w:pgSz w:w="11900" w:h="16838" w:orient="portrait"/>
          <w:cols w:equalWidth="0" w:num="1">
            <w:col w:w="11280"/>
          </w:cols>
          <w:pgMar w:left="300" w:top="129" w:right="31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43">
        <w:r>
          <w:rPr>
            <w:rFonts w:ascii="Arial" w:cs="Arial" w:eastAsia="Arial" w:hAnsi="Arial"/>
            <w:sz w:val="14"/>
            <w:szCs w:val="14"/>
            <w:u w:val="single" w:color="auto"/>
            <w:color w:val="0000FF"/>
          </w:rPr>
          <w:t>Table of Contents</w:t>
        </w:r>
      </w:hyperlink>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PLAINS ALL AMERICAN PIPELINE, L.P.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UNAUDITED PRO FORMA CONDENSED COMBINED FINANCIAL STATEMENTS</w:t>
      </w: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4 - Pro Forma Net Income/(Loss) Per Common Unit</w:t>
      </w:r>
    </w:p>
    <w:p>
      <w:pPr>
        <w:spacing w:after="0" w:line="193" w:lineRule="exact"/>
        <w:rPr>
          <w:sz w:val="20"/>
          <w:szCs w:val="20"/>
          <w:color w:val="auto"/>
        </w:rPr>
      </w:pPr>
    </w:p>
    <w:p>
      <w:pPr>
        <w:ind w:right="80" w:firstLine="318"/>
        <w:spacing w:after="0" w:line="299" w:lineRule="auto"/>
        <w:rPr>
          <w:sz w:val="20"/>
          <w:szCs w:val="20"/>
          <w:color w:val="auto"/>
        </w:rPr>
      </w:pPr>
      <w:r>
        <w:rPr>
          <w:rFonts w:ascii="Arial" w:cs="Arial" w:eastAsia="Arial" w:hAnsi="Arial"/>
          <w:sz w:val="13"/>
          <w:szCs w:val="13"/>
          <w:color w:val="auto"/>
        </w:rPr>
        <w:t>Pro forma basic and diluted net income/(loss) per common unit is determined by dividing the pro forma net income/(loss) attributable to PAA (after deducting amounts allocated to preferred unitholders and participating securities) by the basic and diluted weighted average number of common units outstanding during the applicable periods. The transaction did not involve the issuance or redemption of securities. For purposes of this calculation, we assumed that distributions were equal to historical PAA distributions for the respective periods; all remaining excess earnings were assumed to be allocated to our common unitholders and participating securities in accordance with the contractual terms of our partnership agreement. Because our partnership agreement requires us to distribute available cash rather than earnings reflected in our statement of operations and the pro forma net income per unit calculation has been prepared on an annual basis in lieu of a quarterly basis, actual cash distributions declared and paid by us may vary significantly from reported pro forma net income per common unit.</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 5 - Reclassification of Oryx's Historical Financial Statements</w:t>
      </w:r>
    </w:p>
    <w:p>
      <w:pPr>
        <w:spacing w:after="0" w:line="214" w:lineRule="exact"/>
        <w:rPr>
          <w:sz w:val="20"/>
          <w:szCs w:val="20"/>
          <w:color w:val="auto"/>
        </w:rPr>
      </w:pPr>
    </w:p>
    <w:p>
      <w:pPr>
        <w:jc w:val="both"/>
        <w:ind w:right="200" w:firstLine="318"/>
        <w:spacing w:after="0" w:line="283" w:lineRule="auto"/>
        <w:rPr>
          <w:sz w:val="20"/>
          <w:szCs w:val="20"/>
          <w:color w:val="auto"/>
        </w:rPr>
      </w:pPr>
      <w:r>
        <w:rPr>
          <w:rFonts w:ascii="Arial" w:cs="Arial" w:eastAsia="Arial" w:hAnsi="Arial"/>
          <w:sz w:val="14"/>
          <w:szCs w:val="14"/>
          <w:color w:val="auto"/>
        </w:rPr>
        <w:t>Reclassification adjustments were made to Oryx's historical balance sheet as of June 30, 2021, and the statements of operations for the six months ended June 30, 2021 and the twelve months ended December 31, 2020. Certain balance sheet and income statement line items presented by Oryx under GAAP have been reclassified to align with the presentation used by PAA under GAAP. These reclassification adjustments are shown in the tables below and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Balance Sheet/Income Statement</w:t>
            </w:r>
          </w:p>
        </w:tc>
        <w:tc>
          <w:tcPr>
            <w:tcW w:w="80" w:type="dxa"/>
            <w:vAlign w:val="bottom"/>
            <w:tcBorders>
              <w:bottom w:val="single" w:sz="8" w:color="CCEEFF"/>
            </w:tcBorders>
          </w:tcPr>
          <w:p>
            <w:pPr>
              <w:spacing w:after="0"/>
              <w:rPr>
                <w:sz w:val="15"/>
                <w:szCs w:val="15"/>
                <w:color w:val="auto"/>
              </w:rPr>
            </w:pPr>
          </w:p>
        </w:tc>
        <w:tc>
          <w:tcPr>
            <w:tcW w:w="3800" w:type="dxa"/>
            <w:vAlign w:val="bottom"/>
            <w:tcBorders>
              <w:bottom w:val="single" w:sz="8" w:color="auto"/>
            </w:tcBorders>
          </w:tcPr>
          <w:p>
            <w:pPr>
              <w:ind w:left="1620"/>
              <w:spacing w:after="0"/>
              <w:rPr>
                <w:sz w:val="20"/>
                <w:szCs w:val="20"/>
                <w:color w:val="auto"/>
              </w:rPr>
            </w:pPr>
            <w:r>
              <w:rPr>
                <w:rFonts w:ascii="Arial" w:cs="Arial" w:eastAsia="Arial" w:hAnsi="Arial"/>
                <w:sz w:val="13"/>
                <w:szCs w:val="13"/>
                <w:b w:val="1"/>
                <w:bCs w:val="1"/>
                <w:color w:val="auto"/>
              </w:rPr>
              <w:t>Historical</w:t>
            </w:r>
          </w:p>
        </w:tc>
        <w:tc>
          <w:tcPr>
            <w:tcW w:w="80" w:type="dxa"/>
            <w:vAlign w:val="bottom"/>
            <w:tcBorders>
              <w:bottom w:val="single" w:sz="8" w:color="CCEEFF"/>
            </w:tcBorders>
          </w:tcPr>
          <w:p>
            <w:pPr>
              <w:spacing w:after="0"/>
              <w:rPr>
                <w:sz w:val="15"/>
                <w:szCs w:val="15"/>
                <w:color w:val="auto"/>
              </w:rPr>
            </w:pPr>
          </w:p>
        </w:tc>
        <w:tc>
          <w:tcPr>
            <w:tcW w:w="4280" w:type="dxa"/>
            <w:vAlign w:val="bottom"/>
            <w:tcBorders>
              <w:bottom w:val="single" w:sz="8" w:color="auto"/>
            </w:tcBorders>
          </w:tcPr>
          <w:p>
            <w:pPr>
              <w:ind w:left="1720"/>
              <w:spacing w:after="0"/>
              <w:rPr>
                <w:sz w:val="20"/>
                <w:szCs w:val="20"/>
                <w:color w:val="auto"/>
              </w:rPr>
            </w:pPr>
            <w:r>
              <w:rPr>
                <w:rFonts w:ascii="Arial" w:cs="Arial" w:eastAsia="Arial" w:hAnsi="Arial"/>
                <w:sz w:val="13"/>
                <w:szCs w:val="13"/>
                <w:b w:val="1"/>
                <w:bCs w:val="1"/>
                <w:color w:val="auto"/>
              </w:rPr>
              <w:t>Reclassification</w:t>
            </w:r>
          </w:p>
        </w:tc>
      </w:tr>
      <w:tr>
        <w:trPr>
          <w:trHeight w:val="18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receivable - related party</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receivable and other receivables, net</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Other property and equipment, net</w:t>
            </w:r>
          </w:p>
        </w:tc>
        <w:tc>
          <w:tcPr>
            <w:tcW w:w="4280" w:type="dxa"/>
            <w:vAlign w:val="bottom"/>
          </w:tcPr>
          <w:p>
            <w:pPr>
              <w:ind w:left="20"/>
              <w:spacing w:after="0"/>
              <w:rPr>
                <w:sz w:val="20"/>
                <w:szCs w:val="20"/>
                <w:color w:val="auto"/>
              </w:rPr>
            </w:pPr>
            <w:r>
              <w:rPr>
                <w:rFonts w:ascii="Arial" w:cs="Arial" w:eastAsia="Arial" w:hAnsi="Arial"/>
                <w:sz w:val="13"/>
                <w:szCs w:val="13"/>
                <w:color w:val="auto"/>
              </w:rPr>
              <w:t>Property and equipment, net</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Linefill and base gas</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Intangibles, net</w:t>
            </w:r>
          </w:p>
        </w:tc>
        <w:tc>
          <w:tcPr>
            <w:tcW w:w="4280" w:type="dxa"/>
            <w:vAlign w:val="bottom"/>
          </w:tcPr>
          <w:p>
            <w:pPr>
              <w:ind w:left="20"/>
              <w:spacing w:after="0"/>
              <w:rPr>
                <w:sz w:val="20"/>
                <w:szCs w:val="20"/>
                <w:color w:val="auto"/>
              </w:rPr>
            </w:pPr>
            <w:r>
              <w:rPr>
                <w:rFonts w:ascii="Arial" w:cs="Arial" w:eastAsia="Arial" w:hAnsi="Arial"/>
                <w:sz w:val="13"/>
                <w:szCs w:val="13"/>
                <w:color w:val="auto"/>
              </w:rPr>
              <w:t>Other long-term assets, net</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payable</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Accrued expenses</w:t>
            </w:r>
          </w:p>
        </w:tc>
        <w:tc>
          <w:tcPr>
            <w:tcW w:w="4280" w:type="dxa"/>
            <w:vAlign w:val="bottom"/>
          </w:tcPr>
          <w:p>
            <w:pPr>
              <w:ind w:left="20"/>
              <w:spacing w:after="0"/>
              <w:rPr>
                <w:sz w:val="20"/>
                <w:szCs w:val="20"/>
                <w:color w:val="auto"/>
              </w:rPr>
            </w:pPr>
            <w:r>
              <w:rPr>
                <w:rFonts w:ascii="Arial" w:cs="Arial" w:eastAsia="Arial" w:hAnsi="Arial"/>
                <w:sz w:val="13"/>
                <w:szCs w:val="13"/>
                <w:color w:val="auto"/>
              </w:rPr>
              <w:t>Trade accounts payable</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Accounts payable - related party</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Trade accounts payable</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Balance Sheet</w:t>
            </w:r>
          </w:p>
        </w:tc>
        <w:tc>
          <w:tcPr>
            <w:tcW w:w="3880" w:type="dxa"/>
            <w:vAlign w:val="bottom"/>
            <w:gridSpan w:val="2"/>
          </w:tcPr>
          <w:p>
            <w:pPr>
              <w:spacing w:after="0"/>
              <w:rPr>
                <w:sz w:val="20"/>
                <w:szCs w:val="20"/>
                <w:color w:val="auto"/>
              </w:rPr>
            </w:pPr>
            <w:r>
              <w:rPr>
                <w:rFonts w:ascii="Arial" w:cs="Arial" w:eastAsia="Arial" w:hAnsi="Arial"/>
                <w:sz w:val="13"/>
                <w:szCs w:val="13"/>
                <w:color w:val="auto"/>
              </w:rPr>
              <w:t>Interest rate swap</w:t>
            </w:r>
          </w:p>
        </w:tc>
        <w:tc>
          <w:tcPr>
            <w:tcW w:w="4280" w:type="dxa"/>
            <w:vAlign w:val="bottom"/>
          </w:tcPr>
          <w:p>
            <w:pPr>
              <w:ind w:left="20"/>
              <w:spacing w:after="0"/>
              <w:rPr>
                <w:sz w:val="20"/>
                <w:szCs w:val="20"/>
                <w:color w:val="auto"/>
              </w:rPr>
            </w:pPr>
            <w:r>
              <w:rPr>
                <w:rFonts w:ascii="Arial" w:cs="Arial" w:eastAsia="Arial" w:hAnsi="Arial"/>
                <w:sz w:val="13"/>
                <w:szCs w:val="13"/>
                <w:color w:val="auto"/>
              </w:rPr>
              <w:t>Other long-term liabilities and deferred credits</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Trucking and lease capacity fees</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and related costs</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tcPr>
          <w:p>
            <w:pPr>
              <w:spacing w:after="0"/>
              <w:rPr>
                <w:sz w:val="20"/>
                <w:szCs w:val="20"/>
                <w:color w:val="auto"/>
              </w:rPr>
            </w:pPr>
            <w:r>
              <w:rPr>
                <w:rFonts w:ascii="Arial" w:cs="Arial" w:eastAsia="Arial" w:hAnsi="Arial"/>
                <w:sz w:val="13"/>
                <w:szCs w:val="13"/>
                <w:color w:val="auto"/>
              </w:rPr>
              <w:t>Costs of Goods Sold</w:t>
            </w:r>
          </w:p>
        </w:tc>
        <w:tc>
          <w:tcPr>
            <w:tcW w:w="4280" w:type="dxa"/>
            <w:vAlign w:val="bottom"/>
          </w:tcPr>
          <w:p>
            <w:pPr>
              <w:ind w:left="20"/>
              <w:spacing w:after="0"/>
              <w:rPr>
                <w:sz w:val="20"/>
                <w:szCs w:val="20"/>
                <w:color w:val="auto"/>
              </w:rPr>
            </w:pPr>
            <w:r>
              <w:rPr>
                <w:rFonts w:ascii="Arial" w:cs="Arial" w:eastAsia="Arial" w:hAnsi="Arial"/>
                <w:sz w:val="13"/>
                <w:szCs w:val="13"/>
                <w:color w:val="auto"/>
              </w:rPr>
              <w:t>Purchases and related costs</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Compensation expense</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 expenses/Field operating costs</w:t>
            </w: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tcPr>
          <w:p>
            <w:pPr>
              <w:spacing w:after="0"/>
              <w:rPr>
                <w:sz w:val="20"/>
                <w:szCs w:val="20"/>
                <w:color w:val="auto"/>
              </w:rPr>
            </w:pPr>
            <w:r>
              <w:rPr>
                <w:rFonts w:ascii="Arial" w:cs="Arial" w:eastAsia="Arial" w:hAnsi="Arial"/>
                <w:sz w:val="13"/>
                <w:szCs w:val="13"/>
                <w:color w:val="auto"/>
              </w:rPr>
              <w:t>Stock compensation expense allocated from parent</w:t>
            </w:r>
          </w:p>
        </w:tc>
        <w:tc>
          <w:tcPr>
            <w:tcW w:w="4280" w:type="dxa"/>
            <w:vAlign w:val="bottom"/>
          </w:tcPr>
          <w:p>
            <w:pPr>
              <w:ind w:left="20"/>
              <w:spacing w:after="0"/>
              <w:rPr>
                <w:sz w:val="20"/>
                <w:szCs w:val="20"/>
                <w:color w:val="auto"/>
              </w:rPr>
            </w:pPr>
            <w:r>
              <w:rPr>
                <w:rFonts w:ascii="Arial" w:cs="Arial" w:eastAsia="Arial" w:hAnsi="Arial"/>
                <w:sz w:val="13"/>
                <w:szCs w:val="13"/>
                <w:color w:val="auto"/>
              </w:rPr>
              <w:t>General and administrative expenses/Field operating costs</w:t>
            </w:r>
          </w:p>
        </w:tc>
      </w:tr>
      <w:tr>
        <w:trPr>
          <w:trHeight w:val="199"/>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Income Statement</w:t>
            </w:r>
          </w:p>
        </w:tc>
        <w:tc>
          <w:tcPr>
            <w:tcW w:w="38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4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and related costs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F-9</w:t>
      </w:r>
    </w:p>
    <w:p>
      <w:pPr>
        <w:sectPr>
          <w:pgSz w:w="11900" w:h="16838" w:orient="portrait"/>
          <w:cols w:equalWidth="0" w:num="1">
            <w:col w:w="11280"/>
          </w:cols>
          <w:pgMar w:left="300" w:top="129" w:right="319" w:bottom="1440" w:gutter="0" w:footer="0" w:header="0"/>
        </w:sectPr>
      </w:pPr>
    </w:p>
    <w:bookmarkStart w:id="51" w:name="page52"/>
    <w:bookmarkEnd w:id="51"/>
    <w:p>
      <w:pPr>
        <w:jc w:val="center"/>
        <w:spacing w:after="0"/>
        <w:rPr>
          <w:sz w:val="20"/>
          <w:szCs w:val="20"/>
          <w:color w:val="auto"/>
        </w:rPr>
      </w:pPr>
      <w:r>
        <w:rPr>
          <w:rFonts w:ascii="Arial" w:cs="Arial" w:eastAsia="Arial" w:hAnsi="Arial"/>
          <w:sz w:val="14"/>
          <w:szCs w:val="14"/>
          <w:b w:val="1"/>
          <w:bCs w:val="1"/>
          <w:color w:val="auto"/>
        </w:rPr>
        <w:t>ORYX MIDSTREAM HOLDINGS LLC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4"/>
          <w:szCs w:val="14"/>
          <w:b w:val="1"/>
          <w:bCs w:val="1"/>
          <w:color w:val="auto"/>
        </w:rPr>
        <w:t>June 30, 2021</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4"/>
          <w:szCs w:val="14"/>
          <w:b w:val="1"/>
          <w:bCs w:val="1"/>
          <w:color w:val="auto"/>
        </w:rPr>
        <w:t>(in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Oryx</w:t>
            </w:r>
          </w:p>
        </w:tc>
        <w:tc>
          <w:tcPr>
            <w:tcW w:w="1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0"/>
              </w:rPr>
              <w:t>Reclassification</w:t>
            </w:r>
          </w:p>
        </w:tc>
        <w:tc>
          <w:tcPr>
            <w:tcW w:w="160" w:type="dxa"/>
            <w:vAlign w:val="bottom"/>
          </w:tcPr>
          <w:p>
            <w:pPr>
              <w:spacing w:after="0"/>
              <w:rPr>
                <w:sz w:val="12"/>
                <w:szCs w:val="12"/>
                <w:color w:val="auto"/>
              </w:rPr>
            </w:pPr>
          </w:p>
        </w:tc>
        <w:tc>
          <w:tcPr>
            <w:tcW w:w="1040" w:type="dxa"/>
            <w:vAlign w:val="bottom"/>
          </w:tcPr>
          <w:p>
            <w:pPr>
              <w:jc w:val="right"/>
              <w:ind w:right="151"/>
              <w:spacing w:after="0"/>
              <w:rPr>
                <w:sz w:val="20"/>
                <w:szCs w:val="20"/>
                <w:color w:val="auto"/>
              </w:rPr>
            </w:pPr>
            <w:r>
              <w:rPr>
                <w:rFonts w:ascii="Arial" w:cs="Arial" w:eastAsia="Arial" w:hAnsi="Arial"/>
                <w:sz w:val="11"/>
                <w:szCs w:val="11"/>
                <w:b w:val="1"/>
                <w:bCs w:val="1"/>
                <w:color w:val="auto"/>
              </w:rPr>
              <w:t>Oryx Historical</w:t>
            </w:r>
          </w:p>
        </w:tc>
      </w:tr>
      <w:tr>
        <w:trPr>
          <w:trHeight w:val="179"/>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Historical</w:t>
            </w:r>
          </w:p>
        </w:tc>
        <w:tc>
          <w:tcPr>
            <w:tcW w:w="16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Adjustments</w:t>
            </w:r>
          </w:p>
        </w:tc>
        <w:tc>
          <w:tcPr>
            <w:tcW w:w="160" w:type="dxa"/>
            <w:vAlign w:val="bottom"/>
          </w:tcPr>
          <w:p>
            <w:pPr>
              <w:spacing w:after="0"/>
              <w:rPr>
                <w:sz w:val="15"/>
                <w:szCs w:val="15"/>
                <w:color w:val="auto"/>
              </w:rPr>
            </w:pPr>
          </w:p>
        </w:tc>
        <w:tc>
          <w:tcPr>
            <w:tcW w:w="1040" w:type="dxa"/>
            <w:vAlign w:val="bottom"/>
          </w:tcPr>
          <w:p>
            <w:pPr>
              <w:jc w:val="right"/>
              <w:ind w:right="231"/>
              <w:spacing w:after="0"/>
              <w:rPr>
                <w:sz w:val="20"/>
                <w:szCs w:val="20"/>
                <w:color w:val="auto"/>
              </w:rPr>
            </w:pPr>
            <w:r>
              <w:rPr>
                <w:rFonts w:ascii="Arial" w:cs="Arial" w:eastAsia="Arial" w:hAnsi="Arial"/>
                <w:sz w:val="11"/>
                <w:szCs w:val="11"/>
                <w:b w:val="1"/>
                <w:bCs w:val="1"/>
                <w:color w:val="auto"/>
              </w:rPr>
              <w:t>As Adjusted</w:t>
            </w:r>
          </w:p>
        </w:tc>
      </w:tr>
      <w:tr>
        <w:trPr>
          <w:trHeight w:val="182"/>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ASSETS</w:t>
            </w: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9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CCEEFF"/>
            </w:tcBorders>
            <w:shd w:val="clear" w:color="auto" w:fill="CCEEFF"/>
          </w:tcPr>
          <w:p>
            <w:pPr>
              <w:spacing w:after="0"/>
              <w:rPr>
                <w:sz w:val="15"/>
                <w:szCs w:val="15"/>
                <w:color w:val="auto"/>
              </w:rPr>
            </w:pP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Trade accounts receivable and other receivables, net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Accounts receivable - related party</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1"/>
        </w:trPr>
        <w:tc>
          <w:tcPr>
            <w:tcW w:w="72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75</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1,449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1,448</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property and equipment, net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Linefill and base gas</w:t>
            </w:r>
          </w:p>
        </w:tc>
        <w:tc>
          <w:tcPr>
            <w:tcW w:w="2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Investments in unconsolidated entities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Other long-term assets, net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1,975</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Intangibles, net</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(1,972)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2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83"/>
        </w:trPr>
        <w:tc>
          <w:tcPr>
            <w:tcW w:w="7280" w:type="dxa"/>
            <w:vAlign w:val="bottom"/>
          </w:tcPr>
          <w:p>
            <w:pPr>
              <w:ind w:left="100"/>
              <w:spacing w:after="0"/>
              <w:rPr>
                <w:sz w:val="20"/>
                <w:szCs w:val="20"/>
                <w:color w:val="auto"/>
              </w:rPr>
            </w:pPr>
            <w:r>
              <w:rPr>
                <w:rFonts w:ascii="Arial" w:cs="Arial" w:eastAsia="Arial" w:hAnsi="Arial"/>
                <w:sz w:val="13"/>
                <w:szCs w:val="13"/>
                <w:color w:val="auto"/>
              </w:rPr>
              <w:t>Accounts payable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Trade accounts payable</w:t>
            </w:r>
          </w:p>
        </w:tc>
        <w:tc>
          <w:tcPr>
            <w:tcW w:w="2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Accounts payable - related party</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5"/>
        </w:trPr>
        <w:tc>
          <w:tcPr>
            <w:tcW w:w="7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r>
      <w:tr>
        <w:trPr>
          <w:trHeight w:val="189"/>
        </w:trPr>
        <w:tc>
          <w:tcPr>
            <w:tcW w:w="7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86</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LONG-TERM LIABILITIES</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Senior notes, net of unamortized discount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Interest rate swap</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long-term liabilities and deferred credits</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r>
      <w:tr>
        <w:trPr>
          <w:trHeight w:val="181"/>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TOTAL LIABILITIES</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1,523</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1,523</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MEMBER'S EQUITY</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2,107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2,107</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2"/>
        </w:trPr>
        <w:tc>
          <w:tcPr>
            <w:tcW w:w="7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MEMBER'S EQUITY</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3,630</w:t>
            </w:r>
          </w:p>
        </w:tc>
        <w:tc>
          <w:tcPr>
            <w:tcW w:w="20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3,630</w:t>
            </w:r>
          </w:p>
        </w:tc>
      </w:tr>
      <w:tr>
        <w:trPr>
          <w:trHeight w:val="22"/>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F-10</w:t>
      </w:r>
    </w:p>
    <w:p>
      <w:pPr>
        <w:sectPr>
          <w:pgSz w:w="11900" w:h="16838" w:orient="portrait"/>
          <w:cols w:equalWidth="0" w:num="1">
            <w:col w:w="11280"/>
          </w:cols>
          <w:pgMar w:left="300" w:top="634"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4"/>
          <w:szCs w:val="14"/>
          <w:b w:val="1"/>
          <w:bCs w:val="1"/>
          <w:color w:val="auto"/>
        </w:rPr>
        <w:t>ORYX MIDSTREAM HOLDINGS LLC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Six Months Ended June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7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Oryx</w:t>
            </w:r>
          </w:p>
        </w:tc>
        <w:tc>
          <w:tcPr>
            <w:tcW w:w="160" w:type="dxa"/>
            <w:vAlign w:val="bottom"/>
          </w:tcPr>
          <w:p>
            <w:pPr>
              <w:spacing w:after="0"/>
              <w:rPr>
                <w:sz w:val="12"/>
                <w:szCs w:val="12"/>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w w:val="90"/>
              </w:rPr>
              <w:t>Reclassification</w:t>
            </w:r>
          </w:p>
        </w:tc>
        <w:tc>
          <w:tcPr>
            <w:tcW w:w="160" w:type="dxa"/>
            <w:vAlign w:val="bottom"/>
          </w:tcPr>
          <w:p>
            <w:pPr>
              <w:spacing w:after="0"/>
              <w:rPr>
                <w:sz w:val="12"/>
                <w:szCs w:val="12"/>
                <w:color w:val="auto"/>
              </w:rPr>
            </w:pPr>
          </w:p>
        </w:tc>
        <w:tc>
          <w:tcPr>
            <w:tcW w:w="1040" w:type="dxa"/>
            <w:vAlign w:val="bottom"/>
          </w:tcPr>
          <w:p>
            <w:pPr>
              <w:jc w:val="right"/>
              <w:ind w:right="154"/>
              <w:spacing w:after="0"/>
              <w:rPr>
                <w:sz w:val="20"/>
                <w:szCs w:val="20"/>
                <w:color w:val="auto"/>
              </w:rPr>
            </w:pPr>
            <w:r>
              <w:rPr>
                <w:rFonts w:ascii="Arial" w:cs="Arial" w:eastAsia="Arial" w:hAnsi="Arial"/>
                <w:sz w:val="11"/>
                <w:szCs w:val="11"/>
                <w:b w:val="1"/>
                <w:bCs w:val="1"/>
                <w:color w:val="auto"/>
              </w:rPr>
              <w:t>Oryx Historical</w:t>
            </w:r>
          </w:p>
        </w:tc>
      </w:tr>
      <w:tr>
        <w:trPr>
          <w:trHeight w:val="179"/>
        </w:trPr>
        <w:tc>
          <w:tcPr>
            <w:tcW w:w="7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1"/>
                <w:szCs w:val="11"/>
                <w:b w:val="1"/>
                <w:bCs w:val="1"/>
                <w:color w:val="auto"/>
                <w:w w:val="95"/>
              </w:rPr>
              <w:t>Historical</w:t>
            </w:r>
          </w:p>
        </w:tc>
        <w:tc>
          <w:tcPr>
            <w:tcW w:w="160" w:type="dxa"/>
            <w:vAlign w:val="bottom"/>
          </w:tcPr>
          <w:p>
            <w:pPr>
              <w:spacing w:after="0"/>
              <w:rPr>
                <w:sz w:val="15"/>
                <w:szCs w:val="15"/>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Adjustments</w:t>
            </w:r>
          </w:p>
        </w:tc>
        <w:tc>
          <w:tcPr>
            <w:tcW w:w="160" w:type="dxa"/>
            <w:vAlign w:val="bottom"/>
          </w:tcPr>
          <w:p>
            <w:pPr>
              <w:spacing w:after="0"/>
              <w:rPr>
                <w:sz w:val="15"/>
                <w:szCs w:val="15"/>
                <w:color w:val="auto"/>
              </w:rPr>
            </w:pPr>
          </w:p>
        </w:tc>
        <w:tc>
          <w:tcPr>
            <w:tcW w:w="1040" w:type="dxa"/>
            <w:vAlign w:val="bottom"/>
          </w:tcPr>
          <w:p>
            <w:pPr>
              <w:jc w:val="right"/>
              <w:ind w:right="234"/>
              <w:spacing w:after="0"/>
              <w:rPr>
                <w:sz w:val="20"/>
                <w:szCs w:val="20"/>
                <w:color w:val="auto"/>
              </w:rPr>
            </w:pPr>
            <w:r>
              <w:rPr>
                <w:rFonts w:ascii="Arial" w:cs="Arial" w:eastAsia="Arial" w:hAnsi="Arial"/>
                <w:sz w:val="11"/>
                <w:szCs w:val="11"/>
                <w:b w:val="1"/>
                <w:bCs w:val="1"/>
                <w:color w:val="auto"/>
              </w:rPr>
              <w:t>As Adjusted</w:t>
            </w:r>
          </w:p>
        </w:tc>
      </w:tr>
      <w:tr>
        <w:trPr>
          <w:trHeight w:val="192"/>
        </w:trPr>
        <w:tc>
          <w:tcPr>
            <w:tcW w:w="7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COSTS OF GOODS SOLD</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b w:val="1"/>
                <w:bCs w:val="1"/>
                <w:color w:val="auto"/>
              </w:rPr>
              <w:t>EXPENSES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Trucking and lease capacity fees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Compensation expense</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Field operating costs</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
        </w:trPr>
        <w:tc>
          <w:tcPr>
            <w:tcW w:w="7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Stock compensation expense allocated from parent</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1"/>
        </w:trPr>
        <w:tc>
          <w:tcPr>
            <w:tcW w:w="7280" w:type="dxa"/>
            <w:vAlign w:val="bottom"/>
          </w:tcPr>
          <w:p>
            <w:pPr>
              <w:ind w:left="100"/>
              <w:spacing w:after="0"/>
              <w:rPr>
                <w:sz w:val="20"/>
                <w:szCs w:val="20"/>
                <w:color w:val="auto"/>
              </w:rPr>
            </w:pPr>
            <w:r>
              <w:rPr>
                <w:rFonts w:ascii="Arial" w:cs="Arial" w:eastAsia="Arial" w:hAnsi="Arial"/>
                <w:sz w:val="14"/>
                <w:szCs w:val="14"/>
                <w:color w:val="auto"/>
              </w:rPr>
              <w:t>Purchases and related costs</w:t>
            </w:r>
          </w:p>
        </w:tc>
        <w:tc>
          <w:tcPr>
            <w:tcW w:w="220" w:type="dxa"/>
            <w:vAlign w:val="bottom"/>
          </w:tcPr>
          <w:p>
            <w:pPr>
              <w:spacing w:after="0"/>
              <w:rPr>
                <w:sz w:val="16"/>
                <w:szCs w:val="16"/>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22"/>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82"/>
        </w:trPr>
        <w:tc>
          <w:tcPr>
            <w:tcW w:w="7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1"/>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FROM EQUITY METHOD INVESTMENT</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212"/>
        </w:trPr>
        <w:tc>
          <w:tcPr>
            <w:tcW w:w="7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3"/>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r>
      <w:tr>
        <w:trPr>
          <w:trHeight w:val="200"/>
        </w:trPr>
        <w:tc>
          <w:tcPr>
            <w:tcW w:w="7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91"/>
        </w:trPr>
        <w:tc>
          <w:tcPr>
            <w:tcW w:w="7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3"/>
        </w:trPr>
        <w:tc>
          <w:tcPr>
            <w:tcW w:w="7280" w:type="dxa"/>
            <w:vAlign w:val="bottom"/>
          </w:tcPr>
          <w:p>
            <w:pPr>
              <w:ind w:left="100"/>
              <w:spacing w:after="0"/>
              <w:rPr>
                <w:sz w:val="20"/>
                <w:szCs w:val="20"/>
                <w:color w:val="auto"/>
              </w:rPr>
            </w:pPr>
            <w:r>
              <w:rPr>
                <w:rFonts w:ascii="Arial" w:cs="Arial" w:eastAsia="Arial" w:hAnsi="Arial"/>
                <w:sz w:val="13"/>
                <w:szCs w:val="13"/>
                <w:color w:val="auto"/>
              </w:rPr>
              <w:t>Interest expense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(28)</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(28)</w:t>
            </w:r>
          </w:p>
        </w:tc>
      </w:tr>
      <w:tr>
        <w:trPr>
          <w:trHeight w:val="220"/>
        </w:trPr>
        <w:tc>
          <w:tcPr>
            <w:tcW w:w="7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NET INCOME BEFORE STATE INCOME TAX EXPENSE</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00"/>
        </w:trPr>
        <w:tc>
          <w:tcPr>
            <w:tcW w:w="7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183"/>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STATE INCOME TAX BENEFIT</w:t>
            </w: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20"/>
        </w:trPr>
        <w:tc>
          <w:tcPr>
            <w:tcW w:w="7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183"/>
        </w:trPr>
        <w:tc>
          <w:tcPr>
            <w:tcW w:w="7280" w:type="dxa"/>
            <w:vAlign w:val="bottom"/>
          </w:tcPr>
          <w:p>
            <w:pPr>
              <w:ind w:left="20"/>
              <w:spacing w:after="0"/>
              <w:rPr>
                <w:sz w:val="20"/>
                <w:szCs w:val="20"/>
                <w:color w:val="auto"/>
              </w:rPr>
            </w:pPr>
            <w:r>
              <w:rPr>
                <w:rFonts w:ascii="Arial" w:cs="Arial" w:eastAsia="Arial" w:hAnsi="Arial"/>
                <w:sz w:val="13"/>
                <w:szCs w:val="13"/>
                <w:b w:val="1"/>
                <w:bCs w:val="1"/>
                <w:color w:val="auto"/>
              </w:rPr>
              <w:t>NET INCOME</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F-11</w:t>
      </w:r>
    </w:p>
    <w:p>
      <w:pPr>
        <w:sectPr>
          <w:pgSz w:w="11900" w:h="16838" w:orient="portrait"/>
          <w:cols w:equalWidth="0" w:num="1">
            <w:col w:w="11280"/>
          </w:cols>
          <w:pgMar w:left="300" w:top="634" w:right="319" w:bottom="1440" w:gutter="0" w:footer="0" w:header="0"/>
        </w:sectPr>
      </w:pPr>
    </w:p>
    <w:bookmarkStart w:id="53" w:name="page54"/>
    <w:bookmarkEnd w:id="53"/>
    <w:p>
      <w:pPr>
        <w:jc w:val="center"/>
        <w:spacing w:after="0"/>
        <w:rPr>
          <w:sz w:val="20"/>
          <w:szCs w:val="20"/>
          <w:color w:val="auto"/>
        </w:rPr>
      </w:pPr>
      <w:r>
        <w:rPr>
          <w:rFonts w:ascii="Arial" w:cs="Arial" w:eastAsia="Arial" w:hAnsi="Arial"/>
          <w:sz w:val="14"/>
          <w:szCs w:val="14"/>
          <w:b w:val="1"/>
          <w:bCs w:val="1"/>
          <w:color w:val="auto"/>
        </w:rPr>
        <w:t>ORYX MIDSTREAM HOLDINGS LLC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 Ended December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6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260"/>
              <w:spacing w:after="0"/>
              <w:rPr>
                <w:sz w:val="20"/>
                <w:szCs w:val="20"/>
                <w:color w:val="auto"/>
              </w:rPr>
            </w:pPr>
            <w:r>
              <w:rPr>
                <w:rFonts w:ascii="Arial" w:cs="Arial" w:eastAsia="Arial" w:hAnsi="Arial"/>
                <w:sz w:val="11"/>
                <w:szCs w:val="11"/>
                <w:b w:val="1"/>
                <w:bCs w:val="1"/>
                <w:color w:val="auto"/>
              </w:rPr>
              <w:t>Oryx</w:t>
            </w:r>
          </w:p>
        </w:tc>
        <w:tc>
          <w:tcPr>
            <w:tcW w:w="180" w:type="dxa"/>
            <w:vAlign w:val="bottom"/>
          </w:tcPr>
          <w:p>
            <w:pPr>
              <w:spacing w:after="0"/>
              <w:rPr>
                <w:sz w:val="12"/>
                <w:szCs w:val="12"/>
                <w:color w:val="auto"/>
              </w:rPr>
            </w:pPr>
          </w:p>
        </w:tc>
        <w:tc>
          <w:tcPr>
            <w:tcW w:w="1360" w:type="dxa"/>
            <w:vAlign w:val="bottom"/>
            <w:gridSpan w:val="2"/>
          </w:tcPr>
          <w:p>
            <w:pPr>
              <w:ind w:left="120"/>
              <w:spacing w:after="0"/>
              <w:rPr>
                <w:sz w:val="20"/>
                <w:szCs w:val="20"/>
                <w:color w:val="auto"/>
              </w:rPr>
            </w:pPr>
            <w:r>
              <w:rPr>
                <w:rFonts w:ascii="Arial" w:cs="Arial" w:eastAsia="Arial" w:hAnsi="Arial"/>
                <w:sz w:val="11"/>
                <w:szCs w:val="11"/>
                <w:b w:val="1"/>
                <w:bCs w:val="1"/>
                <w:color w:val="auto"/>
              </w:rPr>
              <w:t>Reclassification</w:t>
            </w:r>
          </w:p>
        </w:tc>
        <w:tc>
          <w:tcPr>
            <w:tcW w:w="180" w:type="dxa"/>
            <w:vAlign w:val="bottom"/>
          </w:tcPr>
          <w:p>
            <w:pPr>
              <w:spacing w:after="0"/>
              <w:rPr>
                <w:sz w:val="12"/>
                <w:szCs w:val="12"/>
                <w:color w:val="auto"/>
              </w:rPr>
            </w:pPr>
          </w:p>
        </w:tc>
        <w:tc>
          <w:tcPr>
            <w:tcW w:w="1140" w:type="dxa"/>
            <w:vAlign w:val="bottom"/>
          </w:tcPr>
          <w:p>
            <w:pPr>
              <w:jc w:val="right"/>
              <w:ind w:right="217"/>
              <w:spacing w:after="0"/>
              <w:rPr>
                <w:sz w:val="20"/>
                <w:szCs w:val="20"/>
                <w:color w:val="auto"/>
              </w:rPr>
            </w:pPr>
            <w:r>
              <w:rPr>
                <w:rFonts w:ascii="Arial" w:cs="Arial" w:eastAsia="Arial" w:hAnsi="Arial"/>
                <w:sz w:val="11"/>
                <w:szCs w:val="11"/>
                <w:b w:val="1"/>
                <w:bCs w:val="1"/>
                <w:color w:val="auto"/>
              </w:rPr>
              <w:t>Oryx Historical</w:t>
            </w:r>
          </w:p>
        </w:tc>
      </w:tr>
      <w:tr>
        <w:trPr>
          <w:trHeight w:val="179"/>
        </w:trPr>
        <w:tc>
          <w:tcPr>
            <w:tcW w:w="4640" w:type="dxa"/>
            <w:vAlign w:val="bottom"/>
            <w:tcBorders>
              <w:bottom w:val="single" w:sz="8" w:color="CCEEFF"/>
            </w:tcBorders>
          </w:tcPr>
          <w:p>
            <w:pPr>
              <w:spacing w:after="0"/>
              <w:rPr>
                <w:sz w:val="15"/>
                <w:szCs w:val="15"/>
                <w:color w:val="auto"/>
              </w:rPr>
            </w:pPr>
          </w:p>
        </w:tc>
        <w:tc>
          <w:tcPr>
            <w:tcW w:w="23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Historical</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Adjustments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297"/>
              <w:spacing w:after="0"/>
              <w:rPr>
                <w:sz w:val="20"/>
                <w:szCs w:val="20"/>
                <w:color w:val="auto"/>
              </w:rPr>
            </w:pPr>
            <w:r>
              <w:rPr>
                <w:rFonts w:ascii="Arial" w:cs="Arial" w:eastAsia="Arial" w:hAnsi="Arial"/>
                <w:sz w:val="11"/>
                <w:szCs w:val="11"/>
                <w:b w:val="1"/>
                <w:bCs w:val="1"/>
                <w:color w:val="auto"/>
              </w:rPr>
              <w:t>As Adjusted</w:t>
            </w:r>
          </w:p>
        </w:tc>
      </w:tr>
      <w:tr>
        <w:trPr>
          <w:trHeight w:val="191"/>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REVENUE</w:t>
            </w:r>
          </w:p>
        </w:tc>
        <w:tc>
          <w:tcPr>
            <w:tcW w:w="2600" w:type="dxa"/>
            <w:vAlign w:val="bottom"/>
            <w:gridSpan w:val="2"/>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212"/>
        </w:trPr>
        <w:tc>
          <w:tcPr>
            <w:tcW w:w="4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1"/>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COST OF GOODS SOLD</w:t>
            </w:r>
          </w:p>
        </w:tc>
        <w:tc>
          <w:tcPr>
            <w:tcW w:w="2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12"/>
        </w:trPr>
        <w:tc>
          <w:tcPr>
            <w:tcW w:w="4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91"/>
        </w:trPr>
        <w:tc>
          <w:tcPr>
            <w:tcW w:w="46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EXPENSES</w:t>
            </w:r>
          </w:p>
        </w:tc>
        <w:tc>
          <w:tcPr>
            <w:tcW w:w="23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3"/>
        </w:trPr>
        <w:tc>
          <w:tcPr>
            <w:tcW w:w="4640" w:type="dxa"/>
            <w:vAlign w:val="bottom"/>
          </w:tcPr>
          <w:p>
            <w:pPr>
              <w:ind w:left="100"/>
              <w:spacing w:after="0"/>
              <w:rPr>
                <w:sz w:val="20"/>
                <w:szCs w:val="20"/>
                <w:color w:val="auto"/>
              </w:rPr>
            </w:pPr>
            <w:r>
              <w:rPr>
                <w:rFonts w:ascii="Arial" w:cs="Arial" w:eastAsia="Arial" w:hAnsi="Arial"/>
                <w:sz w:val="13"/>
                <w:szCs w:val="13"/>
                <w:color w:val="auto"/>
              </w:rPr>
              <w:t>Trucking and lease capacity fees</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4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and amortization</w:t>
            </w: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w:t>
            </w:r>
          </w:p>
        </w:tc>
      </w:tr>
      <w:tr>
        <w:trPr>
          <w:trHeight w:val="183"/>
        </w:trPr>
        <w:tc>
          <w:tcPr>
            <w:tcW w:w="4640" w:type="dxa"/>
            <w:vAlign w:val="bottom"/>
          </w:tcPr>
          <w:p>
            <w:pPr>
              <w:ind w:left="100"/>
              <w:spacing w:after="0"/>
              <w:rPr>
                <w:sz w:val="20"/>
                <w:szCs w:val="20"/>
                <w:color w:val="auto"/>
              </w:rPr>
            </w:pPr>
            <w:r>
              <w:rPr>
                <w:rFonts w:ascii="Arial" w:cs="Arial" w:eastAsia="Arial" w:hAnsi="Arial"/>
                <w:sz w:val="13"/>
                <w:szCs w:val="13"/>
                <w:color w:val="auto"/>
              </w:rPr>
              <w:t>Compensation expense</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9"/>
        </w:trPr>
        <w:tc>
          <w:tcPr>
            <w:tcW w:w="4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Field operating costs</w:t>
            </w: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ind w:left="980"/>
              <w:spacing w:after="0"/>
              <w:rPr>
                <w:sz w:val="20"/>
                <w:szCs w:val="20"/>
                <w:color w:val="auto"/>
              </w:rPr>
            </w:pPr>
            <w:r>
              <w:rPr>
                <w:rFonts w:ascii="Arial" w:cs="Arial" w:eastAsia="Arial" w:hAnsi="Arial"/>
                <w:sz w:val="13"/>
                <w:szCs w:val="13"/>
                <w:color w:val="auto"/>
              </w:rPr>
              <w:t>10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r>
      <w:tr>
        <w:trPr>
          <w:trHeight w:val="183"/>
        </w:trPr>
        <w:tc>
          <w:tcPr>
            <w:tcW w:w="4640" w:type="dxa"/>
            <w:vAlign w:val="bottom"/>
          </w:tcPr>
          <w:p>
            <w:pPr>
              <w:ind w:left="100"/>
              <w:spacing w:after="0"/>
              <w:rPr>
                <w:sz w:val="20"/>
                <w:szCs w:val="20"/>
                <w:color w:val="auto"/>
              </w:rPr>
            </w:pPr>
            <w:r>
              <w:rPr>
                <w:rFonts w:ascii="Arial" w:cs="Arial" w:eastAsia="Arial" w:hAnsi="Arial"/>
                <w:sz w:val="13"/>
                <w:szCs w:val="13"/>
                <w:color w:val="auto"/>
              </w:rPr>
              <w:t>General and administrative expenses</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ind w:left="980"/>
              <w:spacing w:after="0"/>
              <w:rPr>
                <w:sz w:val="20"/>
                <w:szCs w:val="20"/>
                <w:color w:val="auto"/>
              </w:rPr>
            </w:pPr>
            <w:r>
              <w:rPr>
                <w:rFonts w:ascii="Arial" w:cs="Arial" w:eastAsia="Arial" w:hAnsi="Arial"/>
                <w:sz w:val="13"/>
                <w:szCs w:val="13"/>
                <w:color w:val="auto"/>
              </w:rPr>
              <w:t>25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w:t>
            </w:r>
          </w:p>
        </w:tc>
      </w:tr>
      <w:tr>
        <w:trPr>
          <w:trHeight w:val="199"/>
        </w:trPr>
        <w:tc>
          <w:tcPr>
            <w:tcW w:w="4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Stock compensation expense allocated from parent</w:t>
            </w: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205"/>
        </w:trPr>
        <w:tc>
          <w:tcPr>
            <w:tcW w:w="4640" w:type="dxa"/>
            <w:vAlign w:val="bottom"/>
          </w:tcPr>
          <w:p>
            <w:pPr>
              <w:ind w:left="100"/>
              <w:spacing w:after="0"/>
              <w:rPr>
                <w:sz w:val="20"/>
                <w:szCs w:val="20"/>
                <w:color w:val="auto"/>
              </w:rPr>
            </w:pPr>
            <w:r>
              <w:rPr>
                <w:rFonts w:ascii="Arial" w:cs="Arial" w:eastAsia="Arial" w:hAnsi="Arial"/>
                <w:sz w:val="14"/>
                <w:szCs w:val="14"/>
                <w:color w:val="auto"/>
              </w:rPr>
              <w:t>Purchases and related costs</w:t>
            </w: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(26)</w:t>
            </w:r>
          </w:p>
        </w:tc>
      </w:tr>
      <w:tr>
        <w:trPr>
          <w:trHeight w:val="212"/>
        </w:trPr>
        <w:tc>
          <w:tcPr>
            <w:tcW w:w="4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Impairment of goodwill</w:t>
            </w:r>
          </w:p>
        </w:tc>
        <w:tc>
          <w:tcPr>
            <w:tcW w:w="2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w:t>
            </w:r>
          </w:p>
        </w:tc>
      </w:tr>
      <w:tr>
        <w:trPr>
          <w:trHeight w:val="182"/>
        </w:trPr>
        <w:tc>
          <w:tcPr>
            <w:tcW w:w="4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776</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(110)</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666</w:t>
            </w:r>
          </w:p>
        </w:tc>
      </w:tr>
      <w:tr>
        <w:trPr>
          <w:trHeight w:val="220"/>
        </w:trPr>
        <w:tc>
          <w:tcPr>
            <w:tcW w:w="464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INCOME (LOSS) FROM EQUITY METHOD INVESTMENT</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20"/>
        </w:trPr>
        <w:tc>
          <w:tcPr>
            <w:tcW w:w="464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INCOME (LOSS) FROM OPERATIONS</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(413)</w:t>
            </w:r>
          </w:p>
        </w:tc>
      </w:tr>
      <w:tr>
        <w:trPr>
          <w:trHeight w:val="200"/>
        </w:trPr>
        <w:tc>
          <w:tcPr>
            <w:tcW w:w="46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OTHER INCOME (EXPENSE)</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9"/>
        </w:trPr>
        <w:tc>
          <w:tcPr>
            <w:tcW w:w="46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2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9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205"/>
        </w:trPr>
        <w:tc>
          <w:tcPr>
            <w:tcW w:w="4640" w:type="dxa"/>
            <w:vAlign w:val="bottom"/>
          </w:tcPr>
          <w:p>
            <w:pPr>
              <w:ind w:left="100"/>
              <w:spacing w:after="0"/>
              <w:rPr>
                <w:sz w:val="20"/>
                <w:szCs w:val="20"/>
                <w:color w:val="auto"/>
              </w:rPr>
            </w:pPr>
            <w:r>
              <w:rPr>
                <w:rFonts w:ascii="Arial" w:cs="Arial" w:eastAsia="Arial" w:hAnsi="Arial"/>
                <w:sz w:val="14"/>
                <w:szCs w:val="14"/>
                <w:color w:val="auto"/>
              </w:rPr>
              <w:t>Gain on bargain purchase</w:t>
            </w: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57</w:t>
            </w:r>
          </w:p>
        </w:tc>
      </w:tr>
      <w:tr>
        <w:trPr>
          <w:trHeight w:val="220"/>
        </w:trPr>
        <w:tc>
          <w:tcPr>
            <w:tcW w:w="464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NET INCOME (LOSS) BEFORE STATE INCOME TAX EXPENSE</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(497)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(497)</w:t>
            </w:r>
          </w:p>
        </w:tc>
      </w:tr>
      <w:tr>
        <w:trPr>
          <w:trHeight w:val="200"/>
        </w:trPr>
        <w:tc>
          <w:tcPr>
            <w:tcW w:w="464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STATE INCOME TAX EXPENSE</w:t>
            </w:r>
          </w:p>
        </w:tc>
        <w:tc>
          <w:tcPr>
            <w:tcW w:w="2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20"/>
        </w:trPr>
        <w:tc>
          <w:tcPr>
            <w:tcW w:w="4640" w:type="dxa"/>
            <w:vAlign w:val="bottom"/>
            <w:shd w:val="clear" w:color="auto" w:fill="CCEEFF"/>
          </w:tcPr>
          <w:p>
            <w:pPr>
              <w:spacing w:after="0"/>
              <w:rPr>
                <w:sz w:val="19"/>
                <w:szCs w:val="19"/>
                <w:color w:val="auto"/>
              </w:rPr>
            </w:pPr>
          </w:p>
        </w:tc>
        <w:tc>
          <w:tcPr>
            <w:tcW w:w="2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183"/>
        </w:trPr>
        <w:tc>
          <w:tcPr>
            <w:tcW w:w="4640" w:type="dxa"/>
            <w:vAlign w:val="bottom"/>
          </w:tcPr>
          <w:p>
            <w:pPr>
              <w:ind w:left="20"/>
              <w:spacing w:after="0"/>
              <w:rPr>
                <w:sz w:val="20"/>
                <w:szCs w:val="20"/>
                <w:color w:val="auto"/>
              </w:rPr>
            </w:pPr>
            <w:r>
              <w:rPr>
                <w:rFonts w:ascii="Arial" w:cs="Arial" w:eastAsia="Arial" w:hAnsi="Arial"/>
                <w:sz w:val="13"/>
                <w:szCs w:val="13"/>
                <w:b w:val="1"/>
                <w:bCs w:val="1"/>
                <w:color w:val="auto"/>
              </w:rPr>
              <w:t>NET INCOME (LOSS)</w:t>
            </w:r>
          </w:p>
        </w:tc>
        <w:tc>
          <w:tcPr>
            <w:tcW w:w="2380" w:type="dxa"/>
            <w:vAlign w:val="bottom"/>
          </w:tcPr>
          <w:p>
            <w:pPr>
              <w:spacing w:after="0"/>
              <w:rPr>
                <w:sz w:val="15"/>
                <w:szCs w:val="15"/>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tcPr>
          <w:p>
            <w:pPr>
              <w:ind w:left="98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(498)</w:t>
            </w:r>
          </w:p>
        </w:tc>
      </w:tr>
      <w:tr>
        <w:trPr>
          <w:trHeight w:val="581"/>
        </w:trPr>
        <w:tc>
          <w:tcPr>
            <w:tcW w:w="4640" w:type="dxa"/>
            <w:vAlign w:val="bottom"/>
          </w:tcPr>
          <w:p>
            <w:pPr>
              <w:spacing w:after="0"/>
              <w:rPr>
                <w:sz w:val="24"/>
                <w:szCs w:val="24"/>
                <w:color w:val="auto"/>
              </w:rPr>
            </w:pPr>
          </w:p>
        </w:tc>
        <w:tc>
          <w:tcPr>
            <w:tcW w:w="2600" w:type="dxa"/>
            <w:vAlign w:val="bottom"/>
            <w:gridSpan w:val="2"/>
          </w:tcPr>
          <w:p>
            <w:pPr>
              <w:jc w:val="right"/>
              <w:ind w:right="1396"/>
              <w:spacing w:after="0"/>
              <w:rPr>
                <w:sz w:val="20"/>
                <w:szCs w:val="20"/>
                <w:color w:val="auto"/>
              </w:rPr>
            </w:pPr>
            <w:r>
              <w:rPr>
                <w:rFonts w:ascii="Arial" w:cs="Arial" w:eastAsia="Arial" w:hAnsi="Arial"/>
                <w:sz w:val="14"/>
                <w:szCs w:val="14"/>
                <w:color w:val="auto"/>
              </w:rPr>
              <w:t>F-12</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00" w:top="6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decimal"/>
      <w:start w:val="104"/>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2021-12-14T16:28:43Z</dcterms:created>
  <dcterms:modified xsi:type="dcterms:W3CDTF">2021-12-14T16:28:43Z</dcterms:modified>
</cp:coreProperties>
</file>