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4669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669790"/>
                    </a:xfrm>
                    <a:prstGeom prst="rect">
                      <a:avLst/>
                    </a:prstGeom>
                    <a:noFill/>
                  </pic:spPr>
                </pic:pic>
              </a:graphicData>
            </a:graphic>
          </wp:anchor>
        </w:drawing>
      </w:r>
    </w:p>
    <w:p>
      <w:pPr>
        <w:spacing w:after="0" w:line="53"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SINNOTT ROBERT V</w:t>
              </w:r>
            </w:hyperlink>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9"/>
          </w:tcPr>
          <w:p>
            <w:pPr>
              <w:ind w:left="60"/>
              <w:spacing w:after="0" w:line="17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PLAINS GP HOLDINGS LP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PAGP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800" w:type="dxa"/>
            <w:vAlign w:val="bottom"/>
            <w:tcBorders>
              <w:top w:val="single" w:sz="8" w:color="0000EE"/>
            </w:tcBorders>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6"/>
                <w:szCs w:val="6"/>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8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gridSpan w:val="8"/>
            <w:vMerge w:val="continue"/>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1800 AVE OF THE STATE</w:t>
            </w:r>
          </w:p>
        </w:tc>
        <w:tc>
          <w:tcPr>
            <w:tcW w:w="1140" w:type="dxa"/>
            <w:vAlign w:val="bottom"/>
          </w:tcPr>
          <w:p>
            <w:pPr>
              <w:spacing w:after="0"/>
              <w:rPr>
                <w:sz w:val="19"/>
                <w:szCs w:val="19"/>
                <w:color w:val="auto"/>
              </w:rPr>
            </w:pPr>
          </w:p>
        </w:tc>
        <w:tc>
          <w:tcPr>
            <w:tcW w:w="15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03/26/2015</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3RD FLOOR</w:t>
            </w: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8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58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54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vMerge w:val="restart"/>
          </w:tcPr>
          <w:p>
            <w:pPr>
              <w:spacing w:after="0"/>
              <w:rPr>
                <w:sz w:val="6"/>
                <w:szCs w:val="6"/>
                <w:color w:val="auto"/>
              </w:rPr>
            </w:pPr>
          </w:p>
        </w:tc>
        <w:tc>
          <w:tcPr>
            <w:tcW w:w="46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80" w:type="dxa"/>
            <w:vAlign w:val="bottom"/>
            <w:gridSpan w:val="9"/>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LOS ANGELES CA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90067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96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6940" w:type="dxa"/>
            <w:vAlign w:val="bottom"/>
            <w:tcBorders>
              <w:top w:val="single" w:sz="8" w:color="2C2C2C"/>
            </w:tcBorders>
            <w:gridSpan w:val="19"/>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5"/>
                <w:szCs w:val="15"/>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ind w:left="800"/>
              <w:spacing w:after="0" w:line="130"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8"/>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vMerge w:val="continue"/>
          </w:tcPr>
          <w:p>
            <w:pPr>
              <w:spacing w:after="0"/>
              <w:rPr>
                <w:sz w:val="11"/>
                <w:szCs w:val="11"/>
                <w:color w:val="auto"/>
              </w:rPr>
            </w:pP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5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5"/>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96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6"/>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940" w:type="dxa"/>
            <w:vAlign w:val="bottom"/>
            <w:tcBorders>
              <w:top w:val="single" w:sz="8" w:color="2C2C2C"/>
            </w:tcBorders>
            <w:gridSpan w:val="19"/>
          </w:tcPr>
          <w:p>
            <w:pPr>
              <w:ind w:lef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580" w:type="dxa"/>
            <w:vAlign w:val="bottom"/>
            <w:gridSpan w:val="15"/>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7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vMerge w:val="continue"/>
          </w:tcPr>
          <w:p>
            <w:pPr>
              <w:spacing w:after="0"/>
              <w:rPr>
                <w:sz w:val="14"/>
                <w:szCs w:val="14"/>
                <w:color w:val="auto"/>
              </w:rPr>
            </w:pPr>
          </w:p>
        </w:tc>
        <w:tc>
          <w:tcPr>
            <w:tcW w:w="660" w:type="dxa"/>
            <w:vAlign w:val="bottom"/>
            <w:gridSpan w:val="3"/>
          </w:tcPr>
          <w:p>
            <w:pPr>
              <w:ind w:left="8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20" w:type="dxa"/>
            <w:vAlign w:val="bottom"/>
            <w:gridSpan w:val="2"/>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Units in</w:t>
            </w: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60" w:type="dxa"/>
            <w:vAlign w:val="bottom"/>
            <w:gridSpan w:val="4"/>
            <w:vMerge w:val="restart"/>
          </w:tcPr>
          <w:p>
            <w:pPr>
              <w:ind w:left="8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(4)(5)</w:t>
            </w: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565,793</w:t>
            </w: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gridSpan w:val="2"/>
            <w:vMerge w:val="restart"/>
          </w:tcPr>
          <w:p>
            <w:pPr>
              <w:ind w:left="20"/>
              <w:spacing w:after="0" w:line="213" w:lineRule="exact"/>
              <w:rPr>
                <w:sz w:val="20"/>
                <w:szCs w:val="20"/>
                <w:color w:val="auto"/>
              </w:rPr>
            </w:pPr>
            <w:r>
              <w:rPr>
                <w:rFonts w:ascii="Times New Roman" w:cs="Times New Roman" w:eastAsia="Times New Roman" w:hAnsi="Times New Roman"/>
                <w:sz w:val="13"/>
                <w:szCs w:val="13"/>
                <w:color w:val="0000FF"/>
              </w:rPr>
              <w:t>101,881,732</w:t>
            </w:r>
            <w:r>
              <w:rPr>
                <w:rFonts w:ascii="Times New Roman" w:cs="Times New Roman" w:eastAsia="Times New Roman" w:hAnsi="Times New Roman"/>
                <w:sz w:val="22"/>
                <w:szCs w:val="22"/>
                <w:color w:val="008000"/>
                <w:vertAlign w:val="superscript"/>
              </w:rPr>
              <w:t>(3)</w:t>
            </w: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120" w:type="dxa"/>
            <w:vAlign w:val="bottom"/>
            <w:gridSpan w:val="2"/>
            <w:vMerge w:val="restart"/>
          </w:tcPr>
          <w:p>
            <w:pPr>
              <w:jc w:val="right"/>
              <w:ind w:right="153"/>
              <w:spacing w:after="0"/>
              <w:rPr>
                <w:sz w:val="20"/>
                <w:szCs w:val="20"/>
                <w:color w:val="auto"/>
              </w:rPr>
            </w:pPr>
            <w:r>
              <w:rPr>
                <w:rFonts w:ascii="Times New Roman" w:cs="Times New Roman" w:eastAsia="Times New Roman" w:hAnsi="Times New Roman"/>
                <w:sz w:val="13"/>
                <w:szCs w:val="13"/>
                <w:color w:val="0000FF"/>
              </w:rPr>
              <w:t>03/26/2015</w:t>
            </w:r>
          </w:p>
        </w:tc>
        <w:tc>
          <w:tcPr>
            <w:tcW w:w="1140" w:type="dxa"/>
            <w:vAlign w:val="bottom"/>
          </w:tcPr>
          <w:p>
            <w:pPr>
              <w:spacing w:after="0"/>
              <w:rPr>
                <w:sz w:val="8"/>
                <w:szCs w:val="8"/>
                <w:color w:val="auto"/>
              </w:rPr>
            </w:pPr>
          </w:p>
        </w:tc>
        <w:tc>
          <w:tcPr>
            <w:tcW w:w="760" w:type="dxa"/>
            <w:vAlign w:val="bottom"/>
            <w:gridSpan w:val="4"/>
            <w:vMerge w:val="continue"/>
          </w:tcPr>
          <w:p>
            <w:pPr>
              <w:spacing w:after="0"/>
              <w:rPr>
                <w:sz w:val="8"/>
                <w:szCs w:val="8"/>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565,793</w:t>
            </w:r>
          </w:p>
        </w:tc>
        <w:tc>
          <w:tcPr>
            <w:tcW w:w="280" w:type="dxa"/>
            <w:vAlign w:val="bottom"/>
          </w:tcPr>
          <w:p>
            <w:pPr>
              <w:spacing w:after="0"/>
              <w:rPr>
                <w:sz w:val="8"/>
                <w:szCs w:val="8"/>
                <w:color w:val="auto"/>
              </w:rPr>
            </w:pPr>
          </w:p>
        </w:tc>
        <w:tc>
          <w:tcPr>
            <w:tcW w:w="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(1)(2)</w:t>
            </w:r>
          </w:p>
        </w:tc>
        <w:tc>
          <w:tcPr>
            <w:tcW w:w="6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color w:val="008000"/>
              </w:rPr>
              <w:t>(1)(2)</w:t>
            </w: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00" w:type="dxa"/>
            <w:vAlign w:val="bottom"/>
            <w:gridSpan w:val="2"/>
            <w:vMerge w:val="continue"/>
          </w:tcPr>
          <w:p>
            <w:pPr>
              <w:spacing w:after="0"/>
              <w:rPr>
                <w:sz w:val="8"/>
                <w:szCs w:val="8"/>
                <w:color w:val="auto"/>
              </w:rPr>
            </w:pPr>
          </w:p>
        </w:tc>
        <w:tc>
          <w:tcPr>
            <w:tcW w:w="70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Footnotes 1</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Plains</w:t>
            </w:r>
          </w:p>
        </w:tc>
        <w:tc>
          <w:tcPr>
            <w:tcW w:w="80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gridSpan w:val="3"/>
            <w:vMerge w:val="restart"/>
          </w:tcPr>
          <w:p>
            <w:pPr>
              <w:ind w:left="140"/>
              <w:spacing w:after="0" w:line="214" w:lineRule="exact"/>
              <w:rPr>
                <w:sz w:val="20"/>
                <w:szCs w:val="20"/>
                <w:color w:val="auto"/>
              </w:rPr>
            </w:pPr>
            <w:r>
              <w:rPr>
                <w:rFonts w:ascii="Times New Roman" w:cs="Times New Roman" w:eastAsia="Times New Roman" w:hAnsi="Times New Roman"/>
                <w:sz w:val="24"/>
                <w:szCs w:val="24"/>
                <w:color w:val="0000FF"/>
                <w:vertAlign w:val="subscript"/>
              </w:rPr>
              <w:t>and 2</w:t>
            </w:r>
            <w:r>
              <w:rPr>
                <w:rFonts w:ascii="Times New Roman" w:cs="Times New Roman" w:eastAsia="Times New Roman" w:hAnsi="Times New Roman"/>
                <w:sz w:val="11"/>
                <w:szCs w:val="11"/>
                <w:color w:val="008000"/>
              </w:rPr>
              <w:t>(1)(2)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AAP, L.P.</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200" w:firstLine="7"/>
        <w:spacing w:after="0" w:line="255"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of the date of this Form 4, the Reporting Person holds an indirect ownership interest in Plains GP Holdings, L.P. (the "Issuer") through his ownership in KAFU Holdings, L.P. and KAFU Holdings II, L.P. (collectively, "KAFU"). Further, the Reporting Person is the Chief Executive Officer of Kayne Anderson Capital Advisors, L.P. ("KACALP"), an SEC registered investment adviser and the managing member of KAFU. The Reporting Person may be deemed to be the beneficial owner of all of the interests held by KAFU and KACALP as applicable.</w:t>
      </w:r>
    </w:p>
    <w:p>
      <w:pPr>
        <w:spacing w:after="0" w:line="19" w:lineRule="exact"/>
        <w:rPr>
          <w:rFonts w:ascii="Times New Roman" w:cs="Times New Roman" w:eastAsia="Times New Roman" w:hAnsi="Times New Roman"/>
          <w:sz w:val="13"/>
          <w:szCs w:val="13"/>
          <w:color w:val="008000"/>
        </w:rPr>
      </w:pPr>
    </w:p>
    <w:p>
      <w:pPr>
        <w:ind w:left="40" w:right="220" w:firstLine="7"/>
        <w:spacing w:after="0" w:line="246"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initial public offering of the Issuer, the limited partnership agreement of Plains AAP, L.P. ("AAP") was amended and restated to provide that each limited partner of AAP, including KAFU and KACALP, will have the right, at any time (without expiration) and from time to time, to immediately exchange (the "Exchange Right") its Class A Units in AAP (the "AAP Units"), together with a like number of Class B shares and units of the Issuer's general partner (the "GP Units"), for a like number of Class A shares of the Issuer (the "Class A shares"). The Exchange Right may be settled in cash at the option of the Issuer and, as a result the Reporting Person may not be deemed to beneficially own any Class A shares reported herein. Nonetheless, the number of derivative securities included in the table above represents the number of Class B shares owned by KAFU (101,315,939) and KACALP (565,793), that are potentially exchangeable for an equivalent number of Class A shares.</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securities held by KAFU and KACALP, except to the extent of his pecuniary interest therein.</w:t>
      </w:r>
    </w:p>
    <w:p>
      <w:pPr>
        <w:spacing w:after="0" w:line="51" w:lineRule="exact"/>
        <w:rPr>
          <w:rFonts w:ascii="Times New Roman" w:cs="Times New Roman" w:eastAsia="Times New Roman" w:hAnsi="Times New Roman"/>
          <w:sz w:val="13"/>
          <w:szCs w:val="13"/>
          <w:color w:val="008000"/>
        </w:rPr>
      </w:pPr>
    </w:p>
    <w:p>
      <w:pPr>
        <w:ind w:left="40" w:right="440" w:firstLine="7"/>
        <w:spacing w:after="0" w:line="274"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may have been deemed to beneficially own the AAP Units held by KAFU prior to the consummation of the initial public offering of the Issuer. The AAP Units, collectively with the Class B shares and the GP Units, constitute the derivative security as described herein.</w:t>
      </w:r>
    </w:p>
    <w:p>
      <w:pPr>
        <w:spacing w:after="0" w:line="6" w:lineRule="exact"/>
        <w:rPr>
          <w:rFonts w:ascii="Times New Roman" w:cs="Times New Roman" w:eastAsia="Times New Roman" w:hAnsi="Times New Roman"/>
          <w:sz w:val="13"/>
          <w:szCs w:val="13"/>
          <w:color w:val="008000"/>
        </w:rPr>
      </w:pPr>
    </w:p>
    <w:p>
      <w:pPr>
        <w:ind w:left="40" w:right="380" w:firstLine="7"/>
        <w:spacing w:after="0" w:line="274"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in-kind distribution to KACALP. Such distribution represents KACALP's realized interest in the incentive allocation earned as managing member of KA Fund Advisors, LLC ("KAFA"), manager of KA First Reserve XII, LLC.</w:t>
      </w:r>
    </w:p>
    <w:p>
      <w:pPr>
        <w:spacing w:after="0" w:line="25"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w w:val="99"/>
              </w:rPr>
              <w:t>Robert V. Sinnott</w:t>
            </w:r>
          </w:p>
        </w:tc>
        <w:tc>
          <w:tcPr>
            <w:tcW w:w="90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03/30/2015</w:t>
            </w:r>
          </w:p>
        </w:tc>
      </w:tr>
      <w:tr>
        <w:trPr>
          <w:trHeight w:val="20"/>
        </w:trPr>
        <w:tc>
          <w:tcPr>
            <w:tcW w:w="1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625"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2020-01-22T07:13:55Z</dcterms:created>
  <dcterms:modified xsi:type="dcterms:W3CDTF">2020-01-22T07:13:55Z</dcterms:modified>
</cp:coreProperties>
</file>