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4613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61391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ARMSTRONG GREG L</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color w:val="0000FF"/>
              </w:rPr>
              <w:t>333 CLAY STREET, # 1600</w:t>
            </w:r>
          </w:p>
        </w:tc>
        <w:tc>
          <w:tcPr>
            <w:tcW w:w="156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line="23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PLAINS ALL AMERICAN PIPELINE LP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PAA </w:t>
      </w:r>
      <w:r>
        <w:rPr>
          <w:rFonts w:ascii="Arial" w:cs="Arial" w:eastAsia="Arial" w:hAnsi="Arial"/>
          <w:sz w:val="20"/>
          <w:szCs w:val="20"/>
          <w:color w:val="000000"/>
        </w:rPr>
        <w:t>]</w:t>
      </w:r>
    </w:p>
    <w:p>
      <w:pPr>
        <w:spacing w:after="0" w:line="3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11/15/2016</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3" w:right="780" w:hanging="3"/>
        <w:spacing w:after="0" w:line="237"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3"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23"/>
        <w:spacing w:after="0"/>
        <w:rPr>
          <w:sz w:val="20"/>
          <w:szCs w:val="20"/>
          <w:color w:val="auto"/>
        </w:rPr>
      </w:pPr>
      <w:r>
        <w:rPr>
          <w:rFonts w:ascii="Arial" w:cs="Arial" w:eastAsia="Arial" w:hAnsi="Arial"/>
          <w:sz w:val="17"/>
          <w:szCs w:val="17"/>
          <w:color w:val="0000FF"/>
        </w:rPr>
        <w:t>Chairman of the Board &amp; CEO</w:t>
      </w:r>
    </w:p>
    <w:p>
      <w:pPr>
        <w:spacing w:after="0" w:line="480" w:lineRule="exact"/>
        <w:rPr>
          <w:sz w:val="24"/>
          <w:szCs w:val="24"/>
          <w:color w:val="auto"/>
        </w:rPr>
      </w:pPr>
    </w:p>
    <w:p>
      <w:pPr>
        <w:sectPr>
          <w:pgSz w:w="11900" w:h="16838" w:orient="portrait"/>
          <w:cols w:equalWidth="0" w:num="3">
            <w:col w:w="3900" w:space="160"/>
            <w:col w:w="3660" w:space="317"/>
            <w:col w:w="3483"/>
          </w:cols>
          <w:pgMar w:left="240" w:top="221" w:right="139" w:bottom="1440" w:gutter="0" w:footer="0" w:header="0"/>
          <w:type w:val="continuous"/>
        </w:sectPr>
      </w:pPr>
    </w:p>
    <w:p>
      <w:pPr>
        <w:spacing w:after="0" w:line="94" w:lineRule="exact"/>
        <w:rPr>
          <w:sz w:val="24"/>
          <w:szCs w:val="24"/>
          <w:color w:val="auto"/>
        </w:rPr>
      </w:pPr>
    </w:p>
    <w:tbl>
      <w:tblPr>
        <w:tblLayout w:type="fixed"/>
        <w:tblInd w:w="100" w:type="dxa"/>
        <w:tblCellMar>
          <w:top w:w="0" w:type="dxa"/>
          <w:left w:w="0" w:type="dxa"/>
          <w:bottom w:w="0" w:type="dxa"/>
          <w:right w:w="0" w:type="dxa"/>
        </w:tblCellMar>
      </w:tblPr>
      <w:tr>
        <w:trPr>
          <w:trHeight w:val="213"/>
        </w:trPr>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48"/>
        </w:trPr>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r>
      <w:tr>
        <w:trPr>
          <w:trHeight w:val="295"/>
        </w:trPr>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 Line)</w:t>
      </w:r>
    </w:p>
    <w:p>
      <w:pPr>
        <w:ind w:left="4180"/>
        <w:spacing w:after="0" w:line="21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 Person</w:t>
      </w:r>
    </w:p>
    <w:p>
      <w:pPr>
        <w:spacing w:after="0" w:line="347" w:lineRule="exact"/>
        <w:rPr>
          <w:sz w:val="24"/>
          <w:szCs w:val="24"/>
          <w:color w:val="auto"/>
        </w:rPr>
      </w:pPr>
    </w:p>
    <w:p>
      <w:pPr>
        <w:sectPr>
          <w:pgSz w:w="11900" w:h="16838" w:orient="portrait"/>
          <w:cols w:equalWidth="0" w:num="2">
            <w:col w:w="3900" w:space="160"/>
            <w:col w:w="746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tcPr>
          <w:p>
            <w:pPr>
              <w:ind w:left="9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Beneficially Owned</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or Disposed of</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 (Instr. 3, 4</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color w:val="0000FF"/>
                <w:w w:val="92"/>
              </w:rPr>
              <w:t>11/15/2017</w:t>
            </w:r>
            <w:r>
              <w:rPr>
                <w:rFonts w:ascii="Arial" w:cs="Arial" w:eastAsia="Arial" w:hAnsi="Arial"/>
                <w:sz w:val="21"/>
                <w:szCs w:val="21"/>
                <w:color w:val="008000"/>
                <w:w w:val="92"/>
                <w:vertAlign w:val="superscript"/>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3,685,409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80" w:type="dxa"/>
            <w:vAlign w:val="bottom"/>
          </w:tcPr>
          <w:p>
            <w:pPr>
              <w:ind w:left="60"/>
              <w:spacing w:after="0" w:line="138" w:lineRule="exact"/>
              <w:rPr>
                <w:sz w:val="20"/>
                <w:szCs w:val="20"/>
                <w:color w:val="auto"/>
              </w:rPr>
            </w:pPr>
            <w:r>
              <w:rPr>
                <w:rFonts w:ascii="Arial" w:cs="Arial" w:eastAsia="Arial" w:hAnsi="Arial"/>
                <w:sz w:val="13"/>
                <w:szCs w:val="13"/>
                <w:color w:val="0000FF"/>
                <w:w w:val="90"/>
              </w:rPr>
              <w:t>Shares/Class</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tcPr>
          <w:p>
            <w:pPr>
              <w:jc w:val="right"/>
              <w:ind w:right="180"/>
              <w:spacing w:after="0" w:line="138" w:lineRule="exact"/>
              <w:rPr>
                <w:sz w:val="20"/>
                <w:szCs w:val="20"/>
                <w:color w:val="auto"/>
              </w:rPr>
            </w:pPr>
            <w:r>
              <w:rPr>
                <w:rFonts w:ascii="Arial" w:cs="Arial" w:eastAsia="Arial" w:hAnsi="Arial"/>
                <w:sz w:val="13"/>
                <w:szCs w:val="13"/>
                <w:color w:val="0000FF"/>
              </w:rPr>
              <w:t>11/15/2016</w:t>
            </w: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tcPr>
          <w:p>
            <w:pPr>
              <w:ind w:left="80"/>
              <w:spacing w:after="0" w:line="138" w:lineRule="exact"/>
              <w:rPr>
                <w:sz w:val="20"/>
                <w:szCs w:val="20"/>
                <w:color w:val="auto"/>
              </w:rPr>
            </w:pPr>
            <w:r>
              <w:rPr>
                <w:rFonts w:ascii="Arial" w:cs="Arial" w:eastAsia="Arial" w:hAnsi="Arial"/>
                <w:sz w:val="13"/>
                <w:szCs w:val="13"/>
                <w:color w:val="0000FF"/>
                <w:w w:val="96"/>
              </w:rPr>
              <w:t>3,685,409</w:t>
            </w: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right"/>
              <w:ind w:right="141"/>
              <w:spacing w:after="0" w:line="138" w:lineRule="exact"/>
              <w:rPr>
                <w:sz w:val="20"/>
                <w:szCs w:val="20"/>
                <w:color w:val="auto"/>
              </w:rPr>
            </w:pPr>
            <w:r>
              <w:rPr>
                <w:rFonts w:ascii="Arial" w:cs="Arial" w:eastAsia="Arial" w:hAnsi="Arial"/>
                <w:sz w:val="13"/>
                <w:szCs w:val="13"/>
                <w:color w:val="0000FF"/>
              </w:rPr>
              <w:t>3,685,409</w:t>
            </w:r>
          </w:p>
        </w:tc>
        <w:tc>
          <w:tcPr>
            <w:tcW w:w="7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A Units</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180"/>
              <w:spacing w:after="0" w:line="129"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0"/>
              </w:rPr>
              <w:t>Shares/Class</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restart"/>
          </w:tcPr>
          <w:p>
            <w:pPr>
              <w:ind w:left="120"/>
              <w:spacing w:after="0" w:line="201"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(4)</w:t>
            </w: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2,071,859</w:t>
            </w:r>
          </w:p>
        </w:tc>
        <w:tc>
          <w:tcPr>
            <w:tcW w:w="680" w:type="dxa"/>
            <w:vAlign w:val="bottom"/>
          </w:tcPr>
          <w:p>
            <w:pPr>
              <w:spacing w:after="0"/>
              <w:rPr>
                <w:sz w:val="5"/>
                <w:szCs w:val="5"/>
                <w:color w:val="auto"/>
              </w:rPr>
            </w:pPr>
          </w:p>
        </w:tc>
        <w:tc>
          <w:tcPr>
            <w:tcW w:w="920" w:type="dxa"/>
            <w:vAlign w:val="bottom"/>
            <w:vMerge w:val="restart"/>
          </w:tcPr>
          <w:p>
            <w:pPr>
              <w:jc w:val="center"/>
              <w:ind w:right="61"/>
              <w:spacing w:after="0" w:line="202" w:lineRule="exact"/>
              <w:rPr>
                <w:sz w:val="20"/>
                <w:szCs w:val="20"/>
                <w:color w:val="auto"/>
              </w:rPr>
            </w:pPr>
            <w:r>
              <w:rPr>
                <w:rFonts w:ascii="Arial" w:cs="Arial" w:eastAsia="Arial" w:hAnsi="Arial"/>
                <w:sz w:val="13"/>
                <w:szCs w:val="13"/>
                <w:color w:val="0000FF"/>
              </w:rPr>
              <w:t>2,071,859</w:t>
            </w:r>
            <w:r>
              <w:rPr>
                <w:rFonts w:ascii="Arial" w:cs="Arial" w:eastAsia="Arial" w:hAnsi="Arial"/>
                <w:sz w:val="21"/>
                <w:szCs w:val="21"/>
                <w:color w:val="008000"/>
                <w:vertAlign w:val="superscript"/>
              </w:rPr>
              <w:t>(4)</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780" w:type="dxa"/>
            <w:vAlign w:val="bottom"/>
            <w:vMerge w:val="continue"/>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tcPr>
          <w:p>
            <w:pPr>
              <w:jc w:val="right"/>
              <w:ind w:right="180"/>
              <w:spacing w:after="0" w:line="138" w:lineRule="exact"/>
              <w:rPr>
                <w:sz w:val="20"/>
                <w:szCs w:val="20"/>
                <w:color w:val="auto"/>
              </w:rPr>
            </w:pPr>
            <w:r>
              <w:rPr>
                <w:rFonts w:ascii="Arial" w:cs="Arial" w:eastAsia="Arial" w:hAnsi="Arial"/>
                <w:sz w:val="13"/>
                <w:szCs w:val="13"/>
                <w:color w:val="0000FF"/>
              </w:rPr>
              <w:t>11/15/2016</w:t>
            </w: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tcPr>
          <w:p>
            <w:pPr>
              <w:ind w:left="80"/>
              <w:spacing w:after="0" w:line="138" w:lineRule="exact"/>
              <w:rPr>
                <w:sz w:val="20"/>
                <w:szCs w:val="20"/>
                <w:color w:val="auto"/>
              </w:rPr>
            </w:pPr>
            <w:r>
              <w:rPr>
                <w:rFonts w:ascii="Arial" w:cs="Arial" w:eastAsia="Arial" w:hAnsi="Arial"/>
                <w:sz w:val="13"/>
                <w:szCs w:val="13"/>
                <w:color w:val="0000FF"/>
                <w:w w:val="96"/>
              </w:rPr>
              <w:t>2,071,859</w:t>
            </w: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continue"/>
          </w:tcPr>
          <w:p>
            <w:pPr>
              <w:spacing w:after="0"/>
              <w:rPr>
                <w:sz w:val="11"/>
                <w:szCs w:val="11"/>
                <w:color w:val="auto"/>
              </w:rPr>
            </w:pPr>
          </w:p>
        </w:tc>
        <w:tc>
          <w:tcPr>
            <w:tcW w:w="740" w:type="dxa"/>
            <w:vAlign w:val="bottom"/>
          </w:tcPr>
          <w:p>
            <w:pPr>
              <w:ind w:left="360"/>
              <w:spacing w:after="0" w:line="138" w:lineRule="exact"/>
              <w:rPr>
                <w:sz w:val="20"/>
                <w:szCs w:val="20"/>
                <w:color w:val="auto"/>
              </w:rPr>
            </w:pPr>
            <w:r>
              <w:rPr>
                <w:rFonts w:ascii="Arial" w:cs="Arial" w:eastAsia="Arial" w:hAnsi="Arial"/>
                <w:sz w:val="13"/>
                <w:szCs w:val="13"/>
                <w:color w:val="0000FF"/>
              </w:rPr>
              <w:t>I</w:t>
            </w:r>
          </w:p>
        </w:tc>
        <w:tc>
          <w:tcPr>
            <w:tcW w:w="740" w:type="dxa"/>
            <w:vAlign w:val="bottom"/>
          </w:tcPr>
          <w:p>
            <w:pPr>
              <w:ind w:left="60"/>
              <w:spacing w:after="0" w:line="138"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81"/>
        </w:trPr>
        <w:tc>
          <w:tcPr>
            <w:tcW w:w="780" w:type="dxa"/>
            <w:vAlign w:val="bottom"/>
          </w:tcPr>
          <w:p>
            <w:pPr>
              <w:ind w:left="60"/>
              <w:spacing w:after="0" w:line="81" w:lineRule="exact"/>
              <w:rPr>
                <w:sz w:val="20"/>
                <w:szCs w:val="20"/>
                <w:color w:val="auto"/>
              </w:rPr>
            </w:pPr>
            <w:r>
              <w:rPr>
                <w:rFonts w:ascii="Arial" w:cs="Arial" w:eastAsia="Arial" w:hAnsi="Arial"/>
                <w:sz w:val="9"/>
                <w:szCs w:val="9"/>
                <w:color w:val="0000FF"/>
              </w:rPr>
              <w:t>A Units/GP</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ind w:left="180"/>
              <w:spacing w:after="0" w:line="81" w:lineRule="exact"/>
              <w:rPr>
                <w:sz w:val="20"/>
                <w:szCs w:val="20"/>
                <w:color w:val="auto"/>
              </w:rPr>
            </w:pPr>
            <w:r>
              <w:rPr>
                <w:rFonts w:ascii="Arial" w:cs="Arial" w:eastAsia="Arial" w:hAnsi="Arial"/>
                <w:sz w:val="9"/>
                <w:szCs w:val="9"/>
                <w:color w:val="0000FF"/>
              </w:rPr>
              <w:t>Units</w:t>
            </w: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(4)</w:t>
            </w:r>
          </w:p>
        </w:tc>
        <w:tc>
          <w:tcPr>
            <w:tcW w:w="0" w:type="dxa"/>
            <w:vAlign w:val="bottom"/>
          </w:tcPr>
          <w:p>
            <w:pPr>
              <w:spacing w:after="0"/>
              <w:rPr>
                <w:sz w:val="1"/>
                <w:szCs w:val="1"/>
                <w:color w:val="auto"/>
              </w:rPr>
            </w:pPr>
          </w:p>
        </w:tc>
      </w:tr>
      <w:tr>
        <w:trPr>
          <w:trHeight w:val="85"/>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1"/>
        <w:spacing w:after="0" w:line="23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limited partnership agreement of Plains AAP, L.P. ("AAP") was amended and restated on November 15, 2016 to provide, among other things, that each limited partner of AAP holding Class A Units, including the Reporting Person,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Reporting Person may not exercise his Redemption Right with respect to any Class A Units until November 15, 2017.</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Redemption Right does not expire.</w:t>
      </w:r>
    </w:p>
    <w:p>
      <w:pPr>
        <w:spacing w:after="0" w:line="43" w:lineRule="exact"/>
        <w:rPr>
          <w:rFonts w:ascii="Arial" w:cs="Arial" w:eastAsia="Arial" w:hAnsi="Arial"/>
          <w:sz w:val="13"/>
          <w:szCs w:val="13"/>
          <w:color w:val="008000"/>
        </w:rPr>
      </w:pPr>
    </w:p>
    <w:p>
      <w:pPr>
        <w:jc w:val="both"/>
        <w:ind w:left="40" w:right="260" w:firstLine="1"/>
        <w:spacing w:after="0" w:line="259"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PAA Management, L.P. ("PAA Management") is also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 Pursuant to the limited partnership agreement of AAP, PAA Management may not exercise its Redemption Right with respect to any Class A Units attributable to the interest of the Reporting Person until November 15, 2017.</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7"/>
                <w:szCs w:val="17"/>
                <w:color w:val="0000FF"/>
                <w:w w:val="91"/>
              </w:rPr>
              <w:t>/s/ Greg L. Armstrong</w:t>
            </w:r>
          </w:p>
        </w:tc>
        <w:tc>
          <w:tcPr>
            <w:tcW w:w="58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11/17/2016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8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2020-01-19T10:04:51Z</dcterms:created>
  <dcterms:modified xsi:type="dcterms:W3CDTF">2020-01-19T10:04:51Z</dcterms:modified>
</cp:coreProperties>
</file>