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SECURITIES AND EXCHANGE COMMISSION</w:t>
      </w:r>
    </w:p>
    <w:p>
      <w:pPr>
        <w:ind w:left="46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SCHEDULE 13D/A</w:t>
      </w:r>
    </w:p>
    <w:p>
      <w:pPr>
        <w:spacing w:after="0" w:line="22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Plains All American Pipeline, L.P.</w:t>
      </w:r>
    </w:p>
    <w:p>
      <w:pPr>
        <w:spacing w:after="0" w:line="64"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4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726503105</w:t>
      </w:r>
    </w:p>
    <w:p>
      <w:pPr>
        <w:spacing w:after="0" w:line="54"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Richard McGee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Plains All American GP LLC</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(713) 646-4100</w:t>
      </w:r>
    </w:p>
    <w:p>
      <w:pPr>
        <w:spacing w:after="0" w:line="35"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March 1, 2017</w:t>
      </w:r>
    </w:p>
    <w:p>
      <w:pPr>
        <w:spacing w:after="0" w:line="4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54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13d-1(e), 13d-1(f) or 13d-1(g), check the following box: o</w:t>
      </w:r>
    </w:p>
    <w:p>
      <w:pPr>
        <w:spacing w:after="0" w:line="89" w:lineRule="exact"/>
        <w:rPr>
          <w:sz w:val="24"/>
          <w:szCs w:val="24"/>
          <w:color w:val="auto"/>
        </w:rPr>
      </w:pPr>
    </w:p>
    <w:p>
      <w:pPr>
        <w:ind w:left="540" w:right="240" w:hanging="4"/>
        <w:spacing w:after="0" w:line="267" w:lineRule="auto"/>
        <w:tabs>
          <w:tab w:leader="none" w:pos="64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5"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13 D</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CUSIP No. 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92075</wp:posOffset>
            </wp:positionV>
            <wp:extent cx="7160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20" w:right="7680" w:hanging="632"/>
        <w:spacing w:after="0" w:line="30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 Plains AAP,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614680</wp:posOffset>
            </wp:positionH>
            <wp:positionV relativeFrom="paragraph">
              <wp:posOffset>41910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1020" w:hanging="6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00" w:hanging="107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7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1266825</wp:posOffset>
            </wp:positionH>
            <wp:positionV relativeFrom="paragraph">
              <wp:posOffset>40640</wp:posOffset>
            </wp:positionV>
            <wp:extent cx="5866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1266825</wp:posOffset>
            </wp:positionH>
            <wp:positionV relativeFrom="paragraph">
              <wp:posOffset>-215900</wp:posOffset>
            </wp:positionV>
            <wp:extent cx="58661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020" w:hanging="6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614680</wp:posOffset>
            </wp:positionH>
            <wp:positionV relativeFrom="paragraph">
              <wp:posOffset>92075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020" w:right="7100" w:hanging="632"/>
        <w:spacing w:after="0" w:line="34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Source of Funds (See Instructions) OO (please see </w:t>
      </w:r>
      <w:r>
        <w:rPr>
          <w:rFonts w:ascii="Arial" w:cs="Arial" w:eastAsia="Arial" w:hAnsi="Arial"/>
          <w:sz w:val="16"/>
          <w:szCs w:val="16"/>
          <w:u w:val="single" w:color="auto"/>
          <w:color w:val="auto"/>
        </w:rPr>
        <w:t>Item 3</w:t>
      </w:r>
      <w:r>
        <w:rPr>
          <w:rFonts w:ascii="Arial" w:cs="Arial" w:eastAsia="Arial" w:hAnsi="Arial"/>
          <w:sz w:val="16"/>
          <w:szCs w:val="16"/>
          <w:color w:val="auto"/>
        </w:rPr>
        <w:t xml:space="preserve">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614680</wp:posOffset>
            </wp:positionH>
            <wp:positionV relativeFrom="paragraph">
              <wp:posOffset>27940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80"/>
        <w:spacing w:after="0"/>
        <w:tabs>
          <w:tab w:leader="none" w:pos="1000" w:val="left"/>
          <w:tab w:leader="none" w:pos="764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ectPr>
          <w:pgSz w:w="11900" w:h="16838" w:orient="portrait"/>
          <w:cols w:equalWidth="0" w:num="1">
            <w:col w:w="10620"/>
          </w:cols>
          <w:pgMar w:left="360" w:top="436" w:right="919" w:bottom="0" w:gutter="0" w:footer="0" w:header="0"/>
        </w:sectPr>
      </w:pPr>
    </w:p>
    <w:bookmarkStart w:id="1" w:name="page2"/>
    <w:bookmarkEnd w:id="1"/>
    <w:p>
      <w:pPr>
        <w:ind w:left="1140" w:right="7600" w:hanging="632"/>
        <w:spacing w:after="0" w:line="342"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843280</wp:posOffset>
            </wp:positionH>
            <wp:positionV relativeFrom="page">
              <wp:posOffset>106045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27940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7</w:t>
            </w:r>
          </w:p>
        </w:tc>
        <w:tc>
          <w:tcPr>
            <w:tcW w:w="93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291,611,545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280"/>
              <w:spacing w:after="0"/>
              <w:rPr>
                <w:sz w:val="20"/>
                <w:szCs w:val="20"/>
                <w:color w:val="auto"/>
              </w:rPr>
            </w:pPr>
            <w:r>
              <w:rPr>
                <w:rFonts w:ascii="Arial" w:cs="Arial" w:eastAsia="Arial" w:hAnsi="Arial"/>
                <w:sz w:val="18"/>
                <w:szCs w:val="18"/>
                <w:color w:val="auto"/>
              </w:rPr>
              <w:t>8</w:t>
            </w:r>
          </w:p>
        </w:tc>
        <w:tc>
          <w:tcPr>
            <w:tcW w:w="93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95"/>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280"/>
              <w:spacing w:after="0"/>
              <w:rPr>
                <w:sz w:val="20"/>
                <w:szCs w:val="20"/>
                <w:color w:val="auto"/>
              </w:rPr>
            </w:pPr>
            <w:r>
              <w:rPr>
                <w:rFonts w:ascii="Arial" w:cs="Arial" w:eastAsia="Arial" w:hAnsi="Arial"/>
                <w:sz w:val="18"/>
                <w:szCs w:val="18"/>
                <w:color w:val="auto"/>
              </w:rPr>
              <w:t>9</w:t>
            </w:r>
          </w:p>
        </w:tc>
        <w:tc>
          <w:tcPr>
            <w:tcW w:w="93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291,611,545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9"/>
        </w:trPr>
        <w:tc>
          <w:tcPr>
            <w:tcW w:w="11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10</w:t>
            </w:r>
          </w:p>
        </w:tc>
        <w:tc>
          <w:tcPr>
            <w:tcW w:w="93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140" w:right="5420" w:hanging="632"/>
        <w:spacing w:after="0" w:line="277"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291,611,545 Common Units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40" w:hanging="632"/>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40" w:right="6340" w:hanging="632"/>
        <w:spacing w:after="0" w:line="277"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40.3% of Common Units*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40" w:hanging="632"/>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-413385</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-1150620</wp:posOffset>
            </wp:positionV>
            <wp:extent cx="6517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-1888490</wp:posOffset>
            </wp:positionV>
            <wp:extent cx="6517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-2488565</wp:posOffset>
            </wp:positionV>
            <wp:extent cx="6517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13 D</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92075</wp:posOffset>
            </wp:positionV>
            <wp:extent cx="7160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40" w:right="8080" w:hanging="632"/>
        <w:spacing w:after="0" w:line="308"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Name of Reporting Person 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41910</wp:posOffset>
            </wp:positionV>
            <wp:extent cx="65176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40" w:hanging="63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220" w:hanging="1078"/>
        <w:spacing w:after="0"/>
        <w:tabs>
          <w:tab w:leader="none" w:pos="2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220" w:hanging="1078"/>
        <w:spacing w:after="0"/>
        <w:tabs>
          <w:tab w:leader="none" w:pos="2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40640</wp:posOffset>
            </wp:positionV>
            <wp:extent cx="5866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-215900</wp:posOffset>
            </wp:positionV>
            <wp:extent cx="5866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ectPr>
          <w:pgSz w:w="11900" w:h="16838" w:orient="portrait"/>
          <w:cols w:equalWidth="0" w:num="1">
            <w:col w:w="11360"/>
          </w:cols>
          <w:pgMar w:left="240" w:top="760" w:right="299" w:bottom="289" w:gutter="0" w:footer="0" w:header="0"/>
        </w:sectPr>
      </w:pPr>
    </w:p>
    <w:bookmarkStart w:id="2" w:name="page3"/>
    <w:bookmarkEnd w:id="2"/>
    <w:p>
      <w:pPr>
        <w:spacing w:after="0" w:line="42" w:lineRule="exact"/>
        <w:rPr>
          <w:sz w:val="20"/>
          <w:szCs w:val="20"/>
          <w:color w:val="auto"/>
        </w:rPr>
      </w:pPr>
    </w:p>
    <w:p>
      <w:pPr>
        <w:ind w:left="1140" w:hanging="63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92075</wp:posOffset>
            </wp:positionV>
            <wp:extent cx="65176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7720" w:hanging="632"/>
        <w:spacing w:after="0" w:line="342"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Source of Funds (See Instructions) OO (please see </w:t>
      </w:r>
      <w:r>
        <w:rPr>
          <w:rFonts w:ascii="Arial" w:cs="Arial" w:eastAsia="Arial" w:hAnsi="Arial"/>
          <w:sz w:val="16"/>
          <w:szCs w:val="16"/>
          <w:u w:val="single" w:color="auto"/>
          <w:color w:val="auto"/>
        </w:rPr>
        <w:t>Item 3</w:t>
      </w:r>
      <w:r>
        <w:rPr>
          <w:rFonts w:ascii="Arial" w:cs="Arial" w:eastAsia="Arial" w:hAnsi="Arial"/>
          <w:sz w:val="16"/>
          <w:szCs w:val="16"/>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27940</wp:posOffset>
            </wp:positionV>
            <wp:extent cx="65176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tabs>
          <w:tab w:leader="none" w:pos="1120" w:val="left"/>
          <w:tab w:leader="none" w:pos="77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99060</wp:posOffset>
            </wp:positionV>
            <wp:extent cx="65176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40" w:right="7600" w:hanging="632"/>
        <w:spacing w:after="0" w:line="342"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27940</wp:posOffset>
            </wp:positionV>
            <wp:extent cx="65176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7</w:t>
            </w:r>
          </w:p>
        </w:tc>
        <w:tc>
          <w:tcPr>
            <w:tcW w:w="93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291,611,545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280"/>
              <w:spacing w:after="0"/>
              <w:rPr>
                <w:sz w:val="20"/>
                <w:szCs w:val="20"/>
                <w:color w:val="auto"/>
              </w:rPr>
            </w:pPr>
            <w:r>
              <w:rPr>
                <w:rFonts w:ascii="Arial" w:cs="Arial" w:eastAsia="Arial" w:hAnsi="Arial"/>
                <w:sz w:val="18"/>
                <w:szCs w:val="18"/>
                <w:color w:val="auto"/>
              </w:rPr>
              <w:t>8</w:t>
            </w:r>
          </w:p>
        </w:tc>
        <w:tc>
          <w:tcPr>
            <w:tcW w:w="93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95"/>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280"/>
              <w:spacing w:after="0"/>
              <w:rPr>
                <w:sz w:val="20"/>
                <w:szCs w:val="20"/>
                <w:color w:val="auto"/>
              </w:rPr>
            </w:pPr>
            <w:r>
              <w:rPr>
                <w:rFonts w:ascii="Arial" w:cs="Arial" w:eastAsia="Arial" w:hAnsi="Arial"/>
                <w:sz w:val="18"/>
                <w:szCs w:val="18"/>
                <w:color w:val="auto"/>
              </w:rPr>
              <w:t>9</w:t>
            </w:r>
          </w:p>
        </w:tc>
        <w:tc>
          <w:tcPr>
            <w:tcW w:w="93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291,611,545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9"/>
        </w:trPr>
        <w:tc>
          <w:tcPr>
            <w:tcW w:w="11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10</w:t>
            </w:r>
          </w:p>
        </w:tc>
        <w:tc>
          <w:tcPr>
            <w:tcW w:w="93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140" w:right="5420" w:hanging="632"/>
        <w:spacing w:after="0" w:line="277" w:lineRule="auto"/>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291,611,545 Common Units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40" w:hanging="632"/>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40" w:right="6340" w:hanging="632"/>
        <w:spacing w:after="0" w:line="277" w:lineRule="auto"/>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40.3% of Common Units*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40" w:hanging="632"/>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-413385</wp:posOffset>
            </wp:positionV>
            <wp:extent cx="65176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-1150620</wp:posOffset>
            </wp:positionV>
            <wp:extent cx="65176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-1888490</wp:posOffset>
            </wp:positionV>
            <wp:extent cx="65176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-2488565</wp:posOffset>
            </wp:positionV>
            <wp:extent cx="65176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13 D</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92075</wp:posOffset>
            </wp:positionV>
            <wp:extent cx="7160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40" w:right="8300" w:hanging="632"/>
        <w:spacing w:after="0" w:line="342"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 of Reporting Person Plains GP Holdings, L.P.</w:t>
      </w:r>
    </w:p>
    <w:p>
      <w:pPr>
        <w:sectPr>
          <w:pgSz w:w="11900" w:h="16881" w:orient="portrait"/>
          <w:cols w:equalWidth="0" w:num="1">
            <w:col w:w="11360"/>
          </w:cols>
          <w:pgMar w:left="240" w:top="125" w:right="299" w:bottom="0" w:gutter="0" w:footer="0" w:header="0"/>
        </w:sectPr>
      </w:pPr>
    </w:p>
    <w:bookmarkStart w:id="3" w:name="page4"/>
    <w:bookmarkEnd w:id="3"/>
    <w:p>
      <w:pPr>
        <w:ind w:left="1140" w:hanging="63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843280</wp:posOffset>
            </wp:positionH>
            <wp:positionV relativeFrom="page">
              <wp:posOffset>97790</wp:posOffset>
            </wp:positionV>
            <wp:extent cx="6517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7640" cy="8890"/>
                    </a:xfrm>
                    <a:prstGeom prst="rect">
                      <a:avLst/>
                    </a:prstGeom>
                    <a:noFill/>
                  </pic:spPr>
                </pic:pic>
              </a:graphicData>
            </a:graphic>
          </wp:anchor>
        </w:drawing>
        <w:t>Check the Appropriate Box if a Member of a Group</w:t>
      </w:r>
    </w:p>
    <w:p>
      <w:pPr>
        <w:spacing w:after="0" w:line="265" w:lineRule="exact"/>
        <w:rPr>
          <w:rFonts w:ascii="Arial" w:cs="Arial" w:eastAsia="Arial" w:hAnsi="Arial"/>
          <w:sz w:val="18"/>
          <w:szCs w:val="18"/>
          <w:color w:val="auto"/>
        </w:rPr>
      </w:pPr>
    </w:p>
    <w:p>
      <w:pPr>
        <w:ind w:left="2220" w:hanging="1078"/>
        <w:spacing w:after="0"/>
        <w:tabs>
          <w:tab w:leader="none" w:pos="2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220" w:hanging="1078"/>
        <w:spacing w:after="0"/>
        <w:tabs>
          <w:tab w:leader="none" w:pos="2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40640</wp:posOffset>
            </wp:positionV>
            <wp:extent cx="58661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-215900</wp:posOffset>
            </wp:positionV>
            <wp:extent cx="5866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40" w:hanging="63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92075</wp:posOffset>
            </wp:positionV>
            <wp:extent cx="65176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right="7720" w:hanging="632"/>
        <w:spacing w:after="0" w:line="342"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Source of Funds (See Instructions) OO (please see </w:t>
      </w:r>
      <w:r>
        <w:rPr>
          <w:rFonts w:ascii="Arial" w:cs="Arial" w:eastAsia="Arial" w:hAnsi="Arial"/>
          <w:sz w:val="16"/>
          <w:szCs w:val="16"/>
          <w:u w:val="single" w:color="auto"/>
          <w:color w:val="auto"/>
        </w:rPr>
        <w:t>Item 3</w:t>
      </w:r>
      <w:r>
        <w:rPr>
          <w:rFonts w:ascii="Arial" w:cs="Arial" w:eastAsia="Arial" w:hAnsi="Arial"/>
          <w:sz w:val="16"/>
          <w:szCs w:val="16"/>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27940</wp:posOffset>
            </wp:positionV>
            <wp:extent cx="65176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tabs>
          <w:tab w:leader="none" w:pos="1120" w:val="left"/>
          <w:tab w:leader="none" w:pos="77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99060</wp:posOffset>
            </wp:positionV>
            <wp:extent cx="65176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40" w:right="7600" w:hanging="632"/>
        <w:spacing w:after="0" w:line="34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27940</wp:posOffset>
            </wp:positionV>
            <wp:extent cx="65176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7</w:t>
            </w:r>
          </w:p>
        </w:tc>
        <w:tc>
          <w:tcPr>
            <w:tcW w:w="93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291,611,545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280"/>
              <w:spacing w:after="0"/>
              <w:rPr>
                <w:sz w:val="20"/>
                <w:szCs w:val="20"/>
                <w:color w:val="auto"/>
              </w:rPr>
            </w:pPr>
            <w:r>
              <w:rPr>
                <w:rFonts w:ascii="Arial" w:cs="Arial" w:eastAsia="Arial" w:hAnsi="Arial"/>
                <w:sz w:val="18"/>
                <w:szCs w:val="18"/>
                <w:color w:val="auto"/>
              </w:rPr>
              <w:t>8</w:t>
            </w:r>
          </w:p>
        </w:tc>
        <w:tc>
          <w:tcPr>
            <w:tcW w:w="93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95"/>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280"/>
              <w:spacing w:after="0"/>
              <w:rPr>
                <w:sz w:val="20"/>
                <w:szCs w:val="20"/>
                <w:color w:val="auto"/>
              </w:rPr>
            </w:pPr>
            <w:r>
              <w:rPr>
                <w:rFonts w:ascii="Arial" w:cs="Arial" w:eastAsia="Arial" w:hAnsi="Arial"/>
                <w:sz w:val="18"/>
                <w:szCs w:val="18"/>
                <w:color w:val="auto"/>
              </w:rPr>
              <w:t>9</w:t>
            </w:r>
          </w:p>
        </w:tc>
        <w:tc>
          <w:tcPr>
            <w:tcW w:w="93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291,611,545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9"/>
        </w:trPr>
        <w:tc>
          <w:tcPr>
            <w:tcW w:w="11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10</w:t>
            </w:r>
          </w:p>
        </w:tc>
        <w:tc>
          <w:tcPr>
            <w:tcW w:w="93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140" w:right="5420" w:hanging="632"/>
        <w:spacing w:after="0" w:line="277"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291,611,545 Common Units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40" w:hanging="63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40" w:right="6340" w:hanging="632"/>
        <w:spacing w:after="0" w:line="277"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40.3% of Common Units*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40" w:hanging="63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-413385</wp:posOffset>
            </wp:positionV>
            <wp:extent cx="65176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-1150620</wp:posOffset>
            </wp:positionV>
            <wp:extent cx="65176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-1888490</wp:posOffset>
            </wp:positionV>
            <wp:extent cx="6517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-2488565</wp:posOffset>
            </wp:positionV>
            <wp:extent cx="6517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746" w:right="299" w:bottom="5" w:gutter="0" w:footer="0" w:header="0"/>
        </w:sectPr>
      </w:pPr>
    </w:p>
    <w:bookmarkStart w:id="4" w:name="page5"/>
    <w:bookmarkEnd w:id="4"/>
    <w:p>
      <w:pPr>
        <w:jc w:val="center"/>
        <w:ind w:right="60"/>
        <w:spacing w:after="0"/>
        <w:rPr>
          <w:sz w:val="20"/>
          <w:szCs w:val="20"/>
          <w:color w:val="auto"/>
        </w:rPr>
      </w:pPr>
      <w:r>
        <w:rPr>
          <w:rFonts w:ascii="Arial" w:cs="Arial" w:eastAsia="Arial" w:hAnsi="Arial"/>
          <w:sz w:val="18"/>
          <w:szCs w:val="18"/>
          <w:color w:val="auto"/>
        </w:rPr>
        <w:t>SCHEDULE 13 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100330</wp:posOffset>
            </wp:positionV>
            <wp:extent cx="7160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20" w:right="8300" w:hanging="632"/>
        <w:spacing w:after="0" w:line="34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Name of Reporting Person 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36195</wp:posOffset>
            </wp:positionV>
            <wp:extent cx="65176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6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00" w:hanging="1078"/>
        <w:spacing w:after="0"/>
        <w:tabs>
          <w:tab w:leader="none" w:pos="2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78"/>
        <w:spacing w:after="0"/>
        <w:tabs>
          <w:tab w:leader="none" w:pos="2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48895</wp:posOffset>
            </wp:positionV>
            <wp:extent cx="58661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1266825</wp:posOffset>
            </wp:positionH>
            <wp:positionV relativeFrom="paragraph">
              <wp:posOffset>-207645</wp:posOffset>
            </wp:positionV>
            <wp:extent cx="5866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20" w:hanging="6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100330</wp:posOffset>
            </wp:positionV>
            <wp:extent cx="65176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20" w:right="7720" w:hanging="632"/>
        <w:spacing w:after="0" w:line="342"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Source of Funds (See Instructions) OO (please see </w:t>
      </w:r>
      <w:r>
        <w:rPr>
          <w:rFonts w:ascii="Arial" w:cs="Arial" w:eastAsia="Arial" w:hAnsi="Arial"/>
          <w:sz w:val="16"/>
          <w:szCs w:val="16"/>
          <w:u w:val="single" w:color="auto"/>
          <w:color w:val="auto"/>
        </w:rPr>
        <w:t>Item 3</w:t>
      </w:r>
      <w:r>
        <w:rPr>
          <w:rFonts w:ascii="Arial" w:cs="Arial" w:eastAsia="Arial" w:hAnsi="Arial"/>
          <w:sz w:val="16"/>
          <w:szCs w:val="16"/>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36195</wp:posOffset>
            </wp:positionV>
            <wp:extent cx="65176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tabs>
          <w:tab w:leader="none" w:pos="1000" w:val="left"/>
          <w:tab w:leader="none" w:pos="764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107950</wp:posOffset>
            </wp:positionV>
            <wp:extent cx="65176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20" w:right="7600" w:hanging="632"/>
        <w:spacing w:after="0" w:line="342"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36195</wp:posOffset>
            </wp:positionV>
            <wp:extent cx="65176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7</w:t>
            </w:r>
          </w:p>
        </w:tc>
        <w:tc>
          <w:tcPr>
            <w:tcW w:w="93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291,611,545 Common Units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280"/>
              <w:spacing w:after="0"/>
              <w:rPr>
                <w:sz w:val="20"/>
                <w:szCs w:val="20"/>
                <w:color w:val="auto"/>
              </w:rPr>
            </w:pPr>
            <w:r>
              <w:rPr>
                <w:rFonts w:ascii="Arial" w:cs="Arial" w:eastAsia="Arial" w:hAnsi="Arial"/>
                <w:sz w:val="18"/>
                <w:szCs w:val="18"/>
                <w:color w:val="auto"/>
              </w:rPr>
              <w:t>8</w:t>
            </w:r>
          </w:p>
        </w:tc>
        <w:tc>
          <w:tcPr>
            <w:tcW w:w="93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280"/>
              <w:spacing w:after="0"/>
              <w:rPr>
                <w:sz w:val="20"/>
                <w:szCs w:val="20"/>
                <w:color w:val="auto"/>
              </w:rPr>
            </w:pPr>
            <w:r>
              <w:rPr>
                <w:rFonts w:ascii="Arial" w:cs="Arial" w:eastAsia="Arial" w:hAnsi="Arial"/>
                <w:sz w:val="18"/>
                <w:szCs w:val="18"/>
                <w:color w:val="auto"/>
              </w:rPr>
              <w:t>9</w:t>
            </w:r>
          </w:p>
        </w:tc>
        <w:tc>
          <w:tcPr>
            <w:tcW w:w="93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291,611,545 Common Units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18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10</w:t>
            </w:r>
          </w:p>
        </w:tc>
        <w:tc>
          <w:tcPr>
            <w:tcW w:w="93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020" w:right="5420" w:hanging="6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291,611,545 Common Units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20" w:hanging="6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20" w:right="6340" w:hanging="6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40.3% of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66040</wp:posOffset>
            </wp:positionV>
            <wp:extent cx="65176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-671195</wp:posOffset>
            </wp:positionV>
            <wp:extent cx="65176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-1271270</wp:posOffset>
            </wp:positionV>
            <wp:extent cx="65176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240"/>
          </w:cols>
          <w:pgMar w:left="360" w:top="584" w:right="299" w:bottom="0" w:gutter="0" w:footer="0" w:header="0"/>
        </w:sectPr>
      </w:pPr>
    </w:p>
    <w:bookmarkStart w:id="5" w:name="page6"/>
    <w:bookmarkEnd w:id="5"/>
    <w:p>
      <w:pPr>
        <w:ind w:left="1140" w:hanging="632"/>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-413385</wp:posOffset>
            </wp:positionV>
            <wp:extent cx="65176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Amendment No. 1 to Schedule 13D (this “</w:t>
      </w:r>
      <w:r>
        <w:rPr>
          <w:rFonts w:ascii="Arial" w:cs="Arial" w:eastAsia="Arial" w:hAnsi="Arial"/>
          <w:sz w:val="18"/>
          <w:szCs w:val="18"/>
          <w:i w:val="1"/>
          <w:iCs w:val="1"/>
          <w:color w:val="auto"/>
        </w:rPr>
        <w:t>Amendment</w:t>
      </w:r>
      <w:r>
        <w:rPr>
          <w:rFonts w:ascii="Arial" w:cs="Arial" w:eastAsia="Arial" w:hAnsi="Arial"/>
          <w:sz w:val="18"/>
          <w:szCs w:val="18"/>
          <w:color w:val="auto"/>
        </w:rPr>
        <w:t>”) is being filed by each of Plains AAP, L.P., a Delaware limited partnership (“</w:t>
      </w:r>
      <w:r>
        <w:rPr>
          <w:rFonts w:ascii="Arial" w:cs="Arial" w:eastAsia="Arial" w:hAnsi="Arial"/>
          <w:sz w:val="18"/>
          <w:szCs w:val="18"/>
          <w:i w:val="1"/>
          <w:iCs w:val="1"/>
          <w:color w:val="auto"/>
        </w:rPr>
        <w:t>AAP</w:t>
      </w:r>
      <w:r>
        <w:rPr>
          <w:rFonts w:ascii="Arial" w:cs="Arial" w:eastAsia="Arial" w:hAnsi="Arial"/>
          <w:sz w:val="18"/>
          <w:szCs w:val="18"/>
          <w:color w:val="auto"/>
        </w:rPr>
        <w:t>”), Plains All American GP LLC, a Delaware limited liability company (“</w:t>
      </w:r>
      <w:r>
        <w:rPr>
          <w:rFonts w:ascii="Arial" w:cs="Arial" w:eastAsia="Arial" w:hAnsi="Arial"/>
          <w:sz w:val="18"/>
          <w:szCs w:val="18"/>
          <w:i w:val="1"/>
          <w:iCs w:val="1"/>
          <w:color w:val="auto"/>
        </w:rPr>
        <w:t>GP LLC</w:t>
      </w:r>
      <w:r>
        <w:rPr>
          <w:rFonts w:ascii="Arial" w:cs="Arial" w:eastAsia="Arial" w:hAnsi="Arial"/>
          <w:sz w:val="18"/>
          <w:szCs w:val="18"/>
          <w:color w:val="auto"/>
        </w:rPr>
        <w:t>”), Plains GP Holdings, L.P., a Delaware limited partnership (“</w:t>
      </w:r>
      <w:r>
        <w:rPr>
          <w:rFonts w:ascii="Arial" w:cs="Arial" w:eastAsia="Arial" w:hAnsi="Arial"/>
          <w:sz w:val="18"/>
          <w:szCs w:val="18"/>
          <w:i w:val="1"/>
          <w:iCs w:val="1"/>
          <w:color w:val="auto"/>
        </w:rPr>
        <w:t>PAGP</w:t>
      </w:r>
      <w:r>
        <w:rPr>
          <w:rFonts w:ascii="Arial" w:cs="Arial" w:eastAsia="Arial" w:hAnsi="Arial"/>
          <w:sz w:val="18"/>
          <w:szCs w:val="18"/>
          <w:color w:val="auto"/>
        </w:rPr>
        <w:t>”), and PAA GP Holdings LLC, a Delaware limited liability company (“</w:t>
      </w:r>
      <w:r>
        <w:rPr>
          <w:rFonts w:ascii="Arial" w:cs="Arial" w:eastAsia="Arial" w:hAnsi="Arial"/>
          <w:sz w:val="18"/>
          <w:szCs w:val="18"/>
          <w:i w:val="1"/>
          <w:iCs w:val="1"/>
          <w:color w:val="auto"/>
        </w:rPr>
        <w:t>PAGP GP</w:t>
      </w:r>
      <w:r>
        <w:rPr>
          <w:rFonts w:ascii="Arial" w:cs="Arial" w:eastAsia="Arial" w:hAnsi="Arial"/>
          <w:sz w:val="18"/>
          <w:szCs w:val="18"/>
          <w:color w:val="auto"/>
        </w:rPr>
        <w:t>” and, together with AAP, GP LLC and PAGP, the “</w:t>
      </w:r>
      <w:r>
        <w:rPr>
          <w:rFonts w:ascii="Arial" w:cs="Arial" w:eastAsia="Arial" w:hAnsi="Arial"/>
          <w:sz w:val="18"/>
          <w:szCs w:val="18"/>
          <w:i w:val="1"/>
          <w:iCs w:val="1"/>
          <w:color w:val="auto"/>
        </w:rPr>
        <w:t>Reporting Persons</w:t>
      </w:r>
      <w:r>
        <w:rPr>
          <w:rFonts w:ascii="Arial" w:cs="Arial" w:eastAsia="Arial" w:hAnsi="Arial"/>
          <w:sz w:val="18"/>
          <w:szCs w:val="18"/>
          <w:color w:val="auto"/>
        </w:rPr>
        <w:t>”), to amend the Schedule 13D filed on November 21, 2016 (the “</w:t>
      </w:r>
      <w:r>
        <w:rPr>
          <w:rFonts w:ascii="Arial" w:cs="Arial" w:eastAsia="Arial" w:hAnsi="Arial"/>
          <w:sz w:val="18"/>
          <w:szCs w:val="18"/>
          <w:i w:val="1"/>
          <w:iCs w:val="1"/>
          <w:color w:val="auto"/>
        </w:rPr>
        <w:t>Schedule 13D</w:t>
      </w:r>
      <w:r>
        <w:rPr>
          <w:rFonts w:ascii="Arial" w:cs="Arial" w:eastAsia="Arial" w:hAnsi="Arial"/>
          <w:sz w:val="18"/>
          <w:szCs w:val="18"/>
          <w:color w:val="auto"/>
        </w:rPr>
        <w:t>”). Unless otherwise indicated, all capitalized terms used herein but not defined herein shall have the same meanings ascribed to them in the Schedule 13D. This Amendment No. 1 amends and supplements the Schedule 13D as specifically set forth 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and supplemented by adding the following:</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On February 2, 2017 and February 28, 2017, an owner of AAP Class A units exercised its right to effect an AAP Unit Redemption (a “</w:t>
      </w:r>
      <w:r>
        <w:rPr>
          <w:rFonts w:ascii="Arial" w:cs="Arial" w:eastAsia="Arial" w:hAnsi="Arial"/>
          <w:sz w:val="18"/>
          <w:szCs w:val="18"/>
          <w:i w:val="1"/>
          <w:iCs w:val="1"/>
          <w:color w:val="auto"/>
        </w:rPr>
        <w:t>Redemption</w:t>
      </w:r>
      <w:r>
        <w:rPr>
          <w:rFonts w:ascii="Arial" w:cs="Arial" w:eastAsia="Arial" w:hAnsi="Arial"/>
          <w:sz w:val="18"/>
          <w:szCs w:val="18"/>
          <w:color w:val="auto"/>
        </w:rPr>
        <w:t xml:space="preserve"> </w:t>
      </w:r>
      <w:r>
        <w:rPr>
          <w:rFonts w:ascii="Arial" w:cs="Arial" w:eastAsia="Arial" w:hAnsi="Arial"/>
          <w:sz w:val="18"/>
          <w:szCs w:val="18"/>
          <w:i w:val="1"/>
          <w:iCs w:val="1"/>
          <w:color w:val="auto"/>
        </w:rPr>
        <w:t>Right</w:t>
      </w:r>
      <w:r>
        <w:rPr>
          <w:rFonts w:ascii="Arial" w:cs="Arial" w:eastAsia="Arial" w:hAnsi="Arial"/>
          <w:sz w:val="18"/>
          <w:szCs w:val="18"/>
          <w:color w:val="auto"/>
        </w:rPr>
        <w:t>”) with respect to 75,000 and 80,000 AAP Class A units, respectively, resulting in the cancellation of such AAP Class A units and the distribution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equal number of PAA Common Units from AAP to the redeeming partner.</w:t>
      </w:r>
    </w:p>
    <w:p>
      <w:pPr>
        <w:spacing w:after="0" w:line="181"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On December 30, 2016, two owners of AAP Class A units exercised Redemption Rights with respect to an aggregate 3,035,517 AAP Class A units, resulting in the cancellation of such AAP Class A units and the distribution of 3,035,517 PAA Common Units from AAP to the redeeming partners.</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Mr. Greg Armstrong, one of the Listed Persons included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disposed of an aggregate of 20,000 PAA Common Units pursuant to a gift transaction effected in January 2017.</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From December 28, 2016 through the date of this Amendment, PAGP sold an aggregate 1,786,326 Class A shares under its continuous equity offering program and used the net proceeds therefrom to purchase an equivalent number of AAP Class A units. AAP used such net proceeds to purchase an equivalent number of Common Units from PAA.</w:t>
      </w:r>
    </w:p>
    <w:p>
      <w:pPr>
        <w:spacing w:after="0" w:line="181"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On February 14, 2017, PAGP issued a total of 7,810 Class A shares in connection with the vesting of awards outstanding under its long-term incentive plan. In connection with such vesting and pursuant to the Omnibus Agreement, PAA issued a total of 7,810 Common Units to AAP.</w:t>
      </w:r>
    </w:p>
    <w:p>
      <w:pPr>
        <w:spacing w:after="0" w:line="12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February 23, 2017, PAGP entered into an underwriting agreement with the representative of the several underwriters named in Schedule I thereto (the “Underwriters”), relating to the issuance and sale by PAGP, and purchase by the Underwriters, of 42,000,000 Class A shares of PAGP. PAGP also granted the Underwriters a 30-day option to purchase up to 6,300,000 additional Class A shares (the “</w:t>
      </w:r>
      <w:r>
        <w:rPr>
          <w:rFonts w:ascii="Arial" w:cs="Arial" w:eastAsia="Arial" w:hAnsi="Arial"/>
          <w:sz w:val="17"/>
          <w:szCs w:val="17"/>
          <w:i w:val="1"/>
          <w:iCs w:val="1"/>
          <w:color w:val="auto"/>
        </w:rPr>
        <w:t>Over-Allotment Option</w:t>
      </w:r>
      <w:r>
        <w:rPr>
          <w:rFonts w:ascii="Arial" w:cs="Arial" w:eastAsia="Arial" w:hAnsi="Arial"/>
          <w:sz w:val="17"/>
          <w:szCs w:val="17"/>
          <w:color w:val="auto"/>
        </w:rPr>
        <w:t>”). On February 24, 2017, the Underwriters exercised in full their Over-Allotment Option. The PAGP offering closed on March 1, 2017. In connection with the closing of the PAGP offering and pursuant to the Omnibus Agreement, PAA issued 48,300,000 Common Units to AAP.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in its entirety by the following: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620" w:hanging="1304"/>
        <w:spacing w:after="0" w:line="342" w:lineRule="auto"/>
        <w:tabs>
          <w:tab w:leader="none" w:pos="13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AAP is the record and beneficial owner of 291,611,545 Common Units. Based on there being 723,404,994 Common Units outstanding as of March 1, 2017, AAP’s Common Units represent 40.3% of the outstanding Common Units at such time.</w:t>
      </w:r>
    </w:p>
    <w:p>
      <w:pPr>
        <w:spacing w:after="0" w:line="123" w:lineRule="exact"/>
        <w:rPr>
          <w:rFonts w:ascii="Arial" w:cs="Arial" w:eastAsia="Arial" w:hAnsi="Arial"/>
          <w:sz w:val="18"/>
          <w:szCs w:val="18"/>
          <w:color w:val="auto"/>
        </w:rPr>
      </w:pPr>
    </w:p>
    <w:p>
      <w:pPr>
        <w:ind w:left="1960" w:right="560" w:hanging="655"/>
        <w:spacing w:after="0" w:line="277" w:lineRule="auto"/>
        <w:tabs>
          <w:tab w:leader="none" w:pos="1967" w:val="left"/>
        </w:tabs>
        <w:numPr>
          <w:ilvl w:val="1"/>
          <w:numId w:val="27"/>
        </w:numPr>
        <w:rPr>
          <w:rFonts w:ascii="Arial" w:cs="Arial" w:eastAsia="Arial" w:hAnsi="Arial"/>
          <w:sz w:val="18"/>
          <w:szCs w:val="18"/>
          <w:color w:val="auto"/>
        </w:rPr>
      </w:pPr>
      <w:r>
        <w:rPr>
          <w:rFonts w:ascii="Arial" w:cs="Arial" w:eastAsia="Arial" w:hAnsi="Arial"/>
          <w:sz w:val="18"/>
          <w:szCs w:val="18"/>
          <w:color w:val="auto"/>
        </w:rPr>
        <w:t>GP LLC, PAGP and PAGP GP may, pursuant to Rule 13d-3, be deemed to be indirect beneficial owners of the 291,611,545 Common Units owned of record by AAP.</w:t>
      </w:r>
    </w:p>
    <w:p>
      <w:pPr>
        <w:spacing w:after="0" w:line="170" w:lineRule="exact"/>
        <w:rPr>
          <w:rFonts w:ascii="Arial" w:cs="Arial" w:eastAsia="Arial" w:hAnsi="Arial"/>
          <w:sz w:val="18"/>
          <w:szCs w:val="18"/>
          <w:color w:val="auto"/>
        </w:rPr>
      </w:pPr>
    </w:p>
    <w:p>
      <w:pPr>
        <w:ind w:right="480" w:firstLine="656"/>
        <w:spacing w:after="0" w:line="277" w:lineRule="auto"/>
        <w:tabs>
          <w:tab w:leader="none" w:pos="13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information set forth in Items 7 through 11 of the cover pages hereto is incorporated herein by reference. See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for the information applicable to the Listed Persons.</w:t>
      </w:r>
    </w:p>
    <w:p>
      <w:pPr>
        <w:spacing w:after="0" w:line="170" w:lineRule="exact"/>
        <w:rPr>
          <w:rFonts w:ascii="Arial" w:cs="Arial" w:eastAsia="Arial" w:hAnsi="Arial"/>
          <w:sz w:val="18"/>
          <w:szCs w:val="18"/>
          <w:color w:val="auto"/>
        </w:rPr>
      </w:pPr>
    </w:p>
    <w:p>
      <w:pPr>
        <w:ind w:right="40" w:firstLine="656"/>
        <w:spacing w:after="0" w:line="277" w:lineRule="auto"/>
        <w:tabs>
          <w:tab w:leader="none" w:pos="13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described elsewhere in this Schedule 13D (as amended), none of the Reporting Persons or, to the Reporting Persons’ knowledge, the Listed Persons has effected any transactions in the Common Units during the past 60 days.</w:t>
      </w:r>
    </w:p>
    <w:p>
      <w:pPr>
        <w:spacing w:after="0" w:line="170" w:lineRule="exact"/>
        <w:rPr>
          <w:rFonts w:ascii="Arial" w:cs="Arial" w:eastAsia="Arial" w:hAnsi="Arial"/>
          <w:sz w:val="18"/>
          <w:szCs w:val="18"/>
          <w:color w:val="auto"/>
        </w:rPr>
      </w:pPr>
    </w:p>
    <w:p>
      <w:pPr>
        <w:ind w:right="80" w:firstLine="656"/>
        <w:spacing w:after="0" w:line="264" w:lineRule="auto"/>
        <w:tabs>
          <w:tab w:leader="none" w:pos="13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owners of Class A units of AAP have the right to receive a pro rata portion of cash distributed in respect of the Common Units owned by AAP. EMG Investment, LLC, through its 15.6% economic ownership interest in AAP, has the right to receive such distributions in respect of approximately 6.3% of the outstanding Common Units as of March 1, 2017.</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59" w:gutter="0" w:footer="0" w:header="0"/>
        </w:sectPr>
      </w:pPr>
    </w:p>
    <w:bookmarkStart w:id="6" w:name="page7"/>
    <w:bookmarkEnd w:id="6"/>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7,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ind w:left="5720"/>
              <w:spacing w:after="0"/>
              <w:rPr>
                <w:sz w:val="20"/>
                <w:szCs w:val="20"/>
                <w:color w:val="auto"/>
              </w:rPr>
            </w:pPr>
            <w:r>
              <w:rPr>
                <w:rFonts w:ascii="Arial" w:cs="Arial" w:eastAsia="Arial" w:hAnsi="Arial"/>
                <w:sz w:val="18"/>
                <w:szCs w:val="18"/>
                <w:b w:val="1"/>
                <w:bCs w:val="1"/>
                <w:color w:val="auto"/>
                <w:w w:val="96"/>
              </w:rPr>
              <w:t>PLAINS AAP, L.P.</w:t>
            </w:r>
          </w:p>
        </w:tc>
        <w:tc>
          <w:tcPr>
            <w:tcW w:w="4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20" w:type="dxa"/>
            <w:vAlign w:val="bottom"/>
          </w:tcPr>
          <w:p>
            <w:pPr>
              <w:spacing w:after="0"/>
              <w:rPr>
                <w:sz w:val="16"/>
                <w:szCs w:val="16"/>
                <w:color w:val="auto"/>
              </w:rPr>
            </w:pPr>
          </w:p>
        </w:tc>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40"/>
              <w:spacing w:after="0"/>
              <w:rPr>
                <w:sz w:val="20"/>
                <w:szCs w:val="20"/>
                <w:color w:val="auto"/>
              </w:rPr>
            </w:pPr>
            <w:r>
              <w:rPr>
                <w:rFonts w:ascii="Arial" w:cs="Arial" w:eastAsia="Arial" w:hAnsi="Arial"/>
                <w:sz w:val="18"/>
                <w:szCs w:val="18"/>
                <w:color w:val="auto"/>
                <w:w w:val="90"/>
              </w:rPr>
              <w:t>Executive Vice President, General Counsel and Secretary</w:t>
            </w:r>
          </w:p>
        </w:tc>
        <w:tc>
          <w:tcPr>
            <w:tcW w:w="40" w:type="dxa"/>
            <w:vAlign w:val="bottom"/>
          </w:tcPr>
          <w:p>
            <w:pPr>
              <w:spacing w:after="0"/>
              <w:rPr>
                <w:sz w:val="20"/>
                <w:szCs w:val="20"/>
                <w:color w:val="auto"/>
              </w:rPr>
            </w:pPr>
          </w:p>
        </w:tc>
      </w:tr>
      <w:tr>
        <w:trPr>
          <w:trHeight w:val="432"/>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PLAINS ALL AMERICAN GP LLC</w:t>
            </w:r>
          </w:p>
        </w:tc>
        <w:tc>
          <w:tcPr>
            <w:tcW w:w="40" w:type="dxa"/>
            <w:vAlign w:val="bottom"/>
          </w:tcPr>
          <w:p>
            <w:pPr>
              <w:spacing w:after="0"/>
              <w:rPr>
                <w:sz w:val="24"/>
                <w:szCs w:val="24"/>
                <w:color w:val="auto"/>
              </w:rPr>
            </w:pPr>
          </w:p>
        </w:tc>
      </w:tr>
      <w:tr>
        <w:trPr>
          <w:trHeight w:val="648"/>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20" w:type="dxa"/>
            <w:vAlign w:val="bottom"/>
          </w:tcPr>
          <w:p>
            <w:pPr>
              <w:spacing w:after="0"/>
              <w:rPr>
                <w:sz w:val="16"/>
                <w:szCs w:val="16"/>
                <w:color w:val="auto"/>
              </w:rPr>
            </w:pPr>
          </w:p>
        </w:tc>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40"/>
              <w:spacing w:after="0"/>
              <w:rPr>
                <w:sz w:val="20"/>
                <w:szCs w:val="20"/>
                <w:color w:val="auto"/>
              </w:rPr>
            </w:pPr>
            <w:r>
              <w:rPr>
                <w:rFonts w:ascii="Arial" w:cs="Arial" w:eastAsia="Arial" w:hAnsi="Arial"/>
                <w:sz w:val="18"/>
                <w:szCs w:val="18"/>
                <w:color w:val="auto"/>
                <w:w w:val="90"/>
              </w:rPr>
              <w:t>Executive Vice President, General Counsel and Secretary</w:t>
            </w:r>
          </w:p>
        </w:tc>
        <w:tc>
          <w:tcPr>
            <w:tcW w:w="40" w:type="dxa"/>
            <w:vAlign w:val="bottom"/>
          </w:tcPr>
          <w:p>
            <w:pPr>
              <w:spacing w:after="0"/>
              <w:rPr>
                <w:sz w:val="20"/>
                <w:szCs w:val="20"/>
                <w:color w:val="auto"/>
              </w:rPr>
            </w:pPr>
          </w:p>
        </w:tc>
      </w:tr>
      <w:tr>
        <w:trPr>
          <w:trHeight w:val="432"/>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PLAINS GP HOLDINGS, L.P.</w:t>
            </w:r>
          </w:p>
        </w:tc>
        <w:tc>
          <w:tcPr>
            <w:tcW w:w="40" w:type="dxa"/>
            <w:vAlign w:val="bottom"/>
          </w:tcPr>
          <w:p>
            <w:pPr>
              <w:spacing w:after="0"/>
              <w:rPr>
                <w:sz w:val="24"/>
                <w:szCs w:val="24"/>
                <w:color w:val="auto"/>
              </w:rPr>
            </w:pPr>
          </w:p>
        </w:tc>
      </w:tr>
      <w:tr>
        <w:trPr>
          <w:trHeight w:val="648"/>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432"/>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20" w:type="dxa"/>
            <w:vAlign w:val="bottom"/>
          </w:tcPr>
          <w:p>
            <w:pPr>
              <w:spacing w:after="0"/>
              <w:rPr>
                <w:sz w:val="16"/>
                <w:szCs w:val="16"/>
                <w:color w:val="auto"/>
              </w:rPr>
            </w:pPr>
          </w:p>
        </w:tc>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40"/>
              <w:spacing w:after="0"/>
              <w:rPr>
                <w:sz w:val="20"/>
                <w:szCs w:val="20"/>
                <w:color w:val="auto"/>
              </w:rPr>
            </w:pPr>
            <w:r>
              <w:rPr>
                <w:rFonts w:ascii="Arial" w:cs="Arial" w:eastAsia="Arial" w:hAnsi="Arial"/>
                <w:sz w:val="18"/>
                <w:szCs w:val="18"/>
                <w:color w:val="auto"/>
                <w:w w:val="90"/>
              </w:rPr>
              <w:t>Executive Vice President, General Counsel and Secretary</w:t>
            </w:r>
          </w:p>
        </w:tc>
        <w:tc>
          <w:tcPr>
            <w:tcW w:w="40" w:type="dxa"/>
            <w:vAlign w:val="bottom"/>
          </w:tcPr>
          <w:p>
            <w:pPr>
              <w:spacing w:after="0"/>
              <w:rPr>
                <w:sz w:val="20"/>
                <w:szCs w:val="20"/>
                <w:color w:val="auto"/>
              </w:rPr>
            </w:pPr>
          </w:p>
        </w:tc>
      </w:tr>
      <w:tr>
        <w:trPr>
          <w:trHeight w:val="432"/>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PAA GP HOLDINGS LLC</w:t>
            </w:r>
          </w:p>
        </w:tc>
        <w:tc>
          <w:tcPr>
            <w:tcW w:w="40" w:type="dxa"/>
            <w:vAlign w:val="bottom"/>
          </w:tcPr>
          <w:p>
            <w:pPr>
              <w:spacing w:after="0"/>
              <w:rPr>
                <w:sz w:val="24"/>
                <w:szCs w:val="24"/>
                <w:color w:val="auto"/>
              </w:rPr>
            </w:pPr>
          </w:p>
        </w:tc>
      </w:tr>
      <w:tr>
        <w:trPr>
          <w:trHeight w:val="648"/>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20" w:type="dxa"/>
            <w:vAlign w:val="bottom"/>
          </w:tcPr>
          <w:p>
            <w:pPr>
              <w:spacing w:after="0"/>
              <w:rPr>
                <w:sz w:val="16"/>
                <w:szCs w:val="16"/>
                <w:color w:val="auto"/>
              </w:rPr>
            </w:pPr>
          </w:p>
        </w:tc>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40"/>
              <w:spacing w:after="0"/>
              <w:rPr>
                <w:sz w:val="20"/>
                <w:szCs w:val="20"/>
                <w:color w:val="auto"/>
              </w:rPr>
            </w:pPr>
            <w:r>
              <w:rPr>
                <w:rFonts w:ascii="Arial" w:cs="Arial" w:eastAsia="Arial" w:hAnsi="Arial"/>
                <w:sz w:val="18"/>
                <w:szCs w:val="18"/>
                <w:color w:val="auto"/>
                <w:w w:val="90"/>
              </w:rPr>
              <w:t>Executive Vice President, General Counsel and Secretary</w:t>
            </w:r>
          </w:p>
        </w:tc>
        <w:tc>
          <w:tcPr>
            <w:tcW w:w="40" w:type="dxa"/>
            <w:vAlign w:val="bottom"/>
          </w:tcPr>
          <w:p>
            <w:pPr>
              <w:spacing w:after="0"/>
              <w:rPr>
                <w:sz w:val="20"/>
                <w:szCs w:val="20"/>
                <w:color w:val="auto"/>
              </w:rPr>
            </w:pPr>
          </w:p>
        </w:tc>
      </w:tr>
      <w:tr>
        <w:trPr>
          <w:trHeight w:val="432"/>
        </w:trPr>
        <w:tc>
          <w:tcPr>
            <w:tcW w:w="6420" w:type="dxa"/>
            <w:vAlign w:val="bottom"/>
          </w:tcPr>
          <w:p>
            <w:pPr>
              <w:ind w:left="5660"/>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I to the Schedule 13D is hereby amended and restated in its entirety by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 L. Armstrong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Chairman of the Board and Director of PAA GP Holdings LLC and Chief Executive Officer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1,467,871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Harry N. Pefanis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President and Chief Operating Officer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847,532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Wilfred (Willie) C. Chiang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Executive Vice President and Chief Operating Officer (U.S.)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Nerbonne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Executive Vice President—Operations and Engineering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K. McGee</w:t>
      </w:r>
    </w:p>
    <w:p>
      <w:pPr>
        <w:sectPr>
          <w:pgSz w:w="11900" w:h="16883" w:orient="portrait"/>
          <w:cols w:equalWidth="0" w:num="1">
            <w:col w:w="11460"/>
          </w:cols>
          <w:pgMar w:left="240" w:top="580" w:right="199" w:bottom="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Executive Vice President, General Counsel and Secretary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113,420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 Swanson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Executive Vice President and Chief Financial Officer of 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60" w:right="4360" w:hanging="5652"/>
        <w:spacing w:after="0" w:line="528" w:lineRule="auto"/>
        <w:tabs>
          <w:tab w:leader="none" w:pos="3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GP LLC employs management and operational personnel of each of the Reporting Persons.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 Beneficially Owned: 100,998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P. vonBerg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Executive Vice President—Commercial Activities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Herbold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Vice President—Accounting and Chief Accounting Officer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34,227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 L. Armstrong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Principal Occupation</w:t>
      </w:r>
      <w:r>
        <w:rPr>
          <w:rFonts w:ascii="Arial" w:cs="Arial" w:eastAsia="Arial" w:hAnsi="Arial"/>
          <w:sz w:val="17"/>
          <w:szCs w:val="17"/>
          <w:color w:val="auto"/>
        </w:rPr>
        <w:t>: Chairman of the Board and Director of PAA GP Holdings LLC and Chief Executive Officer of Plains All American GP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1,467,871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Harry N. Pefanis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Director of PAA GP Holdings LLC and President and Chief Operating Officer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847,532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Wilfred (Willie) C. Chiang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Principal Occupation</w:t>
      </w:r>
      <w:r>
        <w:rPr>
          <w:rFonts w:ascii="Arial" w:cs="Arial" w:eastAsia="Arial" w:hAnsi="Arial"/>
          <w:sz w:val="16"/>
          <w:szCs w:val="16"/>
          <w:color w:val="auto"/>
        </w:rPr>
        <w:t>: Director of PAA GP Holdings LLC and Executive Vice President and Chief Operating Officer (U.S.) of Plains All American GP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T. Raymond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Owner and Founder of The Energy &amp; Minerals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40" w:firstLine="8"/>
        <w:spacing w:after="0" w:line="27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None of AAP, GP LLC or PAGP have a board of directors. PAGP GP’s board of directors functions as the board of directors for each of the Reporting Persons.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1,599,616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V. Sinnott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Co-Chairman of Kayne Anderson Capital Advisors,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346,393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Bernard (Ben) Figlock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PAA GP Holdings LLC,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Vice President and Treasurer at Occidental Petroleum Corporation</w:t>
      </w:r>
    </w:p>
    <w:p>
      <w:pPr>
        <w:sectPr>
          <w:pgSz w:w="11900" w:h="16838" w:orient="portrait"/>
          <w:cols w:equalWidth="0" w:num="1">
            <w:col w:w="11300"/>
          </w:cols>
          <w:pgMar w:left="240" w:top="125" w:right="359" w:bottom="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Everardo Goyanes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w:t>
      </w:r>
      <w:r>
        <w:rPr>
          <w:rFonts w:ascii="Arial" w:cs="Arial" w:eastAsia="Arial" w:hAnsi="Arial"/>
          <w:sz w:val="16"/>
          <w:szCs w:val="16"/>
          <w:color w:val="auto"/>
        </w:rPr>
        <w:t>: c/o PAA GP Holdings LLC, 333 Clay Street, Suite 1600, Houston, Texas 77002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Founder of Ex Cathedra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Beneficially Owned: 88,400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Taft Symonds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w:t>
      </w:r>
      <w:r>
        <w:rPr>
          <w:rFonts w:ascii="Arial" w:cs="Arial" w:eastAsia="Arial" w:hAnsi="Arial"/>
          <w:sz w:val="16"/>
          <w:szCs w:val="16"/>
          <w:color w:val="auto"/>
        </w:rPr>
        <w:t>: c/o PAA GP Holdings LLC, 333 Clay Street, Suite 1600, Houston, Texas 77002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Principal Occupation</w:t>
      </w:r>
      <w:r>
        <w:rPr>
          <w:rFonts w:ascii="Arial" w:cs="Arial" w:eastAsia="Arial" w:hAnsi="Arial"/>
          <w:sz w:val="17"/>
          <w:szCs w:val="17"/>
          <w:color w:val="auto"/>
        </w:rPr>
        <w:t>: Chairman of the Board of Symonds Investment Company,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104,050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Victor Burk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w:t>
      </w:r>
      <w:r>
        <w:rPr>
          <w:rFonts w:ascii="Arial" w:cs="Arial" w:eastAsia="Arial" w:hAnsi="Arial"/>
          <w:sz w:val="16"/>
          <w:szCs w:val="16"/>
          <w:color w:val="auto"/>
        </w:rPr>
        <w:t>: c/o PAA GP Holdings LLC, 333 Clay Street, Suite 1600, Houston, Texas 77002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Managing Director for Alvarez and Marsal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Beneficially Owned: 14,543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R. Petersen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w:t>
      </w:r>
      <w:r>
        <w:rPr>
          <w:rFonts w:ascii="Arial" w:cs="Arial" w:eastAsia="Arial" w:hAnsi="Arial"/>
          <w:sz w:val="16"/>
          <w:szCs w:val="16"/>
          <w:color w:val="auto"/>
        </w:rPr>
        <w:t>: c/o PAA GP Holdings LLC, 333 Clay Street, Suite 1600, Houston, Texas 77002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Managing Partner of EnCap Investments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Beneficially Owned: 49,450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Bobby S. Shackouls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w:t>
      </w:r>
      <w:r>
        <w:rPr>
          <w:rFonts w:ascii="Arial" w:cs="Arial" w:eastAsia="Arial" w:hAnsi="Arial"/>
          <w:sz w:val="16"/>
          <w:szCs w:val="16"/>
          <w:color w:val="auto"/>
        </w:rPr>
        <w:t>: c/o PAA GP Holdings LLC, 333 Clay Street, Suite 1600, Houston, Texas 77002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Retired Chairman, Burlington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Beneficially Owned: 19,418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M. Temple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w:t>
      </w:r>
      <w:r>
        <w:rPr>
          <w:rFonts w:ascii="Arial" w:cs="Arial" w:eastAsia="Arial" w:hAnsi="Arial"/>
          <w:sz w:val="16"/>
          <w:szCs w:val="16"/>
          <w:color w:val="auto"/>
        </w:rPr>
        <w:t>: c/o PAA GP Holdings LLC, 333 Clay Street, Suite 1600, Houston, Texas 77002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President of DelTex Capital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31,250</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2"/>
      <w:numFmt w:val="bullet"/>
      <w:start w:val="1"/>
    </w:lvl>
    <w:lvl w:ilvl="1">
      <w:lvlJc w:val="left"/>
      <w:lvlText w:val="(%2)"/>
      <w:numFmt w:val="lowerLetter"/>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4"/>
      <w:numFmt w:val="bullet"/>
      <w:start w:val="1"/>
    </w:lvl>
  </w:abstractNum>
  <w:abstractNum w:abstractNumId="5">
    <w:nsid w:val="519B500D"/>
    <w:multiLevelType w:val="hybridMultilevel"/>
    <w:lvl w:ilvl="0">
      <w:lvlJc w:val="left"/>
      <w:lvlText w:val="6"/>
      <w:numFmt w:val="bullet"/>
      <w:start w:val="1"/>
    </w:lvl>
  </w:abstractNum>
  <w:abstractNum w:abstractNumId="6">
    <w:nsid w:val="431BD7B7"/>
    <w:multiLevelType w:val="hybridMultilevel"/>
    <w:lvl w:ilvl="0">
      <w:lvlJc w:val="left"/>
      <w:lvlText w:val="*"/>
      <w:numFmt w:val="bullet"/>
      <w:start w:val="1"/>
    </w:lvl>
    <w:lvl w:ilvl="1">
      <w:lvlJc w:val="left"/>
      <w:lvlText w:val="%2"/>
      <w:numFmt w:val="decimal"/>
      <w:start w:val="1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2"/>
      <w:numFmt w:val="bullet"/>
      <w:start w:val="1"/>
    </w:lvl>
    <w:lvl w:ilvl="1">
      <w:lvlJc w:val="left"/>
      <w:lvlText w:val="(%2)"/>
      <w:numFmt w:val="lowerLetter"/>
      <w:start w:val="1"/>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4"/>
      <w:numFmt w:val="bullet"/>
      <w:start w:val="1"/>
    </w:lvl>
  </w:abstractNum>
  <w:abstractNum w:abstractNumId="11">
    <w:nsid w:val="436C6125"/>
    <w:multiLevelType w:val="hybridMultilevel"/>
    <w:lvl w:ilvl="0">
      <w:lvlJc w:val="left"/>
      <w:lvlText w:val="6"/>
      <w:numFmt w:val="bullet"/>
      <w:start w:val="1"/>
    </w:lvl>
  </w:abstractNum>
  <w:abstractNum w:abstractNumId="12">
    <w:nsid w:val="628C895D"/>
    <w:multiLevelType w:val="hybridMultilevel"/>
    <w:lvl w:ilvl="0">
      <w:lvlJc w:val="left"/>
      <w:lvlText w:val="*"/>
      <w:numFmt w:val="bullet"/>
      <w:start w:val="1"/>
    </w:lvl>
    <w:lvl w:ilvl="1">
      <w:lvlJc w:val="left"/>
      <w:lvlText w:val="%2"/>
      <w:numFmt w:val="decimal"/>
      <w:start w:val="11"/>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2"/>
      <w:numFmt w:val="bullet"/>
      <w:start w:val="1"/>
    </w:lvl>
    <w:lvl w:ilvl="1">
      <w:lvlJc w:val="left"/>
      <w:lvlText w:val="(%2)"/>
      <w:numFmt w:val="lowerLetter"/>
      <w:start w:val="1"/>
    </w:lvl>
  </w:abstractNum>
  <w:abstractNum w:abstractNumId="15">
    <w:nsid w:val="2443A858"/>
    <w:multiLevelType w:val="hybridMultilevel"/>
    <w:lvl w:ilvl="0">
      <w:lvlJc w:val="left"/>
      <w:lvlText w:val="3"/>
      <w:numFmt w:val="bullet"/>
      <w:start w:val="1"/>
    </w:lvl>
  </w:abstractNum>
  <w:abstractNum w:abstractNumId="16">
    <w:nsid w:val="2D1D5AE9"/>
    <w:multiLevelType w:val="hybridMultilevel"/>
    <w:lvl w:ilvl="0">
      <w:lvlJc w:val="left"/>
      <w:lvlText w:val="4"/>
      <w:numFmt w:val="bullet"/>
      <w:start w:val="1"/>
    </w:lvl>
  </w:abstractNum>
  <w:abstractNum w:abstractNumId="17">
    <w:nsid w:val="6763845E"/>
    <w:multiLevelType w:val="hybridMultilevel"/>
    <w:lvl w:ilvl="0">
      <w:lvlJc w:val="left"/>
      <w:lvlText w:val="6"/>
      <w:numFmt w:val="bullet"/>
      <w:start w:val="1"/>
    </w:lvl>
  </w:abstractNum>
  <w:abstractNum w:abstractNumId="18">
    <w:nsid w:val="75A2A8D4"/>
    <w:multiLevelType w:val="hybridMultilevel"/>
    <w:lvl w:ilvl="0">
      <w:lvlJc w:val="left"/>
      <w:lvlText w:val="*"/>
      <w:numFmt w:val="bullet"/>
      <w:start w:val="1"/>
    </w:lvl>
    <w:lvl w:ilvl="1">
      <w:lvlJc w:val="left"/>
      <w:lvlText w:val="%2"/>
      <w:numFmt w:val="decimal"/>
      <w:start w:val="11"/>
    </w:lvl>
  </w:abstractNum>
  <w:abstractNum w:abstractNumId="19">
    <w:nsid w:val="8EDBDAB"/>
    <w:multiLevelType w:val="hybridMultilevel"/>
    <w:lvl w:ilvl="0">
      <w:lvlJc w:val="left"/>
      <w:lvlText w:val="1"/>
      <w:numFmt w:val="bullet"/>
      <w:start w:val="1"/>
    </w:lvl>
  </w:abstractNum>
  <w:abstractNum w:abstractNumId="20">
    <w:nsid w:val="79838CB2"/>
    <w:multiLevelType w:val="hybridMultilevel"/>
    <w:lvl w:ilvl="0">
      <w:lvlJc w:val="left"/>
      <w:lvlText w:val="2"/>
      <w:numFmt w:val="bullet"/>
      <w:start w:val="1"/>
    </w:lvl>
    <w:lvl w:ilvl="1">
      <w:lvlJc w:val="left"/>
      <w:lvlText w:val="(%2)"/>
      <w:numFmt w:val="lowerLetter"/>
      <w:start w:val="1"/>
    </w:lvl>
  </w:abstractNum>
  <w:abstractNum w:abstractNumId="21">
    <w:nsid w:val="4353D0CD"/>
    <w:multiLevelType w:val="hybridMultilevel"/>
    <w:lvl w:ilvl="0">
      <w:lvlJc w:val="left"/>
      <w:lvlText w:val="3"/>
      <w:numFmt w:val="bullet"/>
      <w:start w:val="1"/>
    </w:lvl>
  </w:abstractNum>
  <w:abstractNum w:abstractNumId="22">
    <w:nsid w:val="B03E0C6"/>
    <w:multiLevelType w:val="hybridMultilevel"/>
    <w:lvl w:ilvl="0">
      <w:lvlJc w:val="left"/>
      <w:lvlText w:val="4"/>
      <w:numFmt w:val="bullet"/>
      <w:start w:val="1"/>
    </w:lvl>
  </w:abstractNum>
  <w:abstractNum w:abstractNumId="23">
    <w:nsid w:val="189A769B"/>
    <w:multiLevelType w:val="hybridMultilevel"/>
    <w:lvl w:ilvl="0">
      <w:lvlJc w:val="left"/>
      <w:lvlText w:val="6"/>
      <w:numFmt w:val="bullet"/>
      <w:start w:val="1"/>
    </w:lvl>
  </w:abstractNum>
  <w:abstractNum w:abstractNumId="24">
    <w:nsid w:val="54E49EB4"/>
    <w:multiLevelType w:val="hybridMultilevel"/>
    <w:lvl w:ilvl="0">
      <w:lvlJc w:val="left"/>
      <w:lvlText w:val="%1"/>
      <w:numFmt w:val="decimal"/>
      <w:start w:val="11"/>
    </w:lvl>
  </w:abstractNum>
  <w:abstractNum w:abstractNumId="25">
    <w:nsid w:val="71F32454"/>
    <w:multiLevelType w:val="hybridMultilevel"/>
    <w:lvl w:ilvl="0">
      <w:lvlJc w:val="left"/>
      <w:lvlText w:val="*"/>
      <w:numFmt w:val="bullet"/>
      <w:start w:val="1"/>
    </w:lvl>
    <w:lvl w:ilvl="1">
      <w:lvlJc w:val="left"/>
      <w:lvlText w:val="%2"/>
      <w:numFmt w:val="decimal"/>
      <w:start w:val="14"/>
    </w:lvl>
  </w:abstractNum>
  <w:abstractNum w:abstractNumId="26">
    <w:nsid w:val="2CA88611"/>
    <w:multiLevelType w:val="hybridMultilevel"/>
    <w:lvl w:ilvl="0">
      <w:lvlJc w:val="left"/>
      <w:lvlText w:val="(%1)"/>
      <w:numFmt w:val="lowerLetter"/>
      <w:start w:val="1"/>
    </w:lvl>
    <w:lvl w:ilvl="1">
      <w:lvlJc w:val="left"/>
      <w:lvlText w:val="(%2)"/>
      <w:numFmt w:val="decimal"/>
      <w:start w:val="2"/>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2020-01-16T13:33:26Z</dcterms:created>
  <dcterms:modified xsi:type="dcterms:W3CDTF">2020-01-16T13:33:26Z</dcterms:modified>
</cp:coreProperties>
</file>