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9, 2025</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May 9, 2025, the Registrant issued a press release reporting its first-quarter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rPr>
              <w:t>Press Release dated May 9, 2025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First-Quarter 2025 Results</w:t>
      </w:r>
    </w:p>
    <w:p>
      <w:pPr>
        <w:spacing w:after="0" w:line="24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Houston, TX – May 9, 2025 – Plains All American Pipeline, L.P. (Nasdaq: PAA) and Plains GP Holdings (Nasdaq: PAGP) today reported first-quarter 2025 results and provided the following highlights: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Results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$443 million and net cash provided by operating activities of $639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Adjusted EBITDA attributable to PAA of $754 million</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the quarter with 3.3x leverage ratio, toward the low end of our target range of 3.25x - 3.75x (includes previously announced and closed transactions)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 quarterly cash distribution of $0.38 per unit ($1.52 per unit annualized), representing a current distribution yield of ~9.0%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48" w:lineRule="exact"/>
        <w:rPr>
          <w:sz w:val="20"/>
          <w:szCs w:val="20"/>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acquired the remaining 50% interest in Cheyenne Pipeline, enhancing our integration from the Guernsey market to pipelines supplying Cushing, Oklahoma, which closed on February 28, 2025</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acquired Black Knight Midstream’s Permian Basin crude oil gathering business, for approximately $55 million, which closed effective May 1, 2025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Placed into service the 30 Mb/d Fort Saskatchewan fractionation complex debottleneck project enhancing our fee-based cash flow in Canada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2025 C3+ spec product sales hedge profile to approximately 80% at approximately $0.70 per gallon level</w:t>
      </w:r>
    </w:p>
    <w:p>
      <w:pPr>
        <w:spacing w:after="0" w:line="200" w:lineRule="exact"/>
        <w:rPr>
          <w:sz w:val="20"/>
          <w:szCs w:val="20"/>
          <w:color w:val="auto"/>
        </w:rPr>
      </w:pPr>
    </w:p>
    <w:p>
      <w:pPr>
        <w:spacing w:after="0" w:line="3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“Plains delivered another quarter of solid operational and financial performance,” said Willie Chiang, Chairman and CEO. “Substantial cash flow generation from our integrated Crude Oil and NGL footprints coupled with a strong balance sheet positions us well through a time of market volatility and uncertainty. Our focus on efficient growth remains consistent with the addition of two new bolt-on acquisitions and our Fort Saskatchewan fractionation complex debottleneck project now in service. Finally, our commitment to financial discipline and financial flexibility remains unchanged while continuing to return cash to unitholders through a strong distribution payout.”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81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60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(2)</w:t>
            </w:r>
          </w:p>
        </w:tc>
        <w:tc>
          <w:tcPr>
            <w:tcW w:w="20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81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(Excluding Changes in Assets &amp; Liabilities)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ind w:left="340" w:right="12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(the “Permian JV”), Cactus II Pipeline LLC and Red River Pipeline LLC joint ventures.</w:t>
      </w:r>
    </w:p>
    <w:p>
      <w:pPr>
        <w:spacing w:after="0" w:line="36" w:lineRule="exact"/>
        <w:rPr>
          <w:rFonts w:ascii="Times New Roman" w:cs="Times New Roman" w:eastAsia="Times New Roman" w:hAnsi="Times New Roman"/>
          <w:sz w:val="23"/>
          <w:szCs w:val="23"/>
          <w:color w:val="auto"/>
          <w:vertAlign w:val="superscript"/>
        </w:rPr>
      </w:pPr>
    </w:p>
    <w:p>
      <w:pPr>
        <w:jc w:val="both"/>
        <w:ind w:left="340" w:right="24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period includes the impact of a net cash outflow of $624 million for bolt-on acquisitions.</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11"/>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380" w:type="dxa"/>
            <w:vAlign w:val="bottom"/>
          </w:tcPr>
          <w:p>
            <w:pPr>
              <w:spacing w:after="0"/>
              <w:rPr>
                <w:sz w:val="18"/>
                <w:szCs w:val="18"/>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March 31, 2024</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in Segment Adjusted EBITDA versus 2024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First-quarter 2025 Crude Oil Segment Adjusted EBITDA was in line with comparable 2024 results. Favorable results in the 2025 period from (i) higher tariff volumes on our pipelines, (ii) tariff escalations and (iii) contributions from recently completed bolt-on acquisitions were largely offset by (iv) higher operating expenses and (v) the impact to our assets from refinery downtime.</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First-quarter 2025 NGL Segment Adjusted EBITDA increased 19% versus comparable 2024 results primarily due to higher weighted average frac spreads and NGL sales volumes in the first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May 9, 2025 to discuss first-quarter performance and related items.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https://edge.media-server.com/mmc/p/qqvgtyoa/</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135" w:lineRule="exact"/>
        <w:rPr>
          <w:sz w:val="20"/>
          <w:szCs w:val="20"/>
          <w:color w:val="auto"/>
        </w:rPr>
      </w:pPr>
    </w:p>
    <w:p>
      <w:pPr>
        <w:ind w:right="200" w:firstLine="648"/>
        <w:spacing w:after="0" w:line="272" w:lineRule="auto"/>
        <w:rPr>
          <w:sz w:val="20"/>
          <w:szCs w:val="20"/>
          <w:color w:val="auto"/>
        </w:rPr>
      </w:pPr>
      <w:r>
        <w:rPr>
          <w:rFonts w:ascii="Times New Roman" w:cs="Times New Roman" w:eastAsia="Times New Roman" w:hAnsi="Times New Roman"/>
          <w:sz w:val="17"/>
          <w:szCs w:val="17"/>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on investments in unconsolidated entities, net and</w:t>
      </w:r>
    </w:p>
    <w:p>
      <w:pPr>
        <w:spacing w:after="0" w:line="2" w:lineRule="exact"/>
        <w:rPr>
          <w:sz w:val="20"/>
          <w:szCs w:val="20"/>
          <w:color w:val="auto"/>
        </w:rPr>
      </w:pPr>
    </w:p>
    <w:p>
      <w:pPr>
        <w:ind w:right="940" w:firstLine="8"/>
        <w:spacing w:after="0" w:line="290" w:lineRule="auto"/>
        <w:tabs>
          <w:tab w:leader="none" w:pos="30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on promissory notes by and among PAA and certain Plains entities, and (vii) adjusted for certain selected items impacting comparability. Adjusted EBITDA attributable to PAA excludes the portion of Adjusted EBITDA that is attributable to noncontrolling interests.</w:t>
      </w:r>
    </w:p>
    <w:p>
      <w:pPr>
        <w:spacing w:after="0" w:line="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7"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r>
      <w:tr>
        <w:trPr>
          <w:trHeight w:val="257"/>
        </w:trPr>
        <w:tc>
          <w:tcPr>
            <w:tcW w:w="388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r>
      <w:tr>
        <w:trPr>
          <w:trHeight w:val="257"/>
        </w:trPr>
        <w:tc>
          <w:tcPr>
            <w:tcW w:w="388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56"/>
        </w:trPr>
        <w:tc>
          <w:tcPr>
            <w:tcW w:w="388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income/(expense), net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38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38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8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3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0" w:lineRule="exact"/>
        <w:rPr>
          <w:sz w:val="20"/>
          <w:szCs w:val="20"/>
          <w:color w:val="auto"/>
        </w:rPr>
      </w:pPr>
    </w:p>
    <w:p>
      <w:pPr>
        <w:ind w:left="340" w:right="80" w:hanging="332"/>
        <w:spacing w:after="0" w:line="251" w:lineRule="auto"/>
        <w:tabs>
          <w:tab w:leader="none" w:pos="32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PAA and certain Plains entities have issued promissory notes by and among such entities to facilitate financing. “Interest expense, net” and “Other income/(expense), net” each include $20 million for the three months ended March 31, 2025 related to interest on such related party promissory notes. These amounts offset and do not impact Net Income or Non-GAAP metrics such as Adjusted EBITDA, Implied DCF and Adjusted Free Cash Flow.</w:t>
      </w:r>
    </w:p>
    <w:p>
      <w:pPr>
        <w:spacing w:after="0" w:line="150" w:lineRule="exact"/>
        <w:rPr>
          <w:rFonts w:ascii="Times New Roman" w:cs="Times New Roman" w:eastAsia="Times New Roman" w:hAnsi="Times New Roman"/>
          <w:sz w:val="22"/>
          <w:szCs w:val="22"/>
          <w:color w:val="auto"/>
          <w:vertAlign w:val="superscript"/>
        </w:rPr>
      </w:pPr>
    </w:p>
    <w:p>
      <w:pPr>
        <w:ind w:left="5440" w:hanging="106"/>
        <w:spacing w:after="0"/>
        <w:tabs>
          <w:tab w:leader="none" w:pos="54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and cash equivalents of $427 and $348, respectively)</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 more -</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8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5"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49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0" w:type="dxa"/>
            <w:vAlign w:val="bottom"/>
          </w:tcPr>
          <w:p>
            <w:pPr>
              <w:spacing w:after="0"/>
              <w:rPr>
                <w:sz w:val="18"/>
                <w:szCs w:val="18"/>
                <w:color w:val="auto"/>
              </w:rPr>
            </w:pPr>
          </w:p>
        </w:tc>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60" w:type="dxa"/>
            <w:vAlign w:val="bottom"/>
          </w:tcPr>
          <w:p>
            <w:pPr>
              <w:spacing w:after="0"/>
              <w:rPr>
                <w:sz w:val="19"/>
                <w:szCs w:val="19"/>
                <w:color w:val="auto"/>
              </w:rPr>
            </w:pPr>
          </w:p>
        </w:tc>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0" w:type="dxa"/>
            <w:vAlign w:val="bottom"/>
          </w:tcPr>
          <w:p>
            <w:pPr>
              <w:spacing w:after="0"/>
              <w:rPr>
                <w:sz w:val="19"/>
                <w:szCs w:val="19"/>
                <w:color w:val="auto"/>
              </w:rPr>
            </w:pPr>
          </w:p>
        </w:tc>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0" w:type="dxa"/>
            <w:vAlign w:val="bottom"/>
          </w:tcPr>
          <w:p>
            <w:pPr>
              <w:spacing w:after="0"/>
              <w:rPr>
                <w:sz w:val="19"/>
                <w:szCs w:val="19"/>
                <w:color w:val="auto"/>
              </w:rPr>
            </w:pPr>
          </w:p>
        </w:tc>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0" w:type="dxa"/>
            <w:vAlign w:val="bottom"/>
          </w:tcPr>
          <w:p>
            <w:pPr>
              <w:spacing w:after="0"/>
              <w:rPr>
                <w:sz w:val="19"/>
                <w:szCs w:val="19"/>
                <w:color w:val="auto"/>
              </w:rPr>
            </w:pPr>
          </w:p>
        </w:tc>
        <w:tc>
          <w:tcPr>
            <w:tcW w:w="87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 w:type="dxa"/>
            <w:vAlign w:val="bottom"/>
          </w:tcPr>
          <w:p>
            <w:pPr>
              <w:spacing w:after="0"/>
              <w:rPr>
                <w:sz w:val="19"/>
                <w:szCs w:val="19"/>
                <w:color w:val="auto"/>
              </w:rPr>
            </w:pPr>
          </w:p>
        </w:tc>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 w:type="dxa"/>
            <w:vAlign w:val="bottom"/>
          </w:tcPr>
          <w:p>
            <w:pPr>
              <w:spacing w:after="0"/>
              <w:rPr>
                <w:sz w:val="19"/>
                <w:szCs w:val="19"/>
                <w:color w:val="auto"/>
              </w:rPr>
            </w:pP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6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6"/>
        </w:trPr>
        <w:tc>
          <w:tcPr>
            <w:tcW w:w="60" w:type="dxa"/>
            <w:vAlign w:val="bottom"/>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49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60" w:type="dxa"/>
            <w:vAlign w:val="bottom"/>
          </w:tcPr>
          <w:p>
            <w:pPr>
              <w:spacing w:after="0"/>
              <w:rPr>
                <w:sz w:val="19"/>
                <w:szCs w:val="19"/>
                <w:color w:val="auto"/>
              </w:rPr>
            </w:pPr>
          </w:p>
        </w:tc>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8"/>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130" w:lineRule="exact"/>
        <w:rPr>
          <w:sz w:val="20"/>
          <w:szCs w:val="20"/>
          <w:color w:val="auto"/>
        </w:rPr>
      </w:pPr>
    </w:p>
    <w:p>
      <w:pPr>
        <w:ind w:left="340" w:right="16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6" w:lineRule="exact"/>
        <w:rPr>
          <w:rFonts w:ascii="Times New Roman" w:cs="Times New Roman" w:eastAsia="Times New Roman" w:hAnsi="Times New Roman"/>
          <w:sz w:val="23"/>
          <w:szCs w:val="23"/>
          <w:color w:val="auto"/>
          <w:vertAlign w:val="superscript"/>
        </w:rPr>
      </w:pPr>
    </w:p>
    <w:p>
      <w:pPr>
        <w:ind w:left="340" w:right="100" w:hanging="332"/>
        <w:spacing w:after="0" w:line="235"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37" w:lineRule="exact"/>
        <w:rPr>
          <w:rFonts w:ascii="Times New Roman" w:cs="Times New Roman" w:eastAsia="Times New Roman" w:hAnsi="Times New Roman"/>
          <w:sz w:val="23"/>
          <w:szCs w:val="23"/>
          <w:color w:val="auto"/>
          <w:vertAlign w:val="superscript"/>
        </w:rPr>
      </w:pPr>
    </w:p>
    <w:p>
      <w:pPr>
        <w:ind w:left="340" w:right="40" w:hanging="332"/>
        <w:spacing w:after="0" w:line="22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each of the three months ended March 31, 2025 and 2024 as the effect was antidilutive.</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asset sales,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108"/>
        </w:trPr>
        <w:tc>
          <w:tcPr>
            <w:tcW w:w="3880" w:type="dxa"/>
            <w:vAlign w:val="bottom"/>
            <w:shd w:val="clear" w:color="auto" w:fill="CCEEFF"/>
          </w:tcPr>
          <w:p>
            <w:pPr>
              <w:spacing w:after="0"/>
              <w:rPr>
                <w:sz w:val="9"/>
                <w:szCs w:val="9"/>
                <w:color w:val="auto"/>
              </w:rPr>
            </w:pPr>
          </w:p>
        </w:tc>
        <w:tc>
          <w:tcPr>
            <w:tcW w:w="48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08"/>
        </w:trPr>
        <w:tc>
          <w:tcPr>
            <w:tcW w:w="388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1" w:lineRule="exact"/>
        <w:rPr>
          <w:sz w:val="20"/>
          <w:szCs w:val="20"/>
          <w:color w:val="auto"/>
        </w:rPr>
      </w:pPr>
    </w:p>
    <w:p>
      <w:pPr>
        <w:ind w:left="340" w:right="100" w:hanging="332"/>
        <w:spacing w:after="0" w:line="234" w:lineRule="auto"/>
        <w:tabs>
          <w:tab w:leader="none" w:pos="334"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PAA and certain Plains entities have issued promissory notes by and among such entities to facilitate financing. For the three months ended March 31, 2025, “Net cash 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spacing w:after="0" w:line="15" w:lineRule="exact"/>
        <w:rPr>
          <w:rFonts w:ascii="Times New Roman" w:cs="Times New Roman" w:eastAsia="Times New Roman" w:hAnsi="Times New Roman"/>
          <w:sz w:val="20"/>
          <w:szCs w:val="20"/>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2025 period includes a net cash outflow of $624 million for bolt-on acquisitions.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 xml:space="preserve">Net to PAA </w:t>
            </w:r>
            <w:r>
              <w:rPr>
                <w:rFonts w:ascii="Times New Roman" w:cs="Times New Roman" w:eastAsia="Times New Roman" w:hAnsi="Times New Roman"/>
                <w:sz w:val="9"/>
                <w:szCs w:val="9"/>
                <w:b w:val="1"/>
                <w:bCs w:val="1"/>
                <w:color w:val="auto"/>
                <w:w w:val="99"/>
              </w:rPr>
              <w:t>(1)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r>
      <w:tr>
        <w:trPr>
          <w:trHeight w:val="131"/>
        </w:trPr>
        <w:tc>
          <w:tcPr>
            <w:tcW w:w="38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4"/>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60" w:type="dxa"/>
            <w:vAlign w:val="bottom"/>
            <w:gridSpan w:val="4"/>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3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2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w w:val="85"/>
              </w:rPr>
              <w:t>(1)</w:t>
            </w: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Excludes expenditures attributable to noncontrolling interests.</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5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5700" w:type="dxa"/>
            <w:vAlign w:val="bottom"/>
          </w:tcPr>
          <w:p>
            <w:pPr>
              <w:ind w:left="5120"/>
              <w:spacing w:after="0"/>
              <w:rPr>
                <w:sz w:val="20"/>
                <w:szCs w:val="20"/>
                <w:color w:val="auto"/>
              </w:rPr>
            </w:pPr>
            <w:r>
              <w:rPr>
                <w:rFonts w:ascii="Times New Roman" w:cs="Times New Roman" w:eastAsia="Times New Roman" w:hAnsi="Times New Roman"/>
                <w:sz w:val="18"/>
                <w:szCs w:val="18"/>
                <w:color w:val="auto"/>
                <w:w w:val="96"/>
              </w:rPr>
              <w:t>- more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8"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p>
    <w:p>
      <w:pPr>
        <w:spacing w:after="0" w:line="226"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8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8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(3)</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70"/>
        </w:trPr>
        <w:tc>
          <w:tcPr>
            <w:tcW w:w="388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35" w:lineRule="exact"/>
        <w:rPr>
          <w:sz w:val="20"/>
          <w:szCs w:val="20"/>
          <w:color w:val="auto"/>
        </w:rPr>
      </w:pPr>
    </w:p>
    <w:p>
      <w:pPr>
        <w:ind w:left="340" w:right="420" w:hanging="332"/>
        <w:spacing w:after="0" w:line="239"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57" w:lineRule="exact"/>
        <w:rPr>
          <w:rFonts w:ascii="Times New Roman" w:cs="Times New Roman" w:eastAsia="Times New Roman" w:hAnsi="Times New Roman"/>
          <w:sz w:val="21"/>
          <w:szCs w:val="21"/>
          <w:color w:val="auto"/>
          <w:vertAlign w:val="superscript"/>
        </w:rPr>
      </w:pPr>
    </w:p>
    <w:p>
      <w:pPr>
        <w:ind w:left="340" w:right="40" w:hanging="332"/>
        <w:spacing w:after="0" w:line="224"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6"/>
          <w:szCs w:val="16"/>
          <w:color w:val="auto"/>
        </w:rPr>
        <w:t>e repurchased approximately 12.7 million Series A preferred units on January 31, 2025. The difference between the cash we paid for the repurchase of such units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their carrying value on our balance sheet is considered a return to Series A preferred unitholders for the calculation of adjusted net income allocated to common unitholders.</w:t>
      </w:r>
    </w:p>
    <w:p>
      <w:pPr>
        <w:spacing w:after="0" w:line="46" w:lineRule="exact"/>
        <w:rPr>
          <w:rFonts w:ascii="Times New Roman" w:cs="Times New Roman" w:eastAsia="Times New Roman" w:hAnsi="Times New Roman"/>
          <w:sz w:val="21"/>
          <w:szCs w:val="21"/>
          <w:color w:val="auto"/>
          <w:vertAlign w:val="superscript"/>
        </w:rPr>
      </w:pPr>
    </w:p>
    <w:p>
      <w:pPr>
        <w:ind w:left="340" w:right="60" w:hanging="332"/>
        <w:spacing w:after="0" w:line="22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each of the three months ended March 31, 2025 and 2024 as the effect was antidilutive.</w:t>
      </w:r>
    </w:p>
    <w:p>
      <w:pPr>
        <w:spacing w:after="0" w:line="33" w:lineRule="exact"/>
        <w:rPr>
          <w:rFonts w:ascii="Times New Roman" w:cs="Times New Roman" w:eastAsia="Times New Roman" w:hAnsi="Times New Roman"/>
          <w:sz w:val="21"/>
          <w:szCs w:val="21"/>
          <w:color w:val="auto"/>
          <w:vertAlign w:val="superscript"/>
        </w:rPr>
      </w:pPr>
    </w:p>
    <w:p>
      <w:pPr>
        <w:ind w:left="340" w:right="120" w:hanging="332"/>
        <w:spacing w:after="0" w:line="244"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Adjusted Net Income Per Common Unit Reconciliation:</w:t>
      </w:r>
    </w:p>
    <w:p>
      <w:pPr>
        <w:spacing w:after="0" w:line="290"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5"/>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9"/>
        </w:trPr>
        <w:tc>
          <w:tcPr>
            <w:tcW w:w="88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5"/>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4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121" w:lineRule="exact"/>
        <w:rPr>
          <w:sz w:val="20"/>
          <w:szCs w:val="20"/>
          <w:color w:val="auto"/>
        </w:rPr>
      </w:pPr>
    </w:p>
    <w:p>
      <w:pPr>
        <w:ind w:left="340" w:right="720" w:hanging="332"/>
        <w:spacing w:after="0" w:line="232"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1"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282"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8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84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items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asset sales,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Depreciation and amortization of unconsolidated entities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8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EBITDA </w:t>
            </w:r>
            <w:r>
              <w:rPr>
                <w:rFonts w:ascii="Times New Roman" w:cs="Times New Roman" w:eastAsia="Times New Roman" w:hAnsi="Times New Roman"/>
                <w:sz w:val="22"/>
                <w:szCs w:val="22"/>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Adjusted EBITDA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8"/>
        </w:trPr>
        <w:tc>
          <w:tcPr>
            <w:tcW w:w="8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EBITDA attributable to PAA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884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Interest expense, net of certain non-cash and other items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Maintenance capital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84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Investment capital of noncontrolling interests </w:t>
            </w:r>
            <w:r>
              <w:rPr>
                <w:rFonts w:ascii="Times New Roman" w:cs="Times New Roman" w:eastAsia="Times New Roman" w:hAnsi="Times New Roman"/>
                <w:sz w:val="22"/>
                <w:szCs w:val="22"/>
                <w:color w:val="auto"/>
                <w:vertAlign w:val="superscript"/>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840" w:type="dxa"/>
            <w:vAlign w:val="bottom"/>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from unconsolidated entities in excess of/(less than) adjusted equity earnings </w:t>
            </w:r>
            <w:r>
              <w:rPr>
                <w:rFonts w:ascii="Times New Roman" w:cs="Times New Roman" w:eastAsia="Times New Roman" w:hAnsi="Times New Roman"/>
                <w:sz w:val="22"/>
                <w:szCs w:val="22"/>
                <w:color w:val="auto"/>
                <w:vertAlign w:val="superscript"/>
              </w:rPr>
              <w:t>(6)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8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7"/>
                <w:szCs w:val="17"/>
                <w:color w:val="auto"/>
              </w:rPr>
              <w:t xml:space="preserve">Distributions to noncontrolling interests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8840" w:type="dxa"/>
            <w:vAlign w:val="bottom"/>
            <w:shd w:val="clear" w:color="auto" w:fill="CCEEFF"/>
          </w:tcPr>
          <w:p>
            <w:pPr>
              <w:ind w:left="180"/>
              <w:spacing w:after="0" w:line="229" w:lineRule="exact"/>
              <w:rPr>
                <w:sz w:val="20"/>
                <w:szCs w:val="20"/>
                <w:color w:val="auto"/>
              </w:rPr>
            </w:pPr>
            <w:r>
              <w:rPr>
                <w:rFonts w:ascii="Times New Roman" w:cs="Times New Roman" w:eastAsia="Times New Roman" w:hAnsi="Times New Roman"/>
                <w:sz w:val="17"/>
                <w:szCs w:val="17"/>
                <w:color w:val="auto"/>
              </w:rPr>
              <w:t xml:space="preserve">Preferred unit distributions paid </w:t>
            </w:r>
            <w:r>
              <w:rPr>
                <w:rFonts w:ascii="Times New Roman" w:cs="Times New Roman" w:eastAsia="Times New Roman" w:hAnsi="Times New Roman"/>
                <w:sz w:val="22"/>
                <w:szCs w:val="22"/>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Available to Common Unitholders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5"/>
        </w:trPr>
        <w:tc>
          <w:tcPr>
            <w:tcW w:w="8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Outstanding</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Units and Common Unit Equivalents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148"/>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8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w:t>
            </w:r>
            <w:r>
              <w:rPr>
                <w:rFonts w:ascii="Times New Roman" w:cs="Times New Roman" w:eastAsia="Times New Roman" w:hAnsi="Times New Roman"/>
                <w:sz w:val="22"/>
                <w:szCs w:val="22"/>
                <w:color w:val="auto"/>
                <w:vertAlign w:val="superscript"/>
              </w:rPr>
              <w:t>(8)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30"/>
        </w:trPr>
        <w:tc>
          <w:tcPr>
            <w:tcW w:w="884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Implied DCF per Common Unit and Common Unit Equivalent </w:t>
            </w:r>
            <w:r>
              <w:rPr>
                <w:rFonts w:ascii="Times New Roman" w:cs="Times New Roman" w:eastAsia="Times New Roman" w:hAnsi="Times New Roman"/>
                <w:sz w:val="22"/>
                <w:szCs w:val="22"/>
                <w:color w:val="auto"/>
                <w:vertAlign w:val="superscript"/>
              </w:rPr>
              <w:t>(9)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148"/>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Distribution Paid per Common Unit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30"/>
        </w:trPr>
        <w:tc>
          <w:tcPr>
            <w:tcW w:w="8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Common Unit Cash Distributions </w:t>
            </w:r>
            <w:r>
              <w:rPr>
                <w:rFonts w:ascii="Times New Roman" w:cs="Times New Roman" w:eastAsia="Times New Roman" w:hAnsi="Times New Roman"/>
                <w:sz w:val="22"/>
                <w:szCs w:val="22"/>
                <w:color w:val="auto"/>
                <w:vertAlign w:val="superscript"/>
              </w:rPr>
              <w:t>(7)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Unit Distribution Coverage Ratio</w:t>
            </w:r>
          </w:p>
        </w:tc>
        <w:tc>
          <w:tcPr>
            <w:tcW w:w="260" w:type="dxa"/>
            <w:vAlign w:val="bottom"/>
          </w:tcPr>
          <w:p>
            <w:pPr>
              <w:spacing w:after="0"/>
              <w:rPr>
                <w:sz w:val="19"/>
                <w:szCs w:val="19"/>
                <w:color w:val="auto"/>
              </w:rPr>
            </w:pP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1.73x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2.11x</w:t>
            </w:r>
          </w:p>
        </w:tc>
      </w:tr>
      <w:tr>
        <w:trPr>
          <w:trHeight w:val="149"/>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34"/>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Implied DCF Excess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6" w:lineRule="exact"/>
        <w:rPr>
          <w:sz w:val="20"/>
          <w:szCs w:val="20"/>
          <w:color w:val="auto"/>
        </w:rPr>
      </w:pPr>
    </w:p>
    <w:p>
      <w:pPr>
        <w:ind w:left="340" w:right="420" w:hanging="332"/>
        <w:spacing w:after="0" w:line="225"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6"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2" w:lineRule="exact"/>
        <w:rPr>
          <w:rFonts w:ascii="Times New Roman" w:cs="Times New Roman" w:eastAsia="Times New Roman" w:hAnsi="Times New Roman"/>
          <w:sz w:val="17"/>
          <w:szCs w:val="17"/>
          <w:color w:val="auto"/>
          <w:vertAlign w:val="superscript"/>
        </w:rPr>
      </w:pPr>
    </w:p>
    <w:p>
      <w:pPr>
        <w:ind w:left="340" w:right="260" w:hanging="332"/>
        <w:spacing w:after="0" w:line="221"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31" w:lineRule="exact"/>
        <w:rPr>
          <w:rFonts w:ascii="Times New Roman" w:cs="Times New Roman" w:eastAsia="Times New Roman" w:hAnsi="Times New Roman"/>
          <w:sz w:val="17"/>
          <w:szCs w:val="17"/>
          <w:color w:val="auto"/>
          <w:vertAlign w:val="superscript"/>
        </w:rPr>
      </w:pPr>
    </w:p>
    <w:p>
      <w:pPr>
        <w:ind w:left="340" w:right="180" w:hanging="332"/>
        <w:spacing w:after="0" w:line="221"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5"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2" w:lineRule="exact"/>
        <w:rPr>
          <w:rFonts w:ascii="Times New Roman" w:cs="Times New Roman" w:eastAsia="Times New Roman" w:hAnsi="Times New Roman"/>
          <w:sz w:val="17"/>
          <w:szCs w:val="17"/>
          <w:color w:val="auto"/>
          <w:vertAlign w:val="superscript"/>
        </w:rPr>
      </w:pPr>
    </w:p>
    <w:p>
      <w:pPr>
        <w:ind w:left="340" w:right="100" w:hanging="332"/>
        <w:spacing w:after="0" w:line="226" w:lineRule="auto"/>
        <w:tabs>
          <w:tab w:leader="none" w:pos="33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7" w:lineRule="exact"/>
        <w:rPr>
          <w:rFonts w:ascii="Times New Roman" w:cs="Times New Roman" w:eastAsia="Times New Roman" w:hAnsi="Times New Roman"/>
          <w:sz w:val="17"/>
          <w:szCs w:val="17"/>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 to Implied DCF Per Common Unit and Common Unit Equivalent Reconciliation:</w:t>
      </w:r>
    </w:p>
    <w:p>
      <w:pPr>
        <w:spacing w:after="0" w:line="28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9"/>
        </w:trPr>
        <w:tc>
          <w:tcPr>
            <w:tcW w:w="20" w:type="dxa"/>
            <w:vAlign w:val="bottom"/>
          </w:tcPr>
          <w:p>
            <w:pPr>
              <w:spacing w:after="0"/>
              <w:rPr>
                <w:sz w:val="19"/>
                <w:szCs w:val="19"/>
                <w:color w:val="auto"/>
              </w:rPr>
            </w:pPr>
          </w:p>
        </w:tc>
        <w:tc>
          <w:tcPr>
            <w:tcW w:w="86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30" w:lineRule="exact"/>
        <w:rPr>
          <w:sz w:val="20"/>
          <w:szCs w:val="20"/>
          <w:color w:val="auto"/>
        </w:rPr>
      </w:pPr>
    </w:p>
    <w:p>
      <w:pPr>
        <w:ind w:left="340" w:right="42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36" w:lineRule="exact"/>
        <w:rPr>
          <w:rFonts w:ascii="Times New Roman" w:cs="Times New Roman" w:eastAsia="Times New Roman" w:hAnsi="Times New Roman"/>
          <w:sz w:val="23"/>
          <w:szCs w:val="23"/>
          <w:color w:val="auto"/>
          <w:vertAlign w:val="superscript"/>
        </w:rPr>
      </w:pPr>
    </w:p>
    <w:p>
      <w:pPr>
        <w:ind w:left="340" w:right="64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three months ended March 31, 2025 and 2024 of 704 million and 701 million, respectively.</w:t>
      </w:r>
    </w:p>
    <w:p>
      <w:pPr>
        <w:spacing w:after="0" w:line="36" w:lineRule="exact"/>
        <w:rPr>
          <w:rFonts w:ascii="Times New Roman" w:cs="Times New Roman" w:eastAsia="Times New Roman" w:hAnsi="Times New Roman"/>
          <w:sz w:val="23"/>
          <w:szCs w:val="23"/>
          <w:color w:val="auto"/>
          <w:vertAlign w:val="superscript"/>
        </w:rPr>
      </w:pPr>
    </w:p>
    <w:p>
      <w:pPr>
        <w:ind w:left="340" w:right="12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 as well as weighted average Series A preferred units outstanding for the three months ended March 31, 2025 and 2024 of 63 million and 71 million, respectively.</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 (6)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(Excluding Changes in Assets &amp; Liabilities) </w:t>
            </w:r>
            <w:r>
              <w:rPr>
                <w:rFonts w:ascii="Times New Roman" w:cs="Times New Roman" w:eastAsia="Times New Roman" w:hAnsi="Times New Roman"/>
                <w:sz w:val="23"/>
                <w:szCs w:val="23"/>
                <w:color w:val="auto"/>
                <w:vertAlign w:val="superscript"/>
              </w:rPr>
              <w:t>(8)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60" w:hanging="332"/>
        <w:spacing w:after="0" w:line="22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2025 period includes a net cash outflow of $624 million for bolt-on acquisitions.</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64" w:lineRule="exact"/>
        <w:rPr>
          <w:rFonts w:ascii="Times New Roman" w:cs="Times New Roman" w:eastAsia="Times New Roman" w:hAnsi="Times New Roman"/>
          <w:sz w:val="21"/>
          <w:szCs w:val="21"/>
          <w:color w:val="auto"/>
          <w:vertAlign w:val="superscript"/>
        </w:rPr>
      </w:pPr>
    </w:p>
    <w:p>
      <w:pPr>
        <w:ind w:left="340" w:right="120" w:hanging="332"/>
        <w:spacing w:after="0" w:line="224"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1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50" w:lineRule="exact"/>
        <w:rPr>
          <w:rFonts w:ascii="Times New Roman" w:cs="Times New Roman" w:eastAsia="Times New Roman" w:hAnsi="Times New Roman"/>
          <w:sz w:val="21"/>
          <w:szCs w:val="21"/>
          <w:color w:val="auto"/>
          <w:vertAlign w:val="superscript"/>
        </w:rPr>
      </w:pPr>
    </w:p>
    <w:p>
      <w:pPr>
        <w:ind w:left="340" w:right="160" w:hanging="332"/>
        <w:spacing w:after="0" w:line="229"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64" w:lineRule="exact"/>
        <w:rPr>
          <w:rFonts w:ascii="Times New Roman" w:cs="Times New Roman" w:eastAsia="Times New Roman" w:hAnsi="Times New Roman"/>
          <w:sz w:val="21"/>
          <w:szCs w:val="21"/>
          <w:color w:val="auto"/>
          <w:vertAlign w:val="superscript"/>
        </w:rPr>
      </w:pPr>
    </w:p>
    <w:p>
      <w:pPr>
        <w:jc w:val="both"/>
        <w:ind w:left="340" w:right="300" w:hanging="332"/>
        <w:spacing w:after="0" w:line="224"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0" w:type="dxa"/>
            <w:vAlign w:val="bottom"/>
          </w:tcPr>
          <w:p>
            <w:pPr>
              <w:spacing w:after="0"/>
              <w:rPr>
                <w:sz w:val="18"/>
                <w:szCs w:val="18"/>
                <w:color w:val="auto"/>
              </w:rPr>
            </w:pPr>
          </w:p>
        </w:tc>
        <w:tc>
          <w:tcPr>
            <w:tcW w:w="8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760" w:type="dxa"/>
            <w:vAlign w:val="bottom"/>
            <w:gridSpan w:val="2"/>
          </w:tcPr>
          <w:p>
            <w:pPr>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(2)</w:t>
            </w:r>
          </w:p>
        </w:tc>
        <w:tc>
          <w:tcPr>
            <w:tcW w:w="82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9"/>
        </w:trPr>
        <w:tc>
          <w:tcPr>
            <w:tcW w:w="40" w:type="dxa"/>
            <w:vAlign w:val="bottom"/>
          </w:tcPr>
          <w:p>
            <w:pPr>
              <w:spacing w:after="0"/>
              <w:rPr>
                <w:sz w:val="19"/>
                <w:szCs w:val="19"/>
                <w:color w:val="auto"/>
              </w:rPr>
            </w:pPr>
          </w:p>
        </w:tc>
        <w:tc>
          <w:tcPr>
            <w:tcW w:w="876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(3)</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0"/>
        </w:trPr>
        <w:tc>
          <w:tcPr>
            <w:tcW w:w="40" w:type="dxa"/>
            <w:vAlign w:val="bottom"/>
          </w:tcPr>
          <w:p>
            <w:pPr>
              <w:spacing w:after="0"/>
              <w:rPr>
                <w:sz w:val="19"/>
                <w:szCs w:val="19"/>
                <w:color w:val="auto"/>
              </w:rPr>
            </w:pPr>
          </w:p>
        </w:tc>
        <w:tc>
          <w:tcPr>
            <w:tcW w:w="8760" w:type="dxa"/>
            <w:vAlign w:val="bottom"/>
            <w:gridSpan w:val="2"/>
          </w:tcPr>
          <w:p>
            <w:pPr>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(4)</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9"/>
        </w:trPr>
        <w:tc>
          <w:tcPr>
            <w:tcW w:w="40" w:type="dxa"/>
            <w:vAlign w:val="bottom"/>
          </w:tcPr>
          <w:p>
            <w:pPr>
              <w:spacing w:after="0"/>
              <w:rPr>
                <w:sz w:val="19"/>
                <w:szCs w:val="19"/>
                <w:color w:val="auto"/>
              </w:rPr>
            </w:pPr>
          </w:p>
        </w:tc>
        <w:tc>
          <w:tcPr>
            <w:tcW w:w="876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(5)</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0"/>
        </w:trPr>
        <w:tc>
          <w:tcPr>
            <w:tcW w:w="40" w:type="dxa"/>
            <w:vAlign w:val="bottom"/>
          </w:tcPr>
          <w:p>
            <w:pPr>
              <w:spacing w:after="0"/>
              <w:rPr>
                <w:sz w:val="19"/>
                <w:szCs w:val="19"/>
                <w:color w:val="auto"/>
              </w:rPr>
            </w:pPr>
          </w:p>
        </w:tc>
        <w:tc>
          <w:tcPr>
            <w:tcW w:w="8760" w:type="dxa"/>
            <w:vAlign w:val="bottom"/>
            <w:gridSpan w:val="2"/>
          </w:tcPr>
          <w:p>
            <w:pPr>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(6)</w:t>
            </w:r>
          </w:p>
        </w:tc>
        <w:tc>
          <w:tcPr>
            <w:tcW w:w="8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9"/>
        </w:trPr>
        <w:tc>
          <w:tcPr>
            <w:tcW w:w="40" w:type="dxa"/>
            <w:vAlign w:val="bottom"/>
          </w:tcPr>
          <w:p>
            <w:pPr>
              <w:spacing w:after="0"/>
              <w:rPr>
                <w:sz w:val="19"/>
                <w:szCs w:val="19"/>
                <w:color w:val="auto"/>
              </w:rPr>
            </w:pPr>
          </w:p>
        </w:tc>
        <w:tc>
          <w:tcPr>
            <w:tcW w:w="876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7"/>
                <w:szCs w:val="17"/>
                <w:color w:val="auto"/>
              </w:rPr>
              <w:t xml:space="preserve">Transaction-related expenses </w:t>
            </w:r>
            <w:r>
              <w:rPr>
                <w:rFonts w:ascii="Times New Roman" w:cs="Times New Roman" w:eastAsia="Times New Roman" w:hAnsi="Times New Roman"/>
                <w:sz w:val="22"/>
                <w:szCs w:val="22"/>
                <w:color w:val="auto"/>
                <w:vertAlign w:val="superscript"/>
              </w:rPr>
              <w:t>(7)</w:t>
            </w: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82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3"/>
        </w:trPr>
        <w:tc>
          <w:tcPr>
            <w:tcW w:w="40" w:type="dxa"/>
            <w:vAlign w:val="bottom"/>
          </w:tcPr>
          <w:p>
            <w:pPr>
              <w:spacing w:after="0"/>
              <w:rPr>
                <w:sz w:val="20"/>
                <w:szCs w:val="20"/>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asset sales, net</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6"/>
        </w:trPr>
        <w:tc>
          <w:tcPr>
            <w:tcW w:w="40" w:type="dxa"/>
            <w:vAlign w:val="bottom"/>
          </w:tcPr>
          <w:p>
            <w:pPr>
              <w:spacing w:after="0"/>
              <w:rPr>
                <w:sz w:val="19"/>
                <w:szCs w:val="19"/>
                <w:color w:val="auto"/>
              </w:rPr>
            </w:pPr>
          </w:p>
        </w:tc>
        <w:tc>
          <w:tcPr>
            <w:tcW w:w="8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52"/>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82" w:lineRule="exact"/>
        <w:rPr>
          <w:sz w:val="20"/>
          <w:szCs w:val="20"/>
          <w:color w:val="auto"/>
        </w:rPr>
      </w:pPr>
    </w:p>
    <w:p>
      <w:pPr>
        <w:ind w:left="340" w:right="320" w:hanging="332"/>
        <w:spacing w:after="0" w:line="231" w:lineRule="auto"/>
        <w:tabs>
          <w:tab w:leader="none" w:pos="33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24" w:lineRule="exact"/>
        <w:rPr>
          <w:rFonts w:ascii="Times New Roman" w:cs="Times New Roman" w:eastAsia="Times New Roman" w:hAnsi="Times New Roman"/>
          <w:sz w:val="19"/>
          <w:szCs w:val="19"/>
          <w:color w:val="auto"/>
          <w:vertAlign w:val="superscript"/>
        </w:rPr>
      </w:pPr>
    </w:p>
    <w:p>
      <w:pPr>
        <w:ind w:left="340" w:right="100" w:hanging="332"/>
        <w:spacing w:after="0" w:line="241" w:lineRule="auto"/>
        <w:tabs>
          <w:tab w:leader="none" w:pos="33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10" w:lineRule="exact"/>
        <w:rPr>
          <w:rFonts w:ascii="Times New Roman" w:cs="Times New Roman" w:eastAsia="Times New Roman" w:hAnsi="Times New Roman"/>
          <w:sz w:val="19"/>
          <w:szCs w:val="19"/>
          <w:color w:val="auto"/>
          <w:vertAlign w:val="superscript"/>
        </w:rPr>
      </w:pPr>
    </w:p>
    <w:p>
      <w:pPr>
        <w:ind w:left="340" w:right="220" w:hanging="332"/>
        <w:spacing w:after="0" w:line="255" w:lineRule="auto"/>
        <w:tabs>
          <w:tab w:leader="none" w:pos="33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5"/>
          <w:szCs w:val="15"/>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5" w:lineRule="exact"/>
        <w:rPr>
          <w:rFonts w:ascii="Times New Roman" w:cs="Times New Roman" w:eastAsia="Times New Roman" w:hAnsi="Times New Roman"/>
          <w:sz w:val="10"/>
          <w:szCs w:val="10"/>
          <w:color w:val="auto"/>
        </w:rPr>
      </w:pPr>
    </w:p>
    <w:p>
      <w:pPr>
        <w:ind w:left="340" w:hanging="332"/>
        <w:spacing w:after="0" w:line="239" w:lineRule="auto"/>
        <w:tabs>
          <w:tab w:leader="none" w:pos="33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8" w:lineRule="exact"/>
        <w:rPr>
          <w:rFonts w:ascii="Times New Roman" w:cs="Times New Roman" w:eastAsia="Times New Roman" w:hAnsi="Times New Roman"/>
          <w:sz w:val="19"/>
          <w:szCs w:val="19"/>
          <w:color w:val="auto"/>
          <w:vertAlign w:val="superscript"/>
        </w:rPr>
      </w:pPr>
    </w:p>
    <w:p>
      <w:pPr>
        <w:ind w:left="340" w:right="180" w:hanging="332"/>
        <w:spacing w:after="0" w:line="238" w:lineRule="auto"/>
        <w:tabs>
          <w:tab w:leader="none" w:pos="33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12" w:lineRule="exact"/>
        <w:rPr>
          <w:rFonts w:ascii="Times New Roman" w:cs="Times New Roman" w:eastAsia="Times New Roman" w:hAnsi="Times New Roman"/>
          <w:sz w:val="19"/>
          <w:szCs w:val="19"/>
          <w:color w:val="auto"/>
          <w:vertAlign w:val="superscript"/>
        </w:rPr>
      </w:pPr>
    </w:p>
    <w:p>
      <w:pPr>
        <w:jc w:val="both"/>
        <w:ind w:left="340" w:right="440" w:hanging="332"/>
        <w:spacing w:after="0" w:line="262" w:lineRule="auto"/>
        <w:tabs>
          <w:tab w:leader="none" w:pos="33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5"/>
          <w:szCs w:val="15"/>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ind w:left="320" w:hanging="312"/>
        <w:spacing w:after="0" w:line="222" w:lineRule="auto"/>
        <w:tabs>
          <w:tab w:leader="none" w:pos="3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Primarily related to acquisitions completed during the first quarter of 2025.</w:t>
      </w:r>
    </w:p>
    <w:p>
      <w:pPr>
        <w:spacing w:after="0" w:line="167"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40" w:type="dxa"/>
            <w:vAlign w:val="bottom"/>
            <w:tcBorders>
              <w:bottom w:val="single" w:sz="8" w:color="auto"/>
            </w:tcBorders>
          </w:tcPr>
          <w:p>
            <w:pPr>
              <w:spacing w:after="0"/>
              <w:rPr>
                <w:sz w:val="17"/>
                <w:szCs w:val="17"/>
                <w:color w:val="auto"/>
              </w:rPr>
            </w:pPr>
          </w:p>
        </w:tc>
      </w:tr>
      <w:tr>
        <w:trPr>
          <w:trHeight w:val="202"/>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23"/>
        </w:trPr>
        <w:tc>
          <w:tcPr>
            <w:tcW w:w="61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7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2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Borders>
              <w:bottom w:val="single" w:sz="8" w:color="CCEEFF"/>
            </w:tcBorders>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Volumes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Crude oil pipeline tariff (by region)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3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6,869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30"/>
        </w:trPr>
        <w:tc>
          <w:tcPr>
            <w:tcW w:w="20" w:type="dxa"/>
            <w:vAlign w:val="bottom"/>
          </w:tcPr>
          <w:p>
            <w:pPr>
              <w:spacing w:after="0"/>
              <w:rPr>
                <w:sz w:val="19"/>
                <w:szCs w:val="19"/>
                <w:color w:val="auto"/>
              </w:rPr>
            </w:pPr>
          </w:p>
        </w:tc>
        <w:tc>
          <w:tcPr>
            <w:tcW w:w="934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20" w:type="dxa"/>
            <w:vAlign w:val="bottom"/>
          </w:tcPr>
          <w:p>
            <w:pPr>
              <w:spacing w:after="0"/>
              <w:rPr>
                <w:sz w:val="19"/>
                <w:szCs w:val="19"/>
                <w:color w:val="auto"/>
              </w:rPr>
            </w:pPr>
          </w:p>
        </w:tc>
        <w:tc>
          <w:tcPr>
            <w:tcW w:w="93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20" w:type="dxa"/>
            <w:vAlign w:val="bottom"/>
          </w:tcPr>
          <w:p>
            <w:pPr>
              <w:spacing w:after="0"/>
              <w:rPr>
                <w:sz w:val="19"/>
                <w:szCs w:val="19"/>
                <w:color w:val="auto"/>
              </w:rPr>
            </w:pPr>
          </w:p>
        </w:tc>
        <w:tc>
          <w:tcPr>
            <w:tcW w:w="934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20" w:type="dxa"/>
            <w:vAlign w:val="bottom"/>
          </w:tcPr>
          <w:p>
            <w:pPr>
              <w:spacing w:after="0"/>
              <w:rPr>
                <w:sz w:val="19"/>
                <w:szCs w:val="19"/>
                <w:color w:val="auto"/>
              </w:rPr>
            </w:pPr>
          </w:p>
        </w:tc>
        <w:tc>
          <w:tcPr>
            <w:tcW w:w="934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20" w:type="dxa"/>
            <w:vAlign w:val="bottom"/>
          </w:tcPr>
          <w:p>
            <w:pPr>
              <w:spacing w:after="0"/>
              <w:rPr>
                <w:sz w:val="19"/>
                <w:szCs w:val="19"/>
                <w:color w:val="auto"/>
              </w:rPr>
            </w:pPr>
          </w:p>
        </w:tc>
        <w:tc>
          <w:tcPr>
            <w:tcW w:w="9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Western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20" w:type="dxa"/>
            <w:vAlign w:val="bottom"/>
          </w:tcPr>
          <w:p>
            <w:pPr>
              <w:spacing w:after="0"/>
              <w:rPr>
                <w:sz w:val="19"/>
                <w:szCs w:val="19"/>
                <w:color w:val="auto"/>
              </w:rPr>
            </w:pPr>
          </w:p>
        </w:tc>
        <w:tc>
          <w:tcPr>
            <w:tcW w:w="85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(2)</w:t>
            </w: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9,086</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57"/>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Volumes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20" w:type="dxa"/>
            <w:vAlign w:val="bottom"/>
          </w:tcPr>
          <w:p>
            <w:pPr>
              <w:spacing w:after="0"/>
              <w:rPr>
                <w:sz w:val="19"/>
                <w:szCs w:val="19"/>
                <w:color w:val="auto"/>
              </w:rPr>
            </w:pPr>
          </w:p>
        </w:tc>
        <w:tc>
          <w:tcPr>
            <w:tcW w:w="9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NGL pipeline tariff</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30" w:lineRule="exact"/>
        <w:rPr>
          <w:sz w:val="20"/>
          <w:szCs w:val="20"/>
          <w:color w:val="auto"/>
        </w:rPr>
      </w:pPr>
    </w:p>
    <w:p>
      <w:pPr>
        <w:ind w:left="340" w:hanging="332"/>
        <w:spacing w:after="0" w:line="235"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SEGMENT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8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7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7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38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30" w:lineRule="exact"/>
        <w:rPr>
          <w:sz w:val="20"/>
          <w:szCs w:val="20"/>
          <w:color w:val="auto"/>
        </w:rPr>
      </w:pPr>
    </w:p>
    <w:p>
      <w:pPr>
        <w:ind w:left="340" w:right="34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income/(expense),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12,011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asset sales,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11,478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12"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8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4"/>
        </w:trPr>
        <w:tc>
          <w:tcPr>
            <w:tcW w:w="8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43" w:lineRule="exact"/>
        <w:rPr>
          <w:sz w:val="20"/>
          <w:szCs w:val="20"/>
          <w:color w:val="auto"/>
        </w:rPr>
      </w:pPr>
    </w:p>
    <w:p>
      <w:pPr>
        <w:ind w:left="660" w:right="260" w:hanging="328"/>
        <w:spacing w:after="0" w:line="265" w:lineRule="auto"/>
        <w:tabs>
          <w:tab w:leader="none" w:pos="65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1" w:lineRule="exact"/>
        <w:rPr>
          <w:rFonts w:ascii="Arial" w:cs="Arial" w:eastAsia="Arial" w:hAnsi="Arial"/>
          <w:sz w:val="21"/>
          <w:szCs w:val="21"/>
          <w:color w:val="auto"/>
        </w:rPr>
      </w:pPr>
    </w:p>
    <w:p>
      <w:pPr>
        <w:ind w:left="660" w:right="60" w:hanging="328"/>
        <w:spacing w:after="0" w:line="245"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9" w:lineRule="exact"/>
        <w:rPr>
          <w:rFonts w:ascii="Arial" w:cs="Arial" w:eastAsia="Arial" w:hAnsi="Arial"/>
          <w:sz w:val="22"/>
          <w:szCs w:val="22"/>
          <w:color w:val="auto"/>
        </w:rPr>
      </w:pPr>
    </w:p>
    <w:p>
      <w:pPr>
        <w:ind w:left="660" w:right="4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12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32" w:lineRule="exact"/>
        <w:rPr>
          <w:rFonts w:ascii="Arial" w:cs="Arial" w:eastAsia="Arial" w:hAnsi="Arial"/>
          <w:sz w:val="22"/>
          <w:szCs w:val="22"/>
          <w:color w:val="auto"/>
        </w:rPr>
      </w:pPr>
    </w:p>
    <w:p>
      <w:pPr>
        <w:ind w:left="660" w:right="40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82" w:lineRule="exact"/>
        <w:rPr>
          <w:sz w:val="20"/>
          <w:szCs w:val="20"/>
          <w:color w:val="auto"/>
        </w:rPr>
      </w:pPr>
    </w:p>
    <w:p>
      <w:pPr>
        <w:ind w:left="660" w:right="12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32" w:lineRule="exact"/>
        <w:rPr>
          <w:rFonts w:ascii="Arial" w:cs="Arial" w:eastAsia="Arial" w:hAnsi="Arial"/>
          <w:sz w:val="22"/>
          <w:szCs w:val="22"/>
          <w:color w:val="auto"/>
        </w:rPr>
      </w:pPr>
    </w:p>
    <w:p>
      <w:pPr>
        <w:ind w:left="660" w:right="64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132" w:lineRule="exact"/>
        <w:rPr>
          <w:rFonts w:ascii="Arial" w:cs="Arial" w:eastAsia="Arial" w:hAnsi="Arial"/>
          <w:sz w:val="22"/>
          <w:szCs w:val="22"/>
          <w:color w:val="auto"/>
        </w:rPr>
      </w:pPr>
    </w:p>
    <w:p>
      <w:pPr>
        <w:ind w:left="660" w:right="280" w:hanging="328"/>
        <w:spacing w:after="0" w:line="24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126" w:lineRule="exact"/>
        <w:rPr>
          <w:rFonts w:ascii="Arial" w:cs="Arial" w:eastAsia="Arial" w:hAnsi="Arial"/>
          <w:sz w:val="22"/>
          <w:szCs w:val="22"/>
          <w:color w:val="auto"/>
        </w:rPr>
      </w:pPr>
    </w:p>
    <w:p>
      <w:pPr>
        <w:ind w:left="660" w:right="100" w:hanging="328"/>
        <w:spacing w:after="0" w:line="243"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127"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30"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9"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43"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30"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43"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32"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30" w:lineRule="exact"/>
        <w:rPr>
          <w:rFonts w:ascii="Arial" w:cs="Arial" w:eastAsia="Arial" w:hAnsi="Arial"/>
          <w:sz w:val="22"/>
          <w:szCs w:val="22"/>
          <w:color w:val="auto"/>
        </w:rPr>
      </w:pPr>
    </w:p>
    <w:p>
      <w:pPr>
        <w:ind w:left="660" w:right="460" w:hanging="328"/>
        <w:spacing w:after="0" w:line="246"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lvl w:ilvl="1">
      <w:lvlJc w:val="left"/>
      <w:lvlText w:val="-"/>
      <w:numFmt w:val="bullet"/>
      <w:start w:val="1"/>
    </w:lvl>
  </w:abstractNum>
  <w:abstractNum w:abstractNumId="5">
    <w:nsid w:val="7FDCC233"/>
    <w:multiLevelType w:val="hybridMultilevel"/>
    <w:lvl w:ilvl="0">
      <w:lvlJc w:val="left"/>
      <w:lvlText w:val="(%1)"/>
      <w:numFmt w:val="lowerRoman"/>
      <w:start w:val="6"/>
    </w:lvl>
  </w:abstractNum>
  <w:abstractNum w:abstractNumId="6">
    <w:nsid w:val="1BEFD79F"/>
    <w:multiLevelType w:val="hybridMultilevel"/>
    <w:lvl w:ilvl="0">
      <w:lvlJc w:val="left"/>
      <w:lvlText w:val="(%1)"/>
      <w:numFmt w:val="decimal"/>
      <w:start w:val="1"/>
    </w:lvl>
    <w:lvl w:ilvl="1">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lvl w:ilvl="1">
      <w:lvlJc w:val="left"/>
      <w:lvlText w:val="-"/>
      <w:numFmt w:val="bullet"/>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2025-05-09T07:52:54Z</dcterms:created>
  <dcterms:modified xsi:type="dcterms:W3CDTF">2025-05-09T07:52:54Z</dcterms:modified>
</cp:coreProperties>
</file>