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March 21,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45" w:right="2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color w:val="auto"/>
        </w:rPr>
        <w:t>Registration Statement on Form S-3</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March 10, 2016</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 No. 333-210067</w:t>
      </w:r>
    </w:p>
    <w:p>
      <w:pPr>
        <w:spacing w:after="0" w:line="200" w:lineRule="exact"/>
        <w:rPr>
          <w:sz w:val="24"/>
          <w:szCs w:val="24"/>
          <w:color w:val="auto"/>
        </w:rPr>
      </w:pPr>
    </w:p>
    <w:p>
      <w:pPr>
        <w:sectPr>
          <w:pgSz w:w="11900" w:h="16838" w:orient="portrait"/>
          <w:cols w:equalWidth="0" w:num="2">
            <w:col w:w="260" w:space="380"/>
            <w:col w:w="10780"/>
          </w:cols>
          <w:pgMar w:left="240" w:top="445"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Schwall:</w:t>
      </w:r>
    </w:p>
    <w:p>
      <w:pPr>
        <w:spacing w:after="0" w:line="225" w:lineRule="exact"/>
        <w:rPr>
          <w:sz w:val="24"/>
          <w:szCs w:val="24"/>
          <w:color w:val="auto"/>
        </w:rPr>
      </w:pPr>
    </w:p>
    <w:p>
      <w:pPr>
        <w:ind w:right="20" w:firstLine="648"/>
        <w:spacing w:after="0" w:line="259" w:lineRule="auto"/>
        <w:rPr>
          <w:sz w:val="20"/>
          <w:szCs w:val="20"/>
          <w:color w:val="auto"/>
        </w:rPr>
      </w:pPr>
      <w:r>
        <w:rPr>
          <w:rFonts w:ascii="Arial" w:cs="Arial" w:eastAsia="Arial" w:hAnsi="Arial"/>
          <w:sz w:val="18"/>
          <w:szCs w:val="18"/>
          <w:color w:val="auto"/>
        </w:rPr>
        <w:t>On behalf of Plains GP Holdings, L.P. (the “Partnership”), and pursuant to Rule 461 promulgated under the Securities Act of 1933, as amended, the undersigned hereby requests that the effective date of the above referenced Registration Statement on Form S-3 be accelerated to 4:30 p.m., Washington, D.C. time, on March 23, 2016, or as soon thereafter as practicable. As requested by the staff (the “Staff”) of the Securities and Exchange Commission (the “Commission”), the Partnership hereby acknowledges that:</w:t>
      </w:r>
    </w:p>
    <w:p>
      <w:pPr>
        <w:spacing w:after="0" w:line="187" w:lineRule="exact"/>
        <w:rPr>
          <w:sz w:val="24"/>
          <w:szCs w:val="24"/>
          <w:color w:val="auto"/>
        </w:rPr>
      </w:pPr>
    </w:p>
    <w:p>
      <w:pPr>
        <w:ind w:left="660" w:right="32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Partnership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Partnership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you need additional information, please contact Alan Beck of Vinson &amp; Elkins L.L.P. at (713) 758-3638.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4"/>
          <w:szCs w:val="24"/>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PAA GP HOLDINGS LLC,</w:t>
      </w:r>
    </w:p>
    <w:p>
      <w:pPr>
        <w:spacing w:after="0" w:line="23" w:lineRule="exact"/>
        <w:rPr>
          <w:sz w:val="24"/>
          <w:szCs w:val="24"/>
          <w:color w:val="auto"/>
        </w:rPr>
      </w:pPr>
    </w:p>
    <w:p>
      <w:pPr>
        <w:ind w:left="6200"/>
        <w:spacing w:after="0"/>
        <w:rPr>
          <w:sz w:val="20"/>
          <w:szCs w:val="20"/>
          <w:color w:val="auto"/>
        </w:rPr>
      </w:pPr>
      <w:r>
        <w:rPr>
          <w:rFonts w:ascii="Arial" w:cs="Arial" w:eastAsia="Arial" w:hAnsi="Arial"/>
          <w:sz w:val="18"/>
          <w:szCs w:val="18"/>
          <w:color w:val="auto"/>
        </w:rPr>
        <w:t>its general partner</w:t>
      </w:r>
    </w:p>
    <w:p>
      <w:pPr>
        <w:spacing w:after="0" w:line="200" w:lineRule="exact"/>
        <w:rPr>
          <w:sz w:val="24"/>
          <w:szCs w:val="24"/>
          <w:color w:val="auto"/>
        </w:rPr>
      </w:pPr>
    </w:p>
    <w:p>
      <w:pPr>
        <w:spacing w:after="0" w:line="227" w:lineRule="exact"/>
        <w:rPr>
          <w:sz w:val="24"/>
          <w:szCs w:val="24"/>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4"/>
          <w:szCs w:val="24"/>
          <w:color w:val="auto"/>
        </w:rPr>
      </w:pPr>
    </w:p>
    <w:tbl>
      <w:tblPr>
        <w:tblLayout w:type="fixed"/>
        <w:tblInd w:w="62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Executive Vice President, General</w:t>
            </w:r>
          </w:p>
        </w:tc>
      </w:tr>
      <w:tr>
        <w:trPr>
          <w:trHeight w:val="230"/>
        </w:trPr>
        <w:tc>
          <w:tcPr>
            <w:tcW w:w="620" w:type="dxa"/>
            <w:vAlign w:val="bottom"/>
          </w:tcPr>
          <w:p>
            <w:pPr>
              <w:spacing w:after="0"/>
              <w:rPr>
                <w:sz w:val="20"/>
                <w:szCs w:val="20"/>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Counsel and Secretary</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Acceleration Request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2020-01-19T21:00:07Z</dcterms:created>
  <dcterms:modified xsi:type="dcterms:W3CDTF">2020-01-19T21:00:07Z</dcterms:modified>
</cp:coreProperties>
</file>