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2-12346_110q.htm"/>
        <w:bookmarkStart w:id="1" w:name="ksa1212346_110q"/>
        <w:bookmarkEnd w:id="0"/>
        <w:bookmarkEnd w:id="1"/>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x</w:t>
            </w:r>
          </w:p>
        </w:tc>
        <w:tc>
          <w:tcPr>
            <w:tcW w:w="969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June 30,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o</w:t>
            </w:r>
          </w:p>
        </w:tc>
        <w:tc>
          <w:tcPr>
            <w:tcW w:w="969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 reporting company)</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July 31, 2012, there were 163,918,293 Common Units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586"/>
        <w:gridCol w:w="619"/>
      </w:tblGrid>
      <w:tr>
        <w:trPr/>
        <w:tc>
          <w:tcPr>
            <w:tcW w:w="958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6" w:type="dxa"/>
            <w:tcBorders/>
            <w:shd w:fill="auto" w:val="clear"/>
          </w:tcPr>
          <w:p>
            <w:pPr>
              <w:pStyle w:val="TableContents"/>
              <w:spacing w:before="0" w:after="0"/>
              <w:ind w:left="0" w:right="0" w:hanging="0"/>
              <w:rPr/>
            </w:pPr>
            <w:hyperlink w:anchor="Parti_FinancialInformation_235616">
              <w:r>
                <w:rPr>
                  <w:rStyle w:val="InternetLink"/>
                  <w:rFonts w:ascii="Times New Roman" w:hAnsi="Times New Roman"/>
                  <w:b/>
                  <w:sz w:val="17"/>
                </w:rPr>
                <w:t>PART I. FINANCIAL INFORMATION</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1_CondensedConsolidatedFinanc_235632">
              <w:r>
                <w:rPr>
                  <w:rStyle w:val="InternetLink"/>
                  <w:rFonts w:ascii="Times New Roman" w:hAnsi="Times New Roman"/>
                  <w:sz w:val="17"/>
                </w:rPr>
                <w:t>Item 1. CONDENSED CONSOLIDATED FINANCIAL STATEMENTS:</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CondensedConsolidatedBalanceSheet_235637">
              <w:r>
                <w:rPr>
                  <w:rStyle w:val="InternetLink"/>
                  <w:rFonts w:ascii="Times New Roman" w:hAnsi="Times New Roman"/>
                  <w:sz w:val="17"/>
                </w:rPr>
                <w:t>Condensed Consolidated Balance Sheets: June 30, 2012 and December 31, 2011</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6" w:type="dxa"/>
            <w:tcBorders/>
            <w:shd w:fill="auto" w:val="clear"/>
          </w:tcPr>
          <w:p>
            <w:pPr>
              <w:pStyle w:val="TableContents"/>
              <w:spacing w:before="0" w:after="0"/>
              <w:ind w:left="0" w:right="0" w:hanging="0"/>
              <w:rPr/>
            </w:pPr>
            <w:hyperlink w:anchor="CondensedConsolidatedStatementsOf_235922">
              <w:r>
                <w:rPr>
                  <w:rStyle w:val="InternetLink"/>
                  <w:rFonts w:ascii="Times New Roman" w:hAnsi="Times New Roman"/>
                  <w:sz w:val="17"/>
                </w:rPr>
                <w:t>Condensed Consolidated Statements of Operations: For the three and six months ended June 30, 2012 and 2011</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6" w:type="dxa"/>
            <w:tcBorders/>
            <w:shd w:fill="auto" w:val="clear"/>
          </w:tcPr>
          <w:p>
            <w:pPr>
              <w:pStyle w:val="TableContents"/>
              <w:spacing w:before="0" w:after="0"/>
              <w:ind w:left="0" w:right="0" w:hanging="0"/>
              <w:rPr/>
            </w:pPr>
            <w:hyperlink w:anchor="CondensedConsolidatedStatementsOf_235951">
              <w:r>
                <w:rPr>
                  <w:rStyle w:val="InternetLink"/>
                  <w:rFonts w:ascii="Times New Roman" w:hAnsi="Times New Roman"/>
                  <w:sz w:val="17"/>
                </w:rPr>
                <w:t>Condensed Consolidated Statements of Comprehensive Income: For the three and six months ended June 30, 2012 and 2011</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hyperlink w:anchor="CondensedConsolidatedStatementOfC_000616">
              <w:r>
                <w:rPr>
                  <w:rStyle w:val="InternetLink"/>
                  <w:rFonts w:ascii="Times New Roman" w:hAnsi="Times New Roman"/>
                  <w:sz w:val="17"/>
                </w:rPr>
                <w:t>Condensed Consolidated Statement of Changes in Accumulated Other Comprehensive Income: For the six months ended June 30,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hyperlink w:anchor="CondensedConsolidatedStatementsOf_000811">
              <w:r>
                <w:rPr>
                  <w:rStyle w:val="InternetLink"/>
                  <w:rFonts w:ascii="Times New Roman" w:hAnsi="Times New Roman"/>
                  <w:sz w:val="17"/>
                </w:rPr>
                <w:t>Condensed Consolidated Statements of Cash Flows: For the six months ended June 30, 2012 and 2011</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6" w:type="dxa"/>
            <w:tcBorders/>
            <w:shd w:fill="auto" w:val="clear"/>
          </w:tcPr>
          <w:p>
            <w:pPr>
              <w:pStyle w:val="TableContents"/>
              <w:spacing w:before="0" w:after="0"/>
              <w:ind w:left="0" w:right="0" w:hanging="0"/>
              <w:rPr/>
            </w:pPr>
            <w:hyperlink w:anchor="CondensedConsolidatedStatementOfP_001305">
              <w:r>
                <w:rPr>
                  <w:rStyle w:val="InternetLink"/>
                  <w:rFonts w:ascii="Times New Roman" w:hAnsi="Times New Roman"/>
                  <w:sz w:val="17"/>
                </w:rPr>
                <w:t>Condensed Consolidated Statement of Partners Capital: For the six months ended June 30,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586" w:type="dxa"/>
            <w:tcBorders/>
            <w:shd w:fill="auto" w:val="clear"/>
          </w:tcPr>
          <w:p>
            <w:pPr>
              <w:pStyle w:val="TableContents"/>
              <w:spacing w:before="0" w:after="0"/>
              <w:ind w:left="0" w:right="0" w:hanging="0"/>
              <w:rPr/>
            </w:pPr>
            <w:hyperlink w:anchor="NotesToCondensedConsolidatedFinan_032818">
              <w:r>
                <w:rPr>
                  <w:rStyle w:val="InternetLink"/>
                  <w:rFonts w:ascii="Times New Roman" w:hAnsi="Times New Roman"/>
                  <w:sz w:val="17"/>
                </w:rPr>
                <w:t>Notes to Condensed Consolidated Financial Statements: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6" w:type="dxa"/>
            <w:tcBorders/>
            <w:shd w:fill="auto" w:val="clear"/>
          </w:tcPr>
          <w:p>
            <w:pPr>
              <w:pStyle w:val="TableContents"/>
              <w:spacing w:before="0" w:after="0"/>
              <w:ind w:left="0" w:right="0" w:hanging="0"/>
              <w:rPr/>
            </w:pPr>
            <w:hyperlink w:anchor="Note1organizationAndBasisOfPresen_032820">
              <w:r>
                <w:rPr>
                  <w:rStyle w:val="InternetLink"/>
                  <w:rFonts w:ascii="Times New Roman" w:hAnsi="Times New Roman"/>
                  <w:sz w:val="17"/>
                </w:rPr>
                <w:t>1. Organization and Basis of Presentation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6" w:type="dxa"/>
            <w:tcBorders/>
            <w:shd w:fill="auto" w:val="clear"/>
          </w:tcPr>
          <w:p>
            <w:pPr>
              <w:pStyle w:val="TableContents"/>
              <w:spacing w:before="0" w:after="0"/>
              <w:ind w:left="0" w:right="0" w:hanging="0"/>
              <w:rPr/>
            </w:pPr>
            <w:hyperlink w:anchor="Note2recentAccountingPronouncemen_113956">
              <w:r>
                <w:rPr>
                  <w:rStyle w:val="InternetLink"/>
                  <w:rFonts w:ascii="Times New Roman" w:hAnsi="Times New Roman"/>
                  <w:sz w:val="17"/>
                </w:rPr>
                <w:t>2. Recent Accounting Pronouncements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6" w:type="dxa"/>
            <w:tcBorders/>
            <w:shd w:fill="auto" w:val="clear"/>
          </w:tcPr>
          <w:p>
            <w:pPr>
              <w:pStyle w:val="TableContents"/>
              <w:spacing w:before="0" w:after="0"/>
              <w:ind w:left="0" w:right="0" w:hanging="0"/>
              <w:rPr/>
            </w:pPr>
            <w:hyperlink w:anchor="Note3accountsReceivable_032829">
              <w:r>
                <w:rPr>
                  <w:rStyle w:val="InternetLink"/>
                  <w:rFonts w:ascii="Times New Roman" w:hAnsi="Times New Roman"/>
                  <w:sz w:val="17"/>
                </w:rPr>
                <w:t>3. Accounts Receivable</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6" w:type="dxa"/>
            <w:tcBorders/>
            <w:shd w:fill="auto" w:val="clear"/>
          </w:tcPr>
          <w:p>
            <w:pPr>
              <w:pStyle w:val="TableContents"/>
              <w:spacing w:before="0" w:after="0"/>
              <w:ind w:left="0" w:right="0" w:hanging="0"/>
              <w:rPr/>
            </w:pPr>
            <w:hyperlink w:anchor="Note4acquisitions_032833">
              <w:r>
                <w:rPr>
                  <w:rStyle w:val="InternetLink"/>
                  <w:rFonts w:ascii="Times New Roman" w:hAnsi="Times New Roman"/>
                  <w:sz w:val="17"/>
                </w:rPr>
                <w:t>4. Acquisitions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6" w:type="dxa"/>
            <w:tcBorders/>
            <w:shd w:fill="auto" w:val="clear"/>
          </w:tcPr>
          <w:p>
            <w:pPr>
              <w:pStyle w:val="TableContents"/>
              <w:spacing w:before="0" w:after="0"/>
              <w:ind w:left="0" w:right="0" w:hanging="0"/>
              <w:rPr/>
            </w:pPr>
            <w:hyperlink w:anchor="Note5inventoryLinefillBaseGasAndL_032844">
              <w:r>
                <w:rPr>
                  <w:rStyle w:val="InternetLink"/>
                  <w:rFonts w:ascii="Times New Roman" w:hAnsi="Times New Roman"/>
                  <w:sz w:val="17"/>
                </w:rPr>
                <w:t>5. Inventory, Linefill, Base Gas and Long-term Inventory</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586" w:type="dxa"/>
            <w:tcBorders/>
            <w:shd w:fill="auto" w:val="clear"/>
          </w:tcPr>
          <w:p>
            <w:pPr>
              <w:pStyle w:val="TableContents"/>
              <w:spacing w:before="0" w:after="0"/>
              <w:ind w:left="0" w:right="0" w:hanging="0"/>
              <w:rPr/>
            </w:pPr>
            <w:hyperlink w:anchor="Note6Goodwill_032849">
              <w:r>
                <w:rPr>
                  <w:rStyle w:val="InternetLink"/>
                  <w:rFonts w:ascii="Times New Roman" w:hAnsi="Times New Roman"/>
                  <w:sz w:val="17"/>
                </w:rPr>
                <w:t>6. Goodwill</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6" w:type="dxa"/>
            <w:tcBorders/>
            <w:shd w:fill="auto" w:val="clear"/>
          </w:tcPr>
          <w:p>
            <w:pPr>
              <w:pStyle w:val="TableContents"/>
              <w:spacing w:before="0" w:after="0"/>
              <w:ind w:left="0" w:right="0" w:hanging="0"/>
              <w:rPr/>
            </w:pPr>
            <w:hyperlink w:anchor="Note7debt_032852">
              <w:r>
                <w:rPr>
                  <w:rStyle w:val="InternetLink"/>
                  <w:rFonts w:ascii="Times New Roman" w:hAnsi="Times New Roman"/>
                  <w:sz w:val="17"/>
                </w:rPr>
                <w:t>7. Debt</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586" w:type="dxa"/>
            <w:tcBorders/>
            <w:shd w:fill="auto" w:val="clear"/>
          </w:tcPr>
          <w:p>
            <w:pPr>
              <w:pStyle w:val="TableContents"/>
              <w:spacing w:before="0" w:after="0"/>
              <w:ind w:left="0" w:right="0" w:hanging="0"/>
              <w:rPr/>
            </w:pPr>
            <w:hyperlink w:anchor="Note8netIncomePerLimitedPartnerUn_032859">
              <w:r>
                <w:rPr>
                  <w:rStyle w:val="InternetLink"/>
                  <w:rFonts w:ascii="Times New Roman" w:hAnsi="Times New Roman"/>
                  <w:sz w:val="17"/>
                </w:rPr>
                <w:t>8. Net Income Per Limited Partner Unit</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586" w:type="dxa"/>
            <w:tcBorders/>
            <w:shd w:fill="auto" w:val="clear"/>
          </w:tcPr>
          <w:p>
            <w:pPr>
              <w:pStyle w:val="TableContents"/>
              <w:spacing w:before="0" w:after="0"/>
              <w:ind w:left="0" w:right="0" w:hanging="0"/>
              <w:rPr/>
            </w:pPr>
            <w:hyperlink w:anchor="Note9partnersCapitalAndDistributi_032647">
              <w:r>
                <w:rPr>
                  <w:rStyle w:val="InternetLink"/>
                  <w:rFonts w:ascii="Times New Roman" w:hAnsi="Times New Roman"/>
                  <w:sz w:val="17"/>
                </w:rPr>
                <w:t>9. Partners Capital and Distributions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586" w:type="dxa"/>
            <w:tcBorders/>
            <w:shd w:fill="auto" w:val="clear"/>
          </w:tcPr>
          <w:p>
            <w:pPr>
              <w:pStyle w:val="TableContents"/>
              <w:spacing w:before="0" w:after="0"/>
              <w:ind w:left="0" w:right="0" w:hanging="0"/>
              <w:rPr/>
            </w:pPr>
            <w:hyperlink w:anchor="Note10equityCompensationPlans_032701">
              <w:r>
                <w:rPr>
                  <w:rStyle w:val="InternetLink"/>
                  <w:rFonts w:ascii="Times New Roman" w:hAnsi="Times New Roman"/>
                  <w:sz w:val="17"/>
                </w:rPr>
                <w:t>10. Equity Compensation Plans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9586" w:type="dxa"/>
            <w:tcBorders/>
            <w:shd w:fill="auto" w:val="clear"/>
          </w:tcPr>
          <w:p>
            <w:pPr>
              <w:pStyle w:val="TableContents"/>
              <w:spacing w:before="0" w:after="0"/>
              <w:ind w:left="0" w:right="0" w:hanging="0"/>
              <w:rPr/>
            </w:pPr>
            <w:hyperlink w:anchor="Note11derivativesAndRiskManagemen_032708">
              <w:r>
                <w:rPr>
                  <w:rStyle w:val="InternetLink"/>
                  <w:rFonts w:ascii="Times New Roman" w:hAnsi="Times New Roman"/>
                  <w:sz w:val="17"/>
                </w:rPr>
                <w:t>11. Derivatives and Risk Management Activities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9586" w:type="dxa"/>
            <w:tcBorders/>
            <w:shd w:fill="auto" w:val="clear"/>
          </w:tcPr>
          <w:p>
            <w:pPr>
              <w:pStyle w:val="TableContents"/>
              <w:spacing w:before="0" w:after="0"/>
              <w:ind w:left="0" w:right="0" w:hanging="0"/>
              <w:rPr/>
            </w:pPr>
            <w:hyperlink w:anchor="Note12commitmentsAndContingencies_025036">
              <w:r>
                <w:rPr>
                  <w:rStyle w:val="InternetLink"/>
                  <w:rFonts w:ascii="Times New Roman" w:hAnsi="Times New Roman"/>
                  <w:sz w:val="17"/>
                </w:rPr>
                <w:t>12. Commitments and Contingencies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9586" w:type="dxa"/>
            <w:tcBorders/>
            <w:shd w:fill="auto" w:val="clear"/>
          </w:tcPr>
          <w:p>
            <w:pPr>
              <w:pStyle w:val="TableContents"/>
              <w:spacing w:before="0" w:after="0"/>
              <w:ind w:left="0" w:right="0" w:hanging="0"/>
              <w:rPr/>
            </w:pPr>
            <w:hyperlink w:anchor="Note13operatingSegments_025052">
              <w:r>
                <w:rPr>
                  <w:rStyle w:val="InternetLink"/>
                  <w:rFonts w:ascii="Times New Roman" w:hAnsi="Times New Roman"/>
                  <w:sz w:val="17"/>
                </w:rPr>
                <w:t>13. Operating Segments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586" w:type="dxa"/>
            <w:tcBorders/>
            <w:shd w:fill="auto" w:val="clear"/>
          </w:tcPr>
          <w:p>
            <w:pPr>
              <w:pStyle w:val="TableContents"/>
              <w:spacing w:before="0" w:after="0"/>
              <w:ind w:left="0" w:right="0" w:hanging="0"/>
              <w:rPr/>
            </w:pPr>
            <w:hyperlink w:anchor="Note14relatedPartyTransactions_025145">
              <w:r>
                <w:rPr>
                  <w:rStyle w:val="InternetLink"/>
                  <w:rFonts w:ascii="Times New Roman" w:hAnsi="Times New Roman"/>
                  <w:sz w:val="17"/>
                </w:rPr>
                <w:t>14. Related Party Transactions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9586" w:type="dxa"/>
            <w:tcBorders/>
            <w:shd w:fill="auto" w:val="clear"/>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2_025154">
              <w:r>
                <w:rPr>
                  <w:rStyle w:val="InternetLink"/>
                  <w:rFonts w:ascii="Times New Roman" w:hAnsi="Times New Roman"/>
                  <w:sz w:val="17"/>
                </w:rPr>
                <w:t>Item 2. MANAGEMENTS DISCUSSION AND ANALYSIS OF FINANCIAL CONDITION AND RESULTS OF OPERATIONS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9586" w:type="dxa"/>
            <w:tcBorders/>
            <w:shd w:fill="auto" w:val="clear"/>
          </w:tcPr>
          <w:p>
            <w:pPr>
              <w:pStyle w:val="TableContents"/>
              <w:spacing w:before="0" w:after="0"/>
              <w:ind w:left="0" w:right="0" w:hanging="0"/>
              <w:rPr/>
            </w:pPr>
            <w:hyperlink w:anchor="Item3_QuantitativeAndQualitativeD_022706">
              <w:r>
                <w:rPr>
                  <w:rStyle w:val="InternetLink"/>
                  <w:rFonts w:ascii="Times New Roman" w:hAnsi="Times New Roman"/>
                  <w:sz w:val="17"/>
                </w:rPr>
                <w:t>Item 3. QUANTITATIVE AND QUALITATIVE DISCLOSURES ABOUT MARKET RISK</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9586" w:type="dxa"/>
            <w:tcBorders/>
            <w:shd w:fill="auto" w:val="clear"/>
          </w:tcPr>
          <w:p>
            <w:pPr>
              <w:pStyle w:val="TableContents"/>
              <w:spacing w:before="0" w:after="0"/>
              <w:ind w:left="0" w:right="0" w:hanging="0"/>
              <w:rPr/>
            </w:pPr>
            <w:hyperlink w:anchor="Item4_ControlsAndProcedures_022712">
              <w:r>
                <w:rPr>
                  <w:rStyle w:val="InternetLink"/>
                  <w:rFonts w:ascii="Times New Roman" w:hAnsi="Times New Roman"/>
                  <w:sz w:val="17"/>
                </w:rPr>
                <w:t>Item 4. CONTROLS AND PROCEDURES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6" w:type="dxa"/>
            <w:tcBorders/>
            <w:shd w:fill="auto" w:val="clear"/>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Partii_OtherInformation_022719">
              <w:r>
                <w:rPr>
                  <w:rStyle w:val="InternetLink"/>
                  <w:rFonts w:ascii="Times New Roman" w:hAnsi="Times New Roman"/>
                  <w:b/>
                  <w:sz w:val="17"/>
                </w:rPr>
                <w:t>PART II. OTHER INFORMATION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1_LegalProceedings_022720">
              <w:r>
                <w:rPr>
                  <w:rStyle w:val="InternetLink"/>
                  <w:rFonts w:ascii="Times New Roman" w:hAnsi="Times New Roman"/>
                  <w:sz w:val="17"/>
                </w:rPr>
                <w:t>Item 1. LEGAL PROCEEDINGS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1a_RiskFactors_022720">
              <w:r>
                <w:rPr>
                  <w:rStyle w:val="InternetLink"/>
                  <w:rFonts w:ascii="Times New Roman" w:hAnsi="Times New Roman"/>
                  <w:sz w:val="17"/>
                </w:rPr>
                <w:t>Item 1A. RISK FACTORS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2_UnregisteredSalesOfEquitySe_022723">
              <w:r>
                <w:rPr>
                  <w:rStyle w:val="InternetLink"/>
                  <w:rFonts w:ascii="Times New Roman" w:hAnsi="Times New Roman"/>
                  <w:sz w:val="17"/>
                </w:rPr>
                <w:t>Item 2. UNREGISTERED SALES OF EQUITY SECURITIES AND USE OF PROCEEDS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3_DefaultsUponSeniorSecuritie_022724">
              <w:r>
                <w:rPr>
                  <w:rStyle w:val="InternetLink"/>
                  <w:rFonts w:ascii="Times New Roman" w:hAnsi="Times New Roman"/>
                  <w:sz w:val="17"/>
                </w:rPr>
                <w:t>Item 3. DEFAULTS UPON SENIOR SECURITIES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4_MineSafetyDisclosures_022724">
              <w:r>
                <w:rPr>
                  <w:rStyle w:val="InternetLink"/>
                  <w:rFonts w:ascii="Times New Roman" w:hAnsi="Times New Roman"/>
                  <w:sz w:val="17"/>
                </w:rPr>
                <w:t>Item 4. MINE SAFETY DISCLOSURES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5_OtherInformation_033543">
              <w:r>
                <w:rPr>
                  <w:rStyle w:val="InternetLink"/>
                  <w:rFonts w:ascii="Times New Roman" w:hAnsi="Times New Roman"/>
                  <w:sz w:val="17"/>
                </w:rPr>
                <w:t>Item 5. OTHER INFORMATION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Item6_Exhibits_022726">
              <w:r>
                <w:rPr>
                  <w:rStyle w:val="InternetLink"/>
                  <w:rFonts w:ascii="Times New Roman" w:hAnsi="Times New Roman"/>
                  <w:sz w:val="17"/>
                </w:rPr>
                <w:t>Item 6. EXHIBITS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6" w:type="dxa"/>
            <w:tcBorders/>
            <w:shd w:fill="auto" w:val="clear"/>
          </w:tcPr>
          <w:p>
            <w:pPr>
              <w:pStyle w:val="TableContents"/>
              <w:spacing w:before="0" w:after="0"/>
              <w:ind w:left="0" w:right="0" w:hanging="0"/>
              <w:rPr/>
            </w:pPr>
            <w:hyperlink w:anchor="Signatures_022731">
              <w:r>
                <w:rPr>
                  <w:rStyle w:val="InternetLink"/>
                  <w:rFonts w:ascii="Times New Roman" w:hAnsi="Times New Roman"/>
                  <w:sz w:val="17"/>
                </w:rPr>
                <w:t>SIGNATURES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013006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235616"/>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CONDENSED CONSOLIDATED FINANCIAL STATEMENTS</w:t>
      </w:r>
      <w:bookmarkStart w:id="5" w:name="Item1_CondensedConsolidatedFinanc_235632"/>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235637"/>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83"/>
        <w:gridCol w:w="209"/>
        <w:gridCol w:w="132"/>
        <w:gridCol w:w="1122"/>
        <w:gridCol w:w="216"/>
        <w:gridCol w:w="143"/>
        <w:gridCol w:w="1174"/>
        <w:gridCol w:w="126"/>
      </w:tblGrid>
      <w:tr>
        <w:trPr/>
        <w:tc>
          <w:tcPr>
            <w:tcW w:w="708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br/>
              <w:t>2012</w:t>
            </w:r>
          </w:p>
        </w:tc>
        <w:tc>
          <w:tcPr>
            <w:tcW w:w="216" w:type="dxa"/>
            <w:tcBorders/>
            <w:shd w:fill="auto" w:val="clear"/>
            <w:vAlign w:val="bottom"/>
          </w:tcPr>
          <w:p>
            <w:pPr>
              <w:pStyle w:val="TableContents"/>
              <w:spacing w:before="0" w:after="0"/>
              <w:ind w:left="0" w:right="0" w:hanging="0"/>
              <w:jc w:val="center"/>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2011</w:t>
            </w:r>
          </w:p>
        </w:tc>
        <w:tc>
          <w:tcPr>
            <w:tcW w:w="126" w:type="dxa"/>
            <w:tcBorders/>
            <w:shd w:fill="auto" w:val="clear"/>
            <w:vAlign w:val="bottom"/>
          </w:tcPr>
          <w:p>
            <w:pPr>
              <w:pStyle w:val="TableContents"/>
              <w:spacing w:before="0" w:after="0"/>
              <w:ind w:left="0" w:right="0" w:hanging="0"/>
              <w:jc w:val="center"/>
              <w:rPr/>
            </w:pPr>
            <w:r>
              <w:rPr/>
              <w:t> </w:t>
            </w:r>
          </w:p>
        </w:tc>
      </w:tr>
      <w:tr>
        <w:trPr/>
        <w:tc>
          <w:tcPr>
            <w:tcW w:w="708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8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6" w:type="dxa"/>
            <w:tcBorders/>
            <w:shd w:fill="auto" w:val="clear"/>
            <w:vAlign w:val="bottom"/>
          </w:tcPr>
          <w:p>
            <w:pPr>
              <w:pStyle w:val="TableContents"/>
              <w:spacing w:before="0" w:after="0"/>
              <w:ind w:left="0" w:right="0" w:hanging="0"/>
              <w:jc w:val="center"/>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9"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3,174</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3,190</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1,172</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4,676</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10,632</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9,029</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(1,388</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(1,289</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8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9,244</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2,112</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9"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17,806</w:t>
            </w:r>
          </w:p>
        </w:tc>
        <w:tc>
          <w:tcPr>
            <w:tcW w:w="216"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9"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3,268</w:t>
            </w:r>
          </w:p>
        </w:tc>
        <w:tc>
          <w:tcPr>
            <w:tcW w:w="21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3,599</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549</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4,814</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$15 and $13, respectively</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5,510</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6,347</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4,896</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12)</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(162,586,381 and 155,376,937 units outstanding, respectively)</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5,909</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5,249</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6,135</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9"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26" w:type="dxa"/>
            <w:tcBorders/>
            <w:shd w:fill="auto" w:val="clear"/>
            <w:vAlign w:val="bottom"/>
          </w:tcPr>
          <w:p>
            <w:pPr>
              <w:pStyle w:val="TableContents"/>
              <w:spacing w:before="0" w:after="0"/>
              <w:ind w:left="0" w:right="0" w:hanging="0"/>
              <w:rPr/>
            </w:pPr>
            <w:r>
              <w:rPr/>
              <w:t> </w:t>
            </w:r>
          </w:p>
        </w:tc>
      </w:tr>
      <w:tr>
        <w:trPr/>
        <w:tc>
          <w:tcPr>
            <w:tcW w:w="70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209" w:type="dxa"/>
            <w:tcBorders/>
            <w:shd w:fill="CCEEFF"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6,645</w:t>
            </w:r>
          </w:p>
        </w:tc>
        <w:tc>
          <w:tcPr>
            <w:tcW w:w="216"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26" w:type="dxa"/>
            <w:tcBorders/>
            <w:shd w:fill="CCEEFF" w:val="clear"/>
            <w:vAlign w:val="bottom"/>
          </w:tcPr>
          <w:p>
            <w:pPr>
              <w:pStyle w:val="TableContents"/>
              <w:spacing w:before="0" w:after="0"/>
              <w:ind w:left="0" w:right="0" w:hanging="0"/>
              <w:rPr/>
            </w:pPr>
            <w:r>
              <w:rPr/>
              <w:t> </w:t>
            </w:r>
          </w:p>
        </w:tc>
      </w:tr>
      <w:tr>
        <w:trPr/>
        <w:tc>
          <w:tcPr>
            <w:tcW w:w="70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9"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17,806</w:t>
            </w:r>
          </w:p>
        </w:tc>
        <w:tc>
          <w:tcPr>
            <w:tcW w:w="216"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235911_7056"/>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235922"/>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377"/>
        <w:gridCol w:w="212"/>
        <w:gridCol w:w="119"/>
        <w:gridCol w:w="1089"/>
        <w:gridCol w:w="216"/>
        <w:gridCol w:w="119"/>
        <w:gridCol w:w="1090"/>
        <w:gridCol w:w="215"/>
        <w:gridCol w:w="118"/>
        <w:gridCol w:w="1098"/>
        <w:gridCol w:w="215"/>
        <w:gridCol w:w="118"/>
        <w:gridCol w:w="1098"/>
        <w:gridCol w:w="121"/>
      </w:tblGrid>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5" w:type="dxa"/>
            <w:tcBorders/>
            <w:shd w:fill="auto" w:val="clear"/>
            <w:vAlign w:val="bottom"/>
          </w:tcPr>
          <w:p>
            <w:pPr>
              <w:pStyle w:val="TableContents"/>
              <w:spacing w:before="0" w:after="0"/>
              <w:ind w:left="0" w:right="0" w:hanging="0"/>
              <w:jc w:val="center"/>
              <w:rPr/>
            </w:pPr>
            <w:r>
              <w:rPr/>
              <w:t> </w:t>
            </w:r>
          </w:p>
        </w:tc>
        <w:tc>
          <w:tcPr>
            <w:tcW w:w="26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5" w:type="dxa"/>
            <w:tcBorders/>
            <w:shd w:fill="auto" w:val="clear"/>
            <w:vAlign w:val="bottom"/>
          </w:tcPr>
          <w:p>
            <w:pPr>
              <w:pStyle w:val="TableContents"/>
              <w:spacing w:before="0" w:after="0"/>
              <w:ind w:left="0" w:right="0" w:hanging="0"/>
              <w:jc w:val="center"/>
              <w:rPr/>
            </w:pPr>
            <w:r>
              <w:rPr/>
              <w:t> </w:t>
            </w:r>
          </w:p>
        </w:tc>
        <w:tc>
          <w:tcPr>
            <w:tcW w:w="26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120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shd w:fill="auto" w:val="clear"/>
            <w:vAlign w:val="bottom"/>
          </w:tcPr>
          <w:p>
            <w:pPr>
              <w:pStyle w:val="TableContents"/>
              <w:spacing w:before="0" w:after="0"/>
              <w:ind w:left="0" w:right="0" w:hanging="0"/>
              <w:jc w:val="center"/>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5" w:type="dxa"/>
            <w:tcBorders/>
            <w:shd w:fill="auto" w:val="clear"/>
            <w:vAlign w:val="bottom"/>
          </w:tcPr>
          <w:p>
            <w:pPr>
              <w:pStyle w:val="TableContents"/>
              <w:spacing w:before="0" w:after="0"/>
              <w:ind w:left="0" w:right="0" w:hanging="0"/>
              <w:jc w:val="center"/>
              <w:rPr/>
            </w:pPr>
            <w:r>
              <w:rPr/>
              <w:t> </w:t>
            </w:r>
          </w:p>
        </w:tc>
        <w:tc>
          <w:tcPr>
            <w:tcW w:w="26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216"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8,586</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16,021</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8,859</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19,004</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16,553</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8,830</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8,202</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17,332</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15,281</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9,324</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8,561</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18,228</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15,970</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$10, $6, $18 and $11, respectively)</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235945_5335"/>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0" w:name="CondensedConsolidatedStatementsOf_235951"/>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239"/>
        <w:gridCol w:w="209"/>
        <w:gridCol w:w="157"/>
        <w:gridCol w:w="1094"/>
        <w:gridCol w:w="231"/>
        <w:gridCol w:w="157"/>
        <w:gridCol w:w="1095"/>
        <w:gridCol w:w="217"/>
        <w:gridCol w:w="149"/>
        <w:gridCol w:w="1073"/>
        <w:gridCol w:w="226"/>
        <w:gridCol w:w="149"/>
        <w:gridCol w:w="1073"/>
        <w:gridCol w:w="136"/>
      </w:tblGrid>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6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6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7" w:type="dxa"/>
            <w:tcBorders/>
            <w:shd w:fill="auto" w:val="clear"/>
            <w:vAlign w:val="bottom"/>
          </w:tcPr>
          <w:p>
            <w:pPr>
              <w:pStyle w:val="TableContents"/>
              <w:spacing w:before="0" w:after="0"/>
              <w:ind w:left="0" w:right="0" w:hanging="0"/>
              <w:jc w:val="center"/>
              <w:rPr/>
            </w:pPr>
            <w:r>
              <w:rPr/>
              <w:t> </w:t>
            </w:r>
          </w:p>
        </w:tc>
        <w:tc>
          <w:tcPr>
            <w:tcW w:w="26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9"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31"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7"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26"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36" w:type="dxa"/>
            <w:tcBorders/>
            <w:shd w:fill="CCEEFF" w:val="clear"/>
            <w:vAlign w:val="bottom"/>
          </w:tcPr>
          <w:p>
            <w:pPr>
              <w:pStyle w:val="TableContents"/>
              <w:spacing w:before="0" w:after="0"/>
              <w:ind w:left="0" w:right="0" w:hanging="0"/>
              <w:rPr/>
            </w:pPr>
            <w:r>
              <w:rPr/>
              <w:t> </w:t>
            </w:r>
          </w:p>
        </w:tc>
      </w:tr>
      <w:tr>
        <w:trPr/>
        <w:tc>
          <w:tcPr>
            <w:tcW w:w="4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9" w:type="dxa"/>
            <w:tcBorders/>
            <w:shd w:fill="auto" w:val="clear"/>
            <w:vAlign w:val="bottom"/>
          </w:tcPr>
          <w:p>
            <w:pPr>
              <w:pStyle w:val="TableContents"/>
              <w:spacing w:before="0" w:after="0"/>
              <w:ind w:left="0" w:right="0" w:hanging="0"/>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7"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36" w:type="dxa"/>
            <w:tcBorders/>
            <w:shd w:fill="auto" w:val="clear"/>
            <w:vAlign w:val="bottom"/>
          </w:tcPr>
          <w:p>
            <w:pPr>
              <w:pStyle w:val="TableContents"/>
              <w:spacing w:before="0" w:after="0"/>
              <w:ind w:left="0" w:right="0" w:hanging="0"/>
              <w:rPr/>
            </w:pPr>
            <w:r>
              <w:rPr/>
              <w:t> </w:t>
            </w:r>
          </w:p>
        </w:tc>
      </w:tr>
      <w:tr>
        <w:trPr/>
        <w:tc>
          <w:tcPr>
            <w:tcW w:w="4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9" w:type="dxa"/>
            <w:tcBorders/>
            <w:shd w:fill="CCEEFF" w:val="clear"/>
            <w:vAlign w:val="bottom"/>
          </w:tcPr>
          <w:p>
            <w:pPr>
              <w:pStyle w:val="TableContents"/>
              <w:spacing w:before="0" w:after="0"/>
              <w:ind w:left="0" w:right="0" w:hanging="0"/>
              <w:rPr/>
            </w:pPr>
            <w:r>
              <w:rPr/>
              <w:t> </w:t>
            </w:r>
          </w:p>
        </w:tc>
        <w:tc>
          <w:tcPr>
            <w:tcW w:w="12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31" w:type="dxa"/>
            <w:tcBorders/>
            <w:shd w:fill="CCEEFF" w:val="clear"/>
            <w:vAlign w:val="bottom"/>
          </w:tcPr>
          <w:p>
            <w:pPr>
              <w:pStyle w:val="TableContents"/>
              <w:spacing w:before="0" w:after="0"/>
              <w:ind w:left="0" w:right="0" w:hanging="0"/>
              <w:rPr/>
            </w:pPr>
            <w:r>
              <w:rPr/>
              <w:t> </w:t>
            </w:r>
          </w:p>
        </w:tc>
        <w:tc>
          <w:tcPr>
            <w:tcW w:w="12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w:t>
            </w:r>
          </w:p>
        </w:tc>
        <w:tc>
          <w:tcPr>
            <w:tcW w:w="217"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226"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608</w:t>
            </w:r>
          </w:p>
        </w:tc>
        <w:tc>
          <w:tcPr>
            <w:tcW w:w="136" w:type="dxa"/>
            <w:tcBorders/>
            <w:shd w:fill="CCEEFF" w:val="clear"/>
            <w:vAlign w:val="bottom"/>
          </w:tcPr>
          <w:p>
            <w:pPr>
              <w:pStyle w:val="TableContents"/>
              <w:spacing w:before="0" w:after="0"/>
              <w:ind w:left="0" w:right="0" w:hanging="0"/>
              <w:rPr/>
            </w:pPr>
            <w:r>
              <w:rPr/>
              <w:t> </w:t>
            </w:r>
          </w:p>
        </w:tc>
      </w:tr>
      <w:tr>
        <w:trPr/>
        <w:tc>
          <w:tcPr>
            <w:tcW w:w="4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noncontrolling interests</w:t>
            </w:r>
          </w:p>
        </w:tc>
        <w:tc>
          <w:tcPr>
            <w:tcW w:w="209" w:type="dxa"/>
            <w:tcBorders/>
            <w:shd w:fill="auto" w:val="clear"/>
            <w:vAlign w:val="bottom"/>
          </w:tcPr>
          <w:p>
            <w:pPr>
              <w:pStyle w:val="TableContents"/>
              <w:spacing w:before="0" w:after="0"/>
              <w:ind w:left="0" w:right="0" w:hanging="0"/>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9"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3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17"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226"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598</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br/>
        <w:t>CHANGES IN ACCUMULATED OTHER COMPREHENSIVE INCOME</w:t>
      </w:r>
      <w:bookmarkStart w:id="11" w:name="CondensedConsolidatedStatementOfC_000616"/>
      <w:bookmarkEnd w:id="11"/>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441"/>
        <w:gridCol w:w="209"/>
        <w:gridCol w:w="191"/>
        <w:gridCol w:w="1207"/>
        <w:gridCol w:w="221"/>
        <w:gridCol w:w="210"/>
        <w:gridCol w:w="1198"/>
        <w:gridCol w:w="221"/>
        <w:gridCol w:w="160"/>
        <w:gridCol w:w="1006"/>
        <w:gridCol w:w="141"/>
      </w:tblGrid>
      <w:tr>
        <w:trPr/>
        <w:tc>
          <w:tcPr>
            <w:tcW w:w="54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21" w:type="dxa"/>
            <w:tcBorders/>
            <w:shd w:fill="auto" w:val="clear"/>
            <w:vAlign w:val="bottom"/>
          </w:tcPr>
          <w:p>
            <w:pPr>
              <w:pStyle w:val="TableContents"/>
              <w:spacing w:before="0" w:after="0"/>
              <w:ind w:left="0" w:right="0" w:hanging="0"/>
              <w:jc w:val="center"/>
              <w:rPr/>
            </w:pPr>
            <w:r>
              <w:rPr/>
              <w:t> </w:t>
            </w:r>
          </w:p>
        </w:tc>
        <w:tc>
          <w:tcPr>
            <w:tcW w:w="14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21" w:type="dxa"/>
            <w:tcBorders/>
            <w:shd w:fill="auto" w:val="clear"/>
            <w:vAlign w:val="bottom"/>
          </w:tcPr>
          <w:p>
            <w:pPr>
              <w:pStyle w:val="TableContents"/>
              <w:spacing w:before="0" w:after="0"/>
              <w:ind w:left="0" w:right="0" w:hanging="0"/>
              <w:jc w:val="center"/>
              <w:rPr/>
            </w:pPr>
            <w:r>
              <w:rPr/>
              <w:t> </w:t>
            </w:r>
          </w:p>
        </w:tc>
        <w:tc>
          <w:tcPr>
            <w:tcW w:w="1166" w:type="dxa"/>
            <w:gridSpan w:val="2"/>
            <w:tcBorders/>
            <w:shd w:fill="auto" w:val="clear"/>
            <w:vAlign w:val="bottom"/>
          </w:tcPr>
          <w:p>
            <w:pPr>
              <w:pStyle w:val="TableContents"/>
              <w:spacing w:before="0" w:after="0"/>
              <w:ind w:left="0" w:right="0" w:hanging="0"/>
              <w:jc w:val="center"/>
              <w:rPr/>
            </w:pPr>
            <w:r>
              <w:rPr/>
              <w:t> </w:t>
            </w:r>
          </w:p>
        </w:tc>
        <w:tc>
          <w:tcPr>
            <w:tcW w:w="141" w:type="dxa"/>
            <w:tcBorders/>
            <w:shd w:fill="auto" w:val="clear"/>
            <w:vAlign w:val="bottom"/>
          </w:tcPr>
          <w:p>
            <w:pPr>
              <w:pStyle w:val="TableContents"/>
              <w:spacing w:before="0" w:after="0"/>
              <w:ind w:left="0" w:right="0" w:hanging="0"/>
              <w:jc w:val="center"/>
              <w:rPr/>
            </w:pPr>
            <w:r>
              <w:rPr/>
              <w:t> </w:t>
            </w:r>
          </w:p>
        </w:tc>
      </w:tr>
      <w:tr>
        <w:trPr/>
        <w:tc>
          <w:tcPr>
            <w:tcW w:w="54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21" w:type="dxa"/>
            <w:tcBorders/>
            <w:shd w:fill="auto" w:val="clear"/>
            <w:vAlign w:val="bottom"/>
          </w:tcPr>
          <w:p>
            <w:pPr>
              <w:pStyle w:val="TableContents"/>
              <w:spacing w:before="0" w:after="0"/>
              <w:ind w:left="0" w:right="0" w:hanging="0"/>
              <w:jc w:val="center"/>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21"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1" w:type="dxa"/>
            <w:tcBorders/>
            <w:shd w:fill="auto" w:val="clear"/>
            <w:vAlign w:val="bottom"/>
          </w:tcPr>
          <w:p>
            <w:pPr>
              <w:pStyle w:val="TableContents"/>
              <w:spacing w:before="0" w:after="0"/>
              <w:ind w:left="0" w:right="0" w:hanging="0"/>
              <w:jc w:val="center"/>
              <w:rPr/>
            </w:pPr>
            <w:r>
              <w:rPr/>
              <w:t> </w:t>
            </w:r>
          </w:p>
        </w:tc>
      </w:tr>
      <w:tr>
        <w:trPr/>
        <w:tc>
          <w:tcPr>
            <w:tcW w:w="54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441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1" w:type="dxa"/>
            <w:tcBorders/>
            <w:shd w:fill="auto" w:val="clear"/>
            <w:vAlign w:val="bottom"/>
          </w:tcPr>
          <w:p>
            <w:pPr>
              <w:pStyle w:val="TableContents"/>
              <w:spacing w:before="0" w:after="0"/>
              <w:ind w:left="0" w:right="0" w:hanging="0"/>
              <w:jc w:val="center"/>
              <w:rPr/>
            </w:pPr>
            <w:r>
              <w:rPr/>
              <w:t> </w:t>
            </w:r>
          </w:p>
        </w:tc>
      </w:tr>
      <w:tr>
        <w:trPr/>
        <w:tc>
          <w:tcPr>
            <w:tcW w:w="54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2011</w:t>
            </w:r>
          </w:p>
        </w:tc>
        <w:tc>
          <w:tcPr>
            <w:tcW w:w="209"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21"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41" w:type="dxa"/>
            <w:tcBorders/>
            <w:shd w:fill="CCEEFF" w:val="clear"/>
            <w:vAlign w:val="bottom"/>
          </w:tcPr>
          <w:p>
            <w:pPr>
              <w:pStyle w:val="TableContents"/>
              <w:spacing w:before="0" w:after="0"/>
              <w:ind w:left="0" w:right="0" w:hanging="0"/>
              <w:rPr/>
            </w:pPr>
            <w:r>
              <w:rPr/>
              <w:t> </w:t>
            </w:r>
          </w:p>
        </w:tc>
      </w:tr>
      <w:tr>
        <w:trPr/>
        <w:tc>
          <w:tcPr>
            <w:tcW w:w="54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9" w:type="dxa"/>
            <w:tcBorders/>
            <w:shd w:fill="auto" w:val="clear"/>
            <w:vAlign w:val="bottom"/>
          </w:tcPr>
          <w:p>
            <w:pPr>
              <w:pStyle w:val="TableContents"/>
              <w:spacing w:before="0" w:after="0"/>
              <w:ind w:left="0" w:right="0" w:hanging="0"/>
              <w:rPr/>
            </w:pPr>
            <w:r>
              <w:rPr/>
              <w:t> </w:t>
            </w:r>
          </w:p>
        </w:tc>
        <w:tc>
          <w:tcPr>
            <w:tcW w:w="13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1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41" w:type="dxa"/>
            <w:tcBorders/>
            <w:shd w:fill="auto" w:val="clear"/>
            <w:vAlign w:val="bottom"/>
          </w:tcPr>
          <w:p>
            <w:pPr>
              <w:pStyle w:val="TableContents"/>
              <w:spacing w:before="0" w:after="0"/>
              <w:ind w:left="0" w:right="0" w:hanging="0"/>
              <w:rPr/>
            </w:pPr>
            <w:r>
              <w:rPr/>
              <w:t> </w:t>
            </w:r>
          </w:p>
        </w:tc>
      </w:tr>
      <w:tr>
        <w:trPr/>
        <w:tc>
          <w:tcPr>
            <w:tcW w:w="54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Deferred loss on cash flow hedges, net of tax </w:t>
            </w:r>
          </w:p>
        </w:tc>
        <w:tc>
          <w:tcPr>
            <w:tcW w:w="209" w:type="dxa"/>
            <w:tcBorders/>
            <w:shd w:fill="CCEEFF" w:val="clear"/>
            <w:vAlign w:val="bottom"/>
          </w:tcPr>
          <w:p>
            <w:pPr>
              <w:pStyle w:val="TableContents"/>
              <w:spacing w:before="0" w:after="0"/>
              <w:ind w:left="0" w:right="0" w:hanging="0"/>
              <w:rPr/>
            </w:pPr>
            <w:r>
              <w:rPr/>
              <w:t> </w:t>
            </w:r>
          </w:p>
        </w:tc>
        <w:tc>
          <w:tcPr>
            <w:tcW w:w="13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9" w:type="dxa"/>
            <w:tcBorders/>
            <w:shd w:fill="auto" w:val="clear"/>
            <w:vAlign w:val="bottom"/>
          </w:tcPr>
          <w:p>
            <w:pPr>
              <w:pStyle w:val="TableContents"/>
              <w:spacing w:before="0" w:after="0"/>
              <w:ind w:left="0" w:right="0" w:hanging="0"/>
              <w:rPr/>
            </w:pPr>
            <w:r>
              <w:rPr/>
              <w:t> </w:t>
            </w:r>
          </w:p>
        </w:tc>
        <w:tc>
          <w:tcPr>
            <w:tcW w:w="13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9" w:type="dxa"/>
            <w:tcBorders/>
            <w:shd w:fill="CCEEFF" w:val="clear"/>
            <w:vAlign w:val="bottom"/>
          </w:tcPr>
          <w:p>
            <w:pPr>
              <w:pStyle w:val="TableContents"/>
              <w:spacing w:before="0" w:after="0"/>
              <w:ind w:left="0" w:right="0" w:hanging="0"/>
              <w:rPr/>
            </w:pPr>
            <w:r>
              <w:rPr/>
              <w:t> </w:t>
            </w:r>
          </w:p>
        </w:tc>
        <w:tc>
          <w:tcPr>
            <w:tcW w:w="13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June 30, 2012</w:t>
            </w:r>
          </w:p>
        </w:tc>
        <w:tc>
          <w:tcPr>
            <w:tcW w:w="209" w:type="dxa"/>
            <w:tcBorders/>
            <w:shd w:fill="auto" w:val="clear"/>
            <w:vAlign w:val="bottom"/>
          </w:tcPr>
          <w:p>
            <w:pPr>
              <w:pStyle w:val="TableContents"/>
              <w:spacing w:before="0" w:after="0"/>
              <w:ind w:left="0" w:right="0" w:hanging="0"/>
              <w:rPr/>
            </w:pPr>
            <w:r>
              <w:rPr/>
              <w:t> </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1"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2" w:name="PB_5_000631_7056"/>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3" w:name="CondensedConsolidatedStatementsOf_000811"/>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73"/>
        <w:gridCol w:w="213"/>
        <w:gridCol w:w="141"/>
        <w:gridCol w:w="1092"/>
        <w:gridCol w:w="226"/>
        <w:gridCol w:w="141"/>
        <w:gridCol w:w="1092"/>
        <w:gridCol w:w="127"/>
      </w:tblGrid>
      <w:tr>
        <w:trPr/>
        <w:tc>
          <w:tcPr>
            <w:tcW w:w="717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717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7" w:type="dxa"/>
            <w:tcBorders/>
            <w:shd w:fill="auto" w:val="clear"/>
            <w:vAlign w:val="bottom"/>
          </w:tcPr>
          <w:p>
            <w:pPr>
              <w:pStyle w:val="TableContents"/>
              <w:spacing w:before="0" w:after="0"/>
              <w:ind w:left="0" w:right="0" w:hanging="0"/>
              <w:jc w:val="center"/>
              <w:rPr/>
            </w:pPr>
            <w:r>
              <w:rPr/>
              <w:t> </w:t>
            </w:r>
          </w:p>
        </w:tc>
      </w:tr>
      <w:tr>
        <w:trPr/>
        <w:tc>
          <w:tcPr>
            <w:tcW w:w="717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6" w:type="dxa"/>
            <w:tcBorders/>
            <w:shd w:fill="auto" w:val="clear"/>
            <w:vAlign w:val="bottom"/>
          </w:tcPr>
          <w:p>
            <w:pPr>
              <w:pStyle w:val="TableContents"/>
              <w:spacing w:before="0" w:after="0"/>
              <w:ind w:left="0" w:right="0" w:hanging="0"/>
              <w:jc w:val="center"/>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7" w:type="dxa"/>
            <w:tcBorders/>
            <w:shd w:fill="auto" w:val="clear"/>
            <w:vAlign w:val="bottom"/>
          </w:tcPr>
          <w:p>
            <w:pPr>
              <w:pStyle w:val="TableContents"/>
              <w:spacing w:before="0" w:after="0"/>
              <w:ind w:left="0" w:right="0" w:hanging="0"/>
              <w:jc w:val="center"/>
              <w:rPr/>
            </w:pPr>
            <w:r>
              <w:rPr/>
              <w:t> </w:t>
            </w:r>
          </w:p>
        </w:tc>
      </w:tr>
      <w:tr>
        <w:trPr/>
        <w:tc>
          <w:tcPr>
            <w:tcW w:w="717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7" w:type="dxa"/>
            <w:tcBorders/>
            <w:shd w:fill="auto" w:val="clear"/>
            <w:vAlign w:val="bottom"/>
          </w:tcPr>
          <w:p>
            <w:pPr>
              <w:pStyle w:val="TableContents"/>
              <w:spacing w:before="0" w:after="0"/>
              <w:ind w:left="0" w:right="0" w:hanging="0"/>
              <w:jc w:val="center"/>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3"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26"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sales of linefill and base gas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received/(paid) for terminated interest rate and foreign currency hedging instruments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972</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(1,534</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restricted cash </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received/(paid) for sales and purchases of linefill and base gas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(1,027</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revolving credit facility</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(592</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hedged inventory facility</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PNGs credit agreements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1,247</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9)</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borrowings related to cash overdraft</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9)</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9)</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financing activities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1,678</w:t>
            </w:r>
          </w:p>
        </w:tc>
        <w:tc>
          <w:tcPr>
            <w:tcW w:w="226"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decrease in cash and cash equivalents</w:t>
            </w:r>
          </w:p>
        </w:tc>
        <w:tc>
          <w:tcPr>
            <w:tcW w:w="213"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3"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6"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3"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6"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27" w:type="dxa"/>
            <w:tcBorders/>
            <w:shd w:fill="auto" w:val="clear"/>
            <w:vAlign w:val="bottom"/>
          </w:tcPr>
          <w:p>
            <w:pPr>
              <w:pStyle w:val="TableContents"/>
              <w:spacing w:before="0" w:after="0"/>
              <w:ind w:left="0" w:right="0" w:hanging="0"/>
              <w:rPr/>
            </w:pPr>
            <w:r>
              <w:rPr/>
              <w:t> </w:t>
            </w:r>
          </w:p>
        </w:tc>
      </w:tr>
      <w:tr>
        <w:trPr/>
        <w:tc>
          <w:tcPr>
            <w:tcW w:w="7173"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income taxes, net of amounts refunded</w:t>
            </w:r>
          </w:p>
        </w:tc>
        <w:tc>
          <w:tcPr>
            <w:tcW w:w="213"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6"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4" w:name="PB_6_001257_5335"/>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5" w:name="CondensedConsolidatedStatementOfP_001305"/>
      <w:bookmarkEnd w:id="15"/>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367"/>
        <w:gridCol w:w="169"/>
        <w:gridCol w:w="944"/>
        <w:gridCol w:w="169"/>
        <w:gridCol w:w="146"/>
        <w:gridCol w:w="821"/>
        <w:gridCol w:w="184"/>
        <w:gridCol w:w="167"/>
        <w:gridCol w:w="773"/>
        <w:gridCol w:w="184"/>
        <w:gridCol w:w="237"/>
        <w:gridCol w:w="1298"/>
        <w:gridCol w:w="184"/>
        <w:gridCol w:w="259"/>
        <w:gridCol w:w="1016"/>
        <w:gridCol w:w="184"/>
        <w:gridCol w:w="146"/>
        <w:gridCol w:w="821"/>
        <w:gridCol w:w="136"/>
      </w:tblGrid>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shd w:fill="auto" w:val="clear"/>
            <w:vAlign w:val="bottom"/>
          </w:tcPr>
          <w:p>
            <w:pPr>
              <w:pStyle w:val="TableContents"/>
              <w:spacing w:before="0" w:after="0"/>
              <w:ind w:left="0" w:right="0" w:hanging="0"/>
              <w:jc w:val="center"/>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shd w:fill="auto" w:val="clear"/>
            <w:vAlign w:val="bottom"/>
          </w:tcPr>
          <w:p>
            <w:pPr>
              <w:pStyle w:val="TableContents"/>
              <w:spacing w:before="0" w:after="0"/>
              <w:ind w:left="0" w:right="0" w:hanging="0"/>
              <w:jc w:val="center"/>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208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7533"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December 31, 2011</w:t>
            </w:r>
          </w:p>
        </w:tc>
        <w:tc>
          <w:tcPr>
            <w:tcW w:w="169" w:type="dxa"/>
            <w:tcBorders/>
            <w:shd w:fill="CCEEFF" w:val="clear"/>
            <w:vAlign w:val="bottom"/>
          </w:tcPr>
          <w:p>
            <w:pPr>
              <w:pStyle w:val="TableContents"/>
              <w:spacing w:before="0" w:after="0"/>
              <w:ind w:left="0" w:right="0" w:hanging="0"/>
              <w:rPr/>
            </w:pPr>
            <w:r>
              <w:rPr/>
              <w:t> </w:t>
            </w:r>
          </w:p>
        </w:tc>
        <w:tc>
          <w:tcPr>
            <w:tcW w:w="9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155.4</w:t>
            </w:r>
          </w:p>
        </w:tc>
        <w:tc>
          <w:tcPr>
            <w:tcW w:w="16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5,249</w:t>
            </w:r>
          </w:p>
        </w:tc>
        <w:tc>
          <w:tcPr>
            <w:tcW w:w="184"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184"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84" w:type="dxa"/>
            <w:tcBorders/>
            <w:shd w:fill="CCEEFF" w:val="clear"/>
            <w:vAlign w:val="bottom"/>
          </w:tcPr>
          <w:p>
            <w:pPr>
              <w:pStyle w:val="TableContents"/>
              <w:spacing w:before="0" w:after="0"/>
              <w:ind w:left="0" w:right="0" w:hanging="0"/>
              <w:rPr/>
            </w:pPr>
            <w:r>
              <w:rPr/>
              <w:t> </w:t>
            </w:r>
          </w:p>
        </w:tc>
        <w:tc>
          <w:tcPr>
            <w:tcW w:w="2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84"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36" w:type="dxa"/>
            <w:tcBorders/>
            <w:shd w:fill="CCEEFF" w:val="clear"/>
            <w:vAlign w:val="bottom"/>
          </w:tcPr>
          <w:p>
            <w:pPr>
              <w:pStyle w:val="TableContents"/>
              <w:spacing w:before="0" w:after="0"/>
              <w:ind w:left="0" w:right="0" w:hanging="0"/>
              <w:rPr/>
            </w:pPr>
            <w:r>
              <w:rPr/>
              <w:t> </w:t>
            </w:r>
          </w:p>
        </w:tc>
      </w:tr>
      <w:tr>
        <w:trPr/>
        <w:tc>
          <w:tcPr>
            <w:tcW w:w="236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84"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4"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36" w:type="dxa"/>
            <w:tcBorders/>
            <w:shd w:fill="CCEEFF" w:val="clear"/>
            <w:vAlign w:val="bottom"/>
          </w:tcPr>
          <w:p>
            <w:pPr>
              <w:pStyle w:val="TableContents"/>
              <w:spacing w:before="0" w:after="0"/>
              <w:ind w:left="0" w:right="0" w:hanging="0"/>
              <w:rPr/>
            </w:pPr>
            <w:r>
              <w:rPr/>
              <w:t> </w:t>
            </w:r>
          </w:p>
        </w:tc>
      </w:tr>
      <w:tr>
        <w:trPr/>
        <w:tc>
          <w:tcPr>
            <w:tcW w:w="236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69" w:type="dxa"/>
            <w:tcBorders/>
            <w:shd w:fill="CCEEFF" w:val="clear"/>
            <w:vAlign w:val="bottom"/>
          </w:tcPr>
          <w:p>
            <w:pPr>
              <w:pStyle w:val="TableContents"/>
              <w:spacing w:before="0" w:after="0"/>
              <w:ind w:left="0" w:right="0" w:hanging="0"/>
              <w:rPr/>
            </w:pPr>
            <w:r>
              <w:rPr/>
              <w:t> </w:t>
            </w:r>
          </w:p>
        </w:tc>
        <w:tc>
          <w:tcPr>
            <w:tcW w:w="94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6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June 30, 2012</w:t>
            </w:r>
          </w:p>
        </w:tc>
        <w:tc>
          <w:tcPr>
            <w:tcW w:w="169" w:type="dxa"/>
            <w:tcBorders/>
            <w:shd w:fill="auto" w:val="clear"/>
            <w:vAlign w:val="bottom"/>
          </w:tcPr>
          <w:p>
            <w:pPr>
              <w:pStyle w:val="TableContents"/>
              <w:spacing w:before="0" w:after="0"/>
              <w:ind w:left="0" w:right="0" w:hanging="0"/>
              <w:rPr/>
            </w:pPr>
            <w:r>
              <w:rPr/>
              <w:t> </w:t>
            </w:r>
          </w:p>
        </w:tc>
        <w:tc>
          <w:tcPr>
            <w:tcW w:w="9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162.6</w:t>
            </w:r>
          </w:p>
        </w:tc>
        <w:tc>
          <w:tcPr>
            <w:tcW w:w="169"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5,909</w:t>
            </w:r>
          </w:p>
        </w:tc>
        <w:tc>
          <w:tcPr>
            <w:tcW w:w="184"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84" w:type="dxa"/>
            <w:tcBorders/>
            <w:shd w:fill="auto" w:val="clear"/>
            <w:vAlign w:val="bottom"/>
          </w:tcPr>
          <w:p>
            <w:pPr>
              <w:pStyle w:val="TableContents"/>
              <w:spacing w:before="0" w:after="0"/>
              <w:ind w:left="0" w:right="0" w:hanging="0"/>
              <w:rPr/>
            </w:pPr>
            <w:r>
              <w:rPr/>
              <w:t> </w:t>
            </w:r>
          </w:p>
        </w:tc>
        <w:tc>
          <w:tcPr>
            <w:tcW w:w="2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6,135</w:t>
            </w:r>
          </w:p>
        </w:tc>
        <w:tc>
          <w:tcPr>
            <w:tcW w:w="184" w:type="dxa"/>
            <w:tcBorders/>
            <w:shd w:fill="auto" w:val="clear"/>
            <w:vAlign w:val="bottom"/>
          </w:tcPr>
          <w:p>
            <w:pPr>
              <w:pStyle w:val="TableContents"/>
              <w:spacing w:before="0" w:after="0"/>
              <w:ind w:left="0" w:right="0" w:hanging="0"/>
              <w:rPr/>
            </w:pPr>
            <w:r>
              <w:rPr/>
              <w:t> </w:t>
            </w:r>
          </w:p>
        </w:tc>
        <w:tc>
          <w:tcPr>
            <w:tcW w:w="2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84"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6,645</w:t>
            </w:r>
          </w:p>
        </w:tc>
        <w:tc>
          <w:tcPr>
            <w:tcW w:w="13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6" w:name="PB_7_001513_5796"/>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w:t>
      </w:r>
      <w:bookmarkStart w:id="17" w:name="NotesToCondensedConsolidatedFinan_032818"/>
      <w:bookmarkEnd w:id="17"/>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8" w:name="Note1organizationAndBasisOfPresen_032820"/>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As used in this Form 10-Q and unless the context indicates otherwise, the terms Partnership, Plains, PAA, we, us, our, ours and similar terms refer to Plains All American Pipeline, L.P. and its subsidiaries.  Also,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liquid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three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56"/>
        <w:gridCol w:w="210"/>
        <w:gridCol w:w="421"/>
        <w:gridCol w:w="210"/>
        <w:gridCol w:w="8208"/>
      </w:tblGrid>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CME</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Chicago Mercantile 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GAAP</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MQD</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Minimum quarterly distribution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including ethane, natural gasoline products, propane and butane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Securities and Exchange Commission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9" w:name="PB_8_013116_5335"/>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interim financial statements and notes thereto should be read in conjunction with our 2011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As discussed further below, certain reclassifications have been made to information from previous years to conform to the current presentation.  The condensed balance sheet data as of December 31, 2011 was derived from audited financial statements, but does not include all disclosures required by GAAP.  The results of operations for the three and six months ended June 30, 2012 should not be taken as indicative of results to be expected for the entire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Revision of Prior Period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Limited Partner and General Partner Income Allocation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we identified an error in the manner in which we allocate net income to our limited partners and general partner. Previously, we calculated net income available to limited partners based on the distribution paid during the period by first allocating the incentive distribution paid during the period to the general partner and then allocating the remaining net income based on ownership interests (98% limited partner and 2% general partner). We have revised our methodology for the calculation of this allocation to take into account the distributions attributable to the period, which include distributions paid in the subsequent period. This revision does not impact net income, net income attributable to Plains, net income per limited partner unit, total partners capital or cash flows. We have determined that the impact of this error is not material to the previously issued financial statements. We have presented these changes retrospectively in the condensed consolidated statement of operations, which resulted in the following changes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90"/>
        <w:gridCol w:w="207"/>
        <w:gridCol w:w="182"/>
        <w:gridCol w:w="1133"/>
        <w:gridCol w:w="221"/>
        <w:gridCol w:w="170"/>
        <w:gridCol w:w="1102"/>
        <w:gridCol w:w="207"/>
        <w:gridCol w:w="182"/>
        <w:gridCol w:w="1132"/>
        <w:gridCol w:w="215"/>
        <w:gridCol w:w="161"/>
        <w:gridCol w:w="1076"/>
        <w:gridCol w:w="127"/>
      </w:tblGrid>
      <w:tr>
        <w:trPr/>
        <w:tc>
          <w:tcPr>
            <w:tcW w:w="4090"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7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4090"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2011</w:t>
            </w:r>
          </w:p>
        </w:tc>
        <w:tc>
          <w:tcPr>
            <w:tcW w:w="207" w:type="dxa"/>
            <w:tcBorders/>
            <w:shd w:fill="auto" w:val="clear"/>
            <w:vAlign w:val="bottom"/>
          </w:tcPr>
          <w:p>
            <w:pPr>
              <w:pStyle w:val="TableContents"/>
              <w:spacing w:before="0" w:after="0"/>
              <w:ind w:left="0" w:right="0" w:hanging="0"/>
              <w:jc w:val="center"/>
              <w:rPr/>
            </w:pPr>
            <w:r>
              <w:rPr/>
              <w:t> </w:t>
            </w:r>
          </w:p>
        </w:tc>
        <w:tc>
          <w:tcPr>
            <w:tcW w:w="27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2011</w:t>
            </w:r>
          </w:p>
        </w:tc>
        <w:tc>
          <w:tcPr>
            <w:tcW w:w="127" w:type="dxa"/>
            <w:tcBorders/>
            <w:shd w:fill="auto" w:val="clear"/>
            <w:vAlign w:val="bottom"/>
          </w:tcPr>
          <w:p>
            <w:pPr>
              <w:pStyle w:val="TableContents"/>
              <w:spacing w:before="0" w:after="0"/>
              <w:ind w:left="0" w:right="0" w:hanging="0"/>
              <w:jc w:val="center"/>
              <w:rPr/>
            </w:pPr>
            <w:r>
              <w:rPr/>
              <w:t> </w:t>
            </w:r>
          </w:p>
        </w:tc>
      </w:tr>
      <w:tr>
        <w:trPr/>
        <w:tc>
          <w:tcPr>
            <w:tcW w:w="4090"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Previously</w:t>
              <w:br/>
              <w:t>Reported</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Revised</w:t>
            </w:r>
          </w:p>
        </w:tc>
        <w:tc>
          <w:tcPr>
            <w:tcW w:w="207" w:type="dxa"/>
            <w:tcBorders/>
            <w:shd w:fill="auto" w:val="clear"/>
            <w:vAlign w:val="bottom"/>
          </w:tcPr>
          <w:p>
            <w:pPr>
              <w:pStyle w:val="TableContents"/>
              <w:spacing w:before="0" w:after="0"/>
              <w:ind w:left="0" w:right="0" w:hanging="0"/>
              <w:jc w:val="center"/>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Previously</w:t>
              <w:br/>
              <w:t>Reported</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Revised</w:t>
            </w:r>
          </w:p>
        </w:tc>
        <w:tc>
          <w:tcPr>
            <w:tcW w:w="127" w:type="dxa"/>
            <w:tcBorders/>
            <w:shd w:fill="auto" w:val="clear"/>
            <w:vAlign w:val="bottom"/>
          </w:tcPr>
          <w:p>
            <w:pPr>
              <w:pStyle w:val="TableContents"/>
              <w:spacing w:before="0" w:after="0"/>
              <w:ind w:left="0" w:right="0" w:hanging="0"/>
              <w:jc w:val="center"/>
              <w:rPr/>
            </w:pPr>
            <w:r>
              <w:rPr/>
              <w:t> </w:t>
            </w:r>
          </w:p>
        </w:tc>
      </w:tr>
      <w:tr>
        <w:trPr/>
        <w:tc>
          <w:tcPr>
            <w:tcW w:w="4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31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4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07"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21"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07"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5"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7" w:type="dxa"/>
            <w:tcBorders/>
            <w:shd w:fill="auto" w:val="clear"/>
            <w:vAlign w:val="bottom"/>
          </w:tcPr>
          <w:p>
            <w:pPr>
              <w:pStyle w:val="TableContents"/>
              <w:spacing w:before="0" w:after="0"/>
              <w:ind w:left="0" w:right="0" w:hanging="0"/>
              <w:rPr/>
            </w:pPr>
            <w:r>
              <w:rPr/>
              <w:t> </w:t>
            </w:r>
          </w:p>
        </w:tc>
      </w:tr>
      <w:tr>
        <w:trPr/>
        <w:tc>
          <w:tcPr>
            <w:tcW w:w="4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7" w:type="dxa"/>
            <w:tcBorders/>
            <w:shd w:fill="CCEEFF"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21" w:type="dxa"/>
            <w:tcBorders/>
            <w:shd w:fill="CCEEFF"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7" w:type="dxa"/>
            <w:tcBorders/>
            <w:shd w:fill="CCEEFF" w:val="clear"/>
            <w:vAlign w:val="bottom"/>
          </w:tcPr>
          <w:p>
            <w:pPr>
              <w:pStyle w:val="TableContents"/>
              <w:spacing w:before="0" w:after="0"/>
              <w:ind w:left="0" w:right="0" w:hanging="0"/>
              <w:rPr/>
            </w:pPr>
            <w:r>
              <w:rPr/>
              <w:t> </w:t>
            </w:r>
          </w:p>
        </w:tc>
        <w:tc>
          <w:tcPr>
            <w:tcW w:w="13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5" w:type="dxa"/>
            <w:tcBorders/>
            <w:shd w:fill="CCEEFF"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7" w:type="dxa"/>
            <w:tcBorders/>
            <w:shd w:fill="CCEEFF" w:val="clear"/>
            <w:vAlign w:val="bottom"/>
          </w:tcPr>
          <w:p>
            <w:pPr>
              <w:pStyle w:val="TableContents"/>
              <w:spacing w:before="0" w:after="0"/>
              <w:ind w:left="0" w:right="0" w:hanging="0"/>
              <w:rPr/>
            </w:pPr>
            <w:r>
              <w:rPr/>
              <w:t> </w:t>
            </w:r>
          </w:p>
        </w:tc>
      </w:tr>
      <w:tr>
        <w:trPr/>
        <w:tc>
          <w:tcPr>
            <w:tcW w:w="4090"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21"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07"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5"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20" w:name="Note2recentAccountingPronouncemen_113956"/>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2011 Annual Report on Form 10-K, no new accounting pronouncements have become effective during the six months ended June 30, 2012</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2011, the FASB issued guidance with the purpose of simplifying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became effective for annual and interim goodwill impairment tests performed for fiscal years beginning after December 15, 2011.  We adopted this guidance on January 1, 2012.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June 2011, the FASB issued guidance regarding the presentation of other comprehensive income, which was later amended in December 2011, with the purpose of increasing the prominence of other comprehensive income in financial statements.  This guidance, as amended, requires entities to present comprehensive income in either (i) a single continuous statement of comprehensive income or (ii) two separate but consecutive statements.  This guidance became effective for interim and annual periods beginning after December 15, 2011.  We adopted the guidance, as amended, on January 1, 2012.  Since this guidance only impacts the presentation of comprehensive income and does not change the composition or calculation of such financial information, adoption did not have a material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1" w:name="PB_9_013219_5796"/>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2011, the FASB issued guidance to amend certain fair value measurement and disclosure requirements in an effort to improve consistency with international reporting standards.  The amendments generally clarify that the concepts of highest and best use and valuation premise in fair value measurement are relevant only when measuring the fair value of non-financial assets and are not relevant when measuring the fair value of financial assets or of liabilities.  In addition, the guidance expanded disclosure requirements associated with (i) unobservable inputs for Level 3 fair value measurements and (ii) items that are not measured at fair value in the financial statements, but for which fair value is required to be disclosed.  This guidance became effective prospectively for interim and annual reporting periods beginning after December 15, 2011.  We adopted this guidance on January 1, 2012.  Other than requiring additional disclosure, which is included in Note 7 and Note 11,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3Accounts Receivable</w:t>
      </w:r>
      <w:bookmarkStart w:id="22" w:name="Note3accountsReceivable_032829"/>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2012 and December 31, 2011, substantially all of our accounts receivable (net of allowance for doubtful accounts) were less than 30 days past their scheduled invoice date.  Our allowance for doubtful accounts receivable totaled approximately $5 million at both June 30, 2012 and December 31, 2011.  Although we consider our allowance for doubtful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risks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June 30, 2012 and December 31, 2011, we had received approximately $198 million and $186 million, respectively, of advance cash payments from third parties to mitigate credit risk.  In addition, we enter into netting arrangements (contractual agreements that allow us and the counterparty to offset receivables and payables against each other) that cover a significant portion of our transactions and also serve to mitigate credit risk.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4Acquisitions</w:t>
      </w:r>
      <w:bookmarkStart w:id="23" w:name="Note4acquisitions_032833"/>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acquisitions were accounted for using the acquisition method of accounting and the determination of the fair value of the assets and liabilities acquired has been estimated in accordance with the applicable accounting guidance.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1, 2012, we acquired all of the outstanding shares of BP Canada Energy Company (BPCEC), a wholly owned subsidiary of BP Corporation North America Inc. (BP North America) from Amoco Canada International Holdings B.V. (the Seller).  Total consideration for this acquisition (referred to herein as the BP NGL Acquisition), which was based on an October 1, 2011 effective date, was approximately $1.68 billion in cash, including $17 million of imputed interest, subject to working capital and other adjustments.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completion of this acquisition, we became the indirect owner of all of BP North Americas Canadian-based NGL business and certain of BP North Americas NGL assets located in the upper-Midwest United States (collectively the BP NGL Assets). The BP NGL Assets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Bcf per day; and long-term and seasonal NGL inventories of approximately 8 million barrels upon closing. Certain of these pipelines and storage assets are currently inactive.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the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4" w:name="PB_10_013229_2897"/>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preliminary determination of the fair value of the assets and liabilities acquired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05"/>
        <w:gridCol w:w="208"/>
        <w:gridCol w:w="112"/>
        <w:gridCol w:w="1057"/>
        <w:gridCol w:w="210"/>
        <w:gridCol w:w="1301"/>
        <w:gridCol w:w="112"/>
      </w:tblGrid>
      <w:tr>
        <w:trPr/>
        <w:tc>
          <w:tcPr>
            <w:tcW w:w="72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112" w:type="dxa"/>
            <w:tcBorders/>
            <w:shd w:fill="auto" w:val="clear"/>
            <w:vAlign w:val="bottom"/>
          </w:tcPr>
          <w:p>
            <w:pPr>
              <w:pStyle w:val="TableContents"/>
              <w:spacing w:before="0" w:after="0"/>
              <w:ind w:left="0" w:right="0" w:hanging="0"/>
              <w:jc w:val="center"/>
              <w:rPr/>
            </w:pPr>
            <w:r>
              <w:rPr/>
              <w:t> </w:t>
            </w:r>
          </w:p>
        </w:tc>
      </w:tr>
      <w:tr>
        <w:trPr/>
        <w:tc>
          <w:tcPr>
            <w:tcW w:w="72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Depreciable</w:t>
            </w:r>
          </w:p>
        </w:tc>
        <w:tc>
          <w:tcPr>
            <w:tcW w:w="112" w:type="dxa"/>
            <w:tcBorders/>
            <w:shd w:fill="auto" w:val="clear"/>
            <w:vAlign w:val="bottom"/>
          </w:tcPr>
          <w:p>
            <w:pPr>
              <w:pStyle w:val="TableContents"/>
              <w:spacing w:before="0" w:after="0"/>
              <w:ind w:left="0" w:right="0" w:hanging="0"/>
              <w:jc w:val="center"/>
              <w:rPr/>
            </w:pPr>
            <w:r>
              <w:rPr/>
              <w:t> </w:t>
            </w:r>
          </w:p>
        </w:tc>
      </w:tr>
      <w:tr>
        <w:trPr/>
        <w:tc>
          <w:tcPr>
            <w:tcW w:w="720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08"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10" w:type="dxa"/>
            <w:tcBorders/>
            <w:shd w:fill="auto" w:val="clear"/>
            <w:vAlign w:val="bottom"/>
          </w:tcPr>
          <w:p>
            <w:pPr>
              <w:pStyle w:val="TableContents"/>
              <w:spacing w:before="0" w:after="0"/>
              <w:ind w:left="0" w:right="0" w:hanging="0"/>
              <w:jc w:val="center"/>
              <w:rPr/>
            </w:pPr>
            <w:r>
              <w:rPr/>
              <w:t> </w:t>
            </w:r>
          </w:p>
        </w:tc>
        <w:tc>
          <w:tcPr>
            <w:tcW w:w="130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Life (in years)</w:t>
            </w:r>
          </w:p>
        </w:tc>
        <w:tc>
          <w:tcPr>
            <w:tcW w:w="112" w:type="dxa"/>
            <w:tcBorders/>
            <w:shd w:fill="auto" w:val="clear"/>
            <w:vAlign w:val="bottom"/>
          </w:tcPr>
          <w:p>
            <w:pPr>
              <w:pStyle w:val="TableContents"/>
              <w:spacing w:before="0" w:after="0"/>
              <w:ind w:left="0" w:right="0" w:hanging="0"/>
              <w:jc w:val="center"/>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Working capital </w:t>
            </w:r>
          </w:p>
        </w:tc>
        <w:tc>
          <w:tcPr>
            <w:tcW w:w="208"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0" w:type="dxa"/>
            <w:tcBorders/>
            <w:shd w:fill="CCEEFF" w:val="clear"/>
            <w:vAlign w:val="bottom"/>
          </w:tcPr>
          <w:p>
            <w:pPr>
              <w:pStyle w:val="TableContents"/>
              <w:spacing w:before="0" w:after="0"/>
              <w:ind w:left="0" w:right="0" w:hanging="0"/>
              <w:rPr/>
            </w:pPr>
            <w:r>
              <w:rPr/>
              <w:t> </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5 - 70</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0" w:type="dxa"/>
            <w:tcBorders/>
            <w:shd w:fill="CCEEFF" w:val="clear"/>
            <w:vAlign w:val="bottom"/>
          </w:tcPr>
          <w:p>
            <w:pPr>
              <w:pStyle w:val="TableContents"/>
              <w:spacing w:before="0" w:after="0"/>
              <w:ind w:left="0" w:right="0" w:hanging="0"/>
              <w:rPr/>
            </w:pPr>
            <w:r>
              <w:rPr/>
              <w:t> </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Intangible assets (contract)</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0" w:type="dxa"/>
            <w:tcBorders/>
            <w:shd w:fill="CCEEFF" w:val="clear"/>
            <w:vAlign w:val="bottom"/>
          </w:tcPr>
          <w:p>
            <w:pPr>
              <w:pStyle w:val="TableContents"/>
              <w:spacing w:before="0" w:after="0"/>
              <w:ind w:left="0" w:right="0" w:hanging="0"/>
              <w:rPr/>
            </w:pPr>
            <w:r>
              <w:rPr/>
              <w:t> </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liability</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Environmental liability</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08"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 of the assets and liabilities acquired is preliminary pending completion of internal valuation procedures and resolution of working capital and other adjustments. We expect to finalize our fair value determination during 2012. 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preliminary determination of fair value to intangible assets above is comprised of a contract with a 14 year life.  Amortization of the contract under the declining balance method of amortization for the five full or partial calendar years following the acquisition date is estimated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13"/>
        <w:gridCol w:w="212"/>
        <w:gridCol w:w="114"/>
        <w:gridCol w:w="1054"/>
        <w:gridCol w:w="112"/>
      </w:tblGrid>
      <w:tr>
        <w:trPr/>
        <w:tc>
          <w:tcPr>
            <w:tcW w:w="8713" w:type="dxa"/>
            <w:tcBorders/>
            <w:shd w:fill="CCEEFF" w:val="clear"/>
            <w:vAlign w:val="bottom"/>
          </w:tcPr>
          <w:p>
            <w:pPr>
              <w:pStyle w:val="TableContents"/>
              <w:spacing w:before="0" w:after="0"/>
              <w:ind w:left="0" w:right="0" w:hanging="0"/>
              <w:rPr/>
            </w:pPr>
            <w:r>
              <w:rPr>
                <w:rFonts w:ascii="Times New Roman" w:hAnsi="Times New Roman"/>
                <w:sz w:val="17"/>
              </w:rPr>
              <w:t xml:space="preserve">2012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2" w:type="dxa"/>
            <w:tcBorders/>
            <w:shd w:fill="auto" w:val="clear"/>
            <w:vAlign w:val="bottom"/>
          </w:tcPr>
          <w:p>
            <w:pPr>
              <w:pStyle w:val="TableContents"/>
              <w:spacing w:before="0" w:after="0"/>
              <w:ind w:left="0" w:right="0" w:hanging="0"/>
              <w:rPr/>
            </w:pPr>
            <w:r>
              <w:rPr/>
              <w:t> </w:t>
            </w:r>
          </w:p>
        </w:tc>
      </w:tr>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2015</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2" w:type="dxa"/>
            <w:tcBorders/>
            <w:shd w:fill="auto" w:val="clear"/>
            <w:vAlign w:val="bottom"/>
          </w:tcPr>
          <w:p>
            <w:pPr>
              <w:pStyle w:val="TableContents"/>
              <w:spacing w:before="0" w:after="0"/>
              <w:ind w:left="0" w:right="0" w:hanging="0"/>
              <w:rPr/>
            </w:pPr>
            <w:r>
              <w:rPr/>
              <w:t> </w:t>
            </w:r>
          </w:p>
        </w:tc>
      </w:tr>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2016</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2017</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Estimated amortization is for the period of April 1, 2012 through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preliminary determination of total assets and total net assets by segment as a result of the BP NGL Acquisition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01"/>
        <w:gridCol w:w="211"/>
        <w:gridCol w:w="113"/>
        <w:gridCol w:w="1071"/>
        <w:gridCol w:w="211"/>
        <w:gridCol w:w="113"/>
        <w:gridCol w:w="1071"/>
        <w:gridCol w:w="114"/>
      </w:tblGrid>
      <w:tr>
        <w:trPr/>
        <w:tc>
          <w:tcPr>
            <w:tcW w:w="7301" w:type="dxa"/>
            <w:tcBorders/>
            <w:shd w:fill="FFFFFF" w:val="clear"/>
            <w:vAlign w:val="bottom"/>
          </w:tcPr>
          <w:p>
            <w:pPr>
              <w:pStyle w:val="TableContents"/>
              <w:spacing w:before="0" w:after="0"/>
              <w:ind w:left="0" w:right="0" w:hanging="0"/>
              <w:rPr/>
            </w:pPr>
            <w:r>
              <w:rPr/>
              <w:t> </w:t>
            </w:r>
          </w:p>
        </w:tc>
        <w:tc>
          <w:tcPr>
            <w:tcW w:w="211" w:type="dxa"/>
            <w:tcBorders/>
            <w:shd w:fill="FFFFFF" w:val="clear"/>
            <w:vAlign w:val="bottom"/>
          </w:tcPr>
          <w:p>
            <w:pPr>
              <w:pStyle w:val="TableContents"/>
              <w:spacing w:before="0" w:after="0"/>
              <w:ind w:left="0" w:right="0" w:hanging="0"/>
              <w:jc w:val="center"/>
              <w:rPr/>
            </w:pPr>
            <w:r>
              <w:rPr/>
              <w:t> </w:t>
            </w:r>
          </w:p>
        </w:tc>
        <w:tc>
          <w:tcPr>
            <w:tcW w:w="1184"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11" w:type="dxa"/>
            <w:tcBorders/>
            <w:shd w:fill="FFFFFF" w:val="clear"/>
            <w:vAlign w:val="bottom"/>
          </w:tcPr>
          <w:p>
            <w:pPr>
              <w:pStyle w:val="TableContents"/>
              <w:spacing w:before="0" w:after="0"/>
              <w:ind w:left="0" w:right="0" w:hanging="0"/>
              <w:jc w:val="center"/>
              <w:rPr/>
            </w:pPr>
            <w:r>
              <w:rPr/>
              <w:t> </w:t>
            </w:r>
          </w:p>
        </w:tc>
        <w:tc>
          <w:tcPr>
            <w:tcW w:w="1184"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4" w:type="dxa"/>
            <w:tcBorders/>
            <w:shd w:fill="FFFFFF" w:val="clear"/>
            <w:vAlign w:val="bottom"/>
          </w:tcPr>
          <w:p>
            <w:pPr>
              <w:pStyle w:val="TableContents"/>
              <w:spacing w:before="0" w:after="0"/>
              <w:ind w:left="0" w:right="0" w:hanging="0"/>
              <w:jc w:val="center"/>
              <w:rPr/>
            </w:pPr>
            <w:r>
              <w:rPr/>
              <w:t> </w:t>
            </w:r>
          </w:p>
        </w:tc>
      </w:tr>
      <w:tr>
        <w:trPr/>
        <w:tc>
          <w:tcPr>
            <w:tcW w:w="7301" w:type="dxa"/>
            <w:tcBorders/>
            <w:shd w:fill="FFFFFF" w:val="clear"/>
            <w:vAlign w:val="bottom"/>
          </w:tcPr>
          <w:p>
            <w:pPr>
              <w:pStyle w:val="TableContents"/>
              <w:spacing w:before="0" w:after="0"/>
              <w:ind w:left="0" w:right="0" w:hanging="0"/>
              <w:jc w:val="center"/>
              <w:rPr/>
            </w:pPr>
            <w:r>
              <w:rPr/>
              <w:t> </w:t>
            </w:r>
          </w:p>
        </w:tc>
        <w:tc>
          <w:tcPr>
            <w:tcW w:w="211" w:type="dxa"/>
            <w:tcBorders/>
            <w:shd w:fill="FFFFFF" w:val="clear"/>
            <w:vAlign w:val="bottom"/>
          </w:tcPr>
          <w:p>
            <w:pPr>
              <w:pStyle w:val="TableContents"/>
              <w:spacing w:before="0" w:after="0"/>
              <w:ind w:left="0" w:right="0" w:hanging="0"/>
              <w:jc w:val="center"/>
              <w:rPr/>
            </w:pPr>
            <w:r>
              <w:rPr/>
              <w:t> </w:t>
            </w:r>
          </w:p>
        </w:tc>
        <w:tc>
          <w:tcPr>
            <w:tcW w:w="118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Assets</w:t>
            </w:r>
          </w:p>
        </w:tc>
        <w:tc>
          <w:tcPr>
            <w:tcW w:w="211" w:type="dxa"/>
            <w:tcBorders/>
            <w:shd w:fill="FFFFFF" w:val="clear"/>
            <w:vAlign w:val="bottom"/>
          </w:tcPr>
          <w:p>
            <w:pPr>
              <w:pStyle w:val="TableContents"/>
              <w:spacing w:before="0" w:after="0"/>
              <w:ind w:left="0" w:right="0" w:hanging="0"/>
              <w:jc w:val="center"/>
              <w:rPr/>
            </w:pPr>
            <w:r>
              <w:rPr/>
              <w:t> </w:t>
            </w:r>
          </w:p>
        </w:tc>
        <w:tc>
          <w:tcPr>
            <w:tcW w:w="118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 Assets</w:t>
            </w:r>
          </w:p>
        </w:tc>
        <w:tc>
          <w:tcPr>
            <w:tcW w:w="114" w:type="dxa"/>
            <w:tcBorders/>
            <w:shd w:fill="FFFFFF" w:val="clear"/>
            <w:vAlign w:val="bottom"/>
          </w:tcPr>
          <w:p>
            <w:pPr>
              <w:pStyle w:val="TableContents"/>
              <w:spacing w:before="0" w:after="0"/>
              <w:ind w:left="0" w:right="0" w:hanging="0"/>
              <w:jc w:val="center"/>
              <w:rPr/>
            </w:pPr>
            <w:r>
              <w:rPr/>
              <w:t> </w:t>
            </w:r>
          </w:p>
        </w:tc>
      </w:tr>
      <w:tr>
        <w:trPr/>
        <w:tc>
          <w:tcPr>
            <w:tcW w:w="7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11"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211"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w:t>
            </w:r>
          </w:p>
        </w:tc>
        <w:tc>
          <w:tcPr>
            <w:tcW w:w="114" w:type="dxa"/>
            <w:tcBorders/>
            <w:shd w:fill="CCEEFF" w:val="clear"/>
            <w:vAlign w:val="bottom"/>
          </w:tcPr>
          <w:p>
            <w:pPr>
              <w:pStyle w:val="TableContents"/>
              <w:spacing w:before="0" w:after="0"/>
              <w:ind w:left="0" w:right="0" w:hanging="0"/>
              <w:rPr/>
            </w:pPr>
            <w:r>
              <w:rPr/>
              <w:t> </w:t>
            </w:r>
          </w:p>
        </w:tc>
      </w:tr>
      <w:tr>
        <w:trPr/>
        <w:tc>
          <w:tcPr>
            <w:tcW w:w="7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211" w:type="dxa"/>
            <w:tcBorders/>
            <w:shd w:fill="auto" w:val="clear"/>
            <w:vAlign w:val="bottom"/>
          </w:tcPr>
          <w:p>
            <w:pPr>
              <w:pStyle w:val="TableContents"/>
              <w:spacing w:before="0" w:after="0"/>
              <w:ind w:left="0" w:right="0" w:hanging="0"/>
              <w:rPr/>
            </w:pPr>
            <w:r>
              <w:rPr/>
              <w:t> </w:t>
            </w:r>
          </w:p>
        </w:tc>
        <w:tc>
          <w:tcPr>
            <w:tcW w:w="11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1" w:type="dxa"/>
            <w:tcBorders/>
            <w:shd w:fill="auto" w:val="clear"/>
            <w:vAlign w:val="bottom"/>
          </w:tcPr>
          <w:p>
            <w:pPr>
              <w:pStyle w:val="TableContents"/>
              <w:spacing w:before="0" w:after="0"/>
              <w:ind w:left="0" w:right="0" w:hanging="0"/>
              <w:rPr/>
            </w:pPr>
            <w:r>
              <w:rPr/>
              <w:t> </w:t>
            </w:r>
          </w:p>
        </w:tc>
        <w:tc>
          <w:tcPr>
            <w:tcW w:w="11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w:t>
            </w:r>
          </w:p>
        </w:tc>
        <w:tc>
          <w:tcPr>
            <w:tcW w:w="114" w:type="dxa"/>
            <w:tcBorders/>
            <w:shd w:fill="auto" w:val="clear"/>
            <w:vAlign w:val="bottom"/>
          </w:tcPr>
          <w:p>
            <w:pPr>
              <w:pStyle w:val="TableContents"/>
              <w:spacing w:before="0" w:after="0"/>
              <w:ind w:left="0" w:right="0" w:hanging="0"/>
              <w:rPr/>
            </w:pPr>
            <w:r>
              <w:rPr/>
              <w:t> </w:t>
            </w:r>
          </w:p>
        </w:tc>
      </w:tr>
      <w:tr>
        <w:trPr/>
        <w:tc>
          <w:tcPr>
            <w:tcW w:w="7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11" w:type="dxa"/>
            <w:tcBorders/>
            <w:shd w:fill="CCEEFF" w:val="clear"/>
            <w:vAlign w:val="bottom"/>
          </w:tcPr>
          <w:p>
            <w:pPr>
              <w:pStyle w:val="TableContents"/>
              <w:spacing w:before="0" w:after="0"/>
              <w:ind w:left="0" w:right="0" w:hanging="0"/>
              <w:rPr/>
            </w:pPr>
            <w:r>
              <w:rPr/>
              <w:t> </w:t>
            </w:r>
          </w:p>
        </w:tc>
        <w:tc>
          <w:tcPr>
            <w:tcW w:w="11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845</w:t>
            </w:r>
          </w:p>
        </w:tc>
        <w:tc>
          <w:tcPr>
            <w:tcW w:w="211" w:type="dxa"/>
            <w:tcBorders/>
            <w:shd w:fill="CCEEFF" w:val="clear"/>
            <w:vAlign w:val="bottom"/>
          </w:tcPr>
          <w:p>
            <w:pPr>
              <w:pStyle w:val="TableContents"/>
              <w:spacing w:before="0" w:after="0"/>
              <w:ind w:left="0" w:right="0" w:hanging="0"/>
              <w:rPr/>
            </w:pPr>
            <w:r>
              <w:rPr/>
              <w:t> </w:t>
            </w:r>
          </w:p>
        </w:tc>
        <w:tc>
          <w:tcPr>
            <w:tcW w:w="11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14" w:type="dxa"/>
            <w:tcBorders/>
            <w:shd w:fill="CCEEFF" w:val="clear"/>
            <w:vAlign w:val="bottom"/>
          </w:tcPr>
          <w:p>
            <w:pPr>
              <w:pStyle w:val="TableContents"/>
              <w:spacing w:before="0" w:after="0"/>
              <w:ind w:left="0" w:right="0" w:hanging="0"/>
              <w:rPr/>
            </w:pPr>
            <w:r>
              <w:rPr/>
              <w:t> </w:t>
            </w:r>
          </w:p>
        </w:tc>
      </w:tr>
      <w:tr>
        <w:trPr/>
        <w:tc>
          <w:tcPr>
            <w:tcW w:w="7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2,470</w:t>
            </w:r>
          </w:p>
        </w:tc>
        <w:tc>
          <w:tcPr>
            <w:tcW w:w="211"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BP NGL Acquisition was pre-funded through various means, including the issuance of common units and senior notes in March 2012 for net proceeds of approximately $1.69 billion. During the six months ended June 30, 2012, we incurred approximately $13 million of acquisition-related costs associated with the BP NGL Acquisition. Such costs are reflected as a component of general and administrative expenses in our condensed consolidated statement of operations.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5" w:name="PB_11_013450_7056"/>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i/>
          <w:sz w:val="17"/>
        </w:rPr>
      </w:pPr>
      <w:r>
        <w:rPr>
          <w:rFonts w:ascii="Times New Roman" w:hAnsi="Times New Roman"/>
          <w:i/>
          <w:sz w:val="17"/>
        </w:rPr>
        <w:t>Pro Forma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Disclosure of the revenues and earnings from the BP NGL Acquisition in our results for the three and six months ended June 30, 2012 is not practicable as it is not being operated as a standalone subsidiary. Selected unaudited pro forma results of operations for the three and six months ended June 30, 2012 and 2011, assuming the BP NGL Acquisition had occurred on January 1, 2011, are presented below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2"/>
        <w:gridCol w:w="214"/>
        <w:gridCol w:w="121"/>
        <w:gridCol w:w="895"/>
        <w:gridCol w:w="215"/>
        <w:gridCol w:w="121"/>
        <w:gridCol w:w="895"/>
        <w:gridCol w:w="214"/>
        <w:gridCol w:w="120"/>
        <w:gridCol w:w="902"/>
        <w:gridCol w:w="214"/>
        <w:gridCol w:w="120"/>
        <w:gridCol w:w="902"/>
        <w:gridCol w:w="120"/>
      </w:tblGrid>
      <w:tr>
        <w:trPr/>
        <w:tc>
          <w:tcPr>
            <w:tcW w:w="515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2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4" w:type="dxa"/>
            <w:tcBorders/>
            <w:shd w:fill="auto" w:val="clear"/>
            <w:vAlign w:val="bottom"/>
          </w:tcPr>
          <w:p>
            <w:pPr>
              <w:pStyle w:val="TableContents"/>
              <w:spacing w:before="0" w:after="0"/>
              <w:ind w:left="0" w:right="0" w:hanging="0"/>
              <w:jc w:val="center"/>
              <w:rPr/>
            </w:pPr>
            <w:r>
              <w:rPr/>
              <w:t> </w:t>
            </w:r>
          </w:p>
        </w:tc>
        <w:tc>
          <w:tcPr>
            <w:tcW w:w="225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515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2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4" w:type="dxa"/>
            <w:tcBorders/>
            <w:shd w:fill="auto" w:val="clear"/>
            <w:vAlign w:val="bottom"/>
          </w:tcPr>
          <w:p>
            <w:pPr>
              <w:pStyle w:val="TableContents"/>
              <w:spacing w:before="0" w:after="0"/>
              <w:ind w:left="0" w:right="0" w:hanging="0"/>
              <w:jc w:val="center"/>
              <w:rPr/>
            </w:pPr>
            <w:r>
              <w:rPr/>
              <w:t> </w:t>
            </w:r>
          </w:p>
        </w:tc>
        <w:tc>
          <w:tcPr>
            <w:tcW w:w="225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0" w:type="dxa"/>
            <w:tcBorders/>
            <w:shd w:fill="auto" w:val="clear"/>
            <w:vAlign w:val="bottom"/>
          </w:tcPr>
          <w:p>
            <w:pPr>
              <w:pStyle w:val="TableContents"/>
              <w:spacing w:before="0" w:after="0"/>
              <w:ind w:left="0" w:right="0" w:hanging="0"/>
              <w:jc w:val="center"/>
              <w:rPr/>
            </w:pPr>
            <w:r>
              <w:rPr/>
              <w:t> </w:t>
            </w:r>
          </w:p>
        </w:tc>
      </w:tr>
      <w:tr>
        <w:trPr/>
        <w:tc>
          <w:tcPr>
            <w:tcW w:w="515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shd w:fill="auto" w:val="clear"/>
            <w:vAlign w:val="bottom"/>
          </w:tcPr>
          <w:p>
            <w:pPr>
              <w:pStyle w:val="TableContents"/>
              <w:spacing w:before="0" w:after="0"/>
              <w:ind w:left="0" w:right="0" w:hanging="0"/>
              <w:jc w:val="center"/>
              <w:rPr/>
            </w:pPr>
            <w:r>
              <w:rPr/>
              <w:t> </w:t>
            </w:r>
          </w:p>
        </w:tc>
        <w:tc>
          <w:tcPr>
            <w:tcW w:w="10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0" w:type="dxa"/>
            <w:tcBorders/>
            <w:shd w:fill="auto" w:val="clear"/>
            <w:vAlign w:val="bottom"/>
          </w:tcPr>
          <w:p>
            <w:pPr>
              <w:pStyle w:val="TableContents"/>
              <w:spacing w:before="0" w:after="0"/>
              <w:ind w:left="0" w:right="0" w:hanging="0"/>
              <w:jc w:val="center"/>
              <w:rPr/>
            </w:pPr>
            <w:r>
              <w:rPr/>
              <w:t> </w:t>
            </w:r>
          </w:p>
        </w:tc>
      </w:tr>
      <w:tr>
        <w:trPr/>
        <w:tc>
          <w:tcPr>
            <w:tcW w:w="5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9,937</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19,828</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18,541</w:t>
            </w:r>
          </w:p>
        </w:tc>
        <w:tc>
          <w:tcPr>
            <w:tcW w:w="120" w:type="dxa"/>
            <w:tcBorders/>
            <w:shd w:fill="CCEEFF" w:val="clear"/>
            <w:vAlign w:val="bottom"/>
          </w:tcPr>
          <w:p>
            <w:pPr>
              <w:pStyle w:val="TableContents"/>
              <w:spacing w:before="0" w:after="0"/>
              <w:ind w:left="0" w:right="0" w:hanging="0"/>
              <w:rPr/>
            </w:pPr>
            <w:r>
              <w:rPr/>
              <w:t> </w:t>
            </w:r>
          </w:p>
        </w:tc>
      </w:tr>
      <w:tr>
        <w:trPr/>
        <w:tc>
          <w:tcPr>
            <w:tcW w:w="5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5"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20" w:type="dxa"/>
            <w:tcBorders/>
            <w:shd w:fill="auto" w:val="clear"/>
            <w:vAlign w:val="bottom"/>
          </w:tcPr>
          <w:p>
            <w:pPr>
              <w:pStyle w:val="TableContents"/>
              <w:spacing w:before="0" w:after="0"/>
              <w:ind w:left="0" w:right="0" w:hanging="0"/>
              <w:rPr/>
            </w:pPr>
            <w:r>
              <w:rPr/>
              <w:t> </w:t>
            </w:r>
          </w:p>
        </w:tc>
      </w:tr>
      <w:tr>
        <w:trPr/>
        <w:tc>
          <w:tcPr>
            <w:tcW w:w="5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 interest in 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20" w:type="dxa"/>
            <w:tcBorders/>
            <w:shd w:fill="CCEEFF" w:val="clear"/>
            <w:vAlign w:val="bottom"/>
          </w:tcPr>
          <w:p>
            <w:pPr>
              <w:pStyle w:val="TableContents"/>
              <w:spacing w:before="0" w:after="0"/>
              <w:ind w:left="0" w:right="0" w:hanging="0"/>
              <w:rPr/>
            </w:pPr>
            <w:r>
              <w:rPr/>
              <w:t> </w:t>
            </w:r>
          </w:p>
        </w:tc>
      </w:tr>
      <w:tr>
        <w:trPr/>
        <w:tc>
          <w:tcPr>
            <w:tcW w:w="5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20" w:type="dxa"/>
            <w:tcBorders/>
            <w:shd w:fill="CCEEFF" w:val="clear"/>
            <w:vAlign w:val="bottom"/>
          </w:tcPr>
          <w:p>
            <w:pPr>
              <w:pStyle w:val="TableContents"/>
              <w:spacing w:before="0" w:after="0"/>
              <w:ind w:left="0" w:right="0" w:hanging="0"/>
              <w:rPr/>
            </w:pPr>
            <w:r>
              <w:rPr/>
              <w:t> </w:t>
            </w:r>
          </w:p>
        </w:tc>
      </w:tr>
      <w:tr>
        <w:trPr/>
        <w:tc>
          <w:tcPr>
            <w:tcW w:w="5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w:t>
            </w:r>
          </w:p>
        </w:tc>
        <w:tc>
          <w:tcPr>
            <w:tcW w:w="214"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5"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six months ended June 30, 2012, we completed three additional acquisitions for an aggregate consideration of approximately $22 million. The assets acquired primarily included trailers that are utilized in our transportation segment and terminal facilities included in our facilities segment. We recognized goodwill of approximately $10 million related to these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Base Gas and Long-term Inventory</w:t>
      </w:r>
      <w:bookmarkStart w:id="26" w:name="Note5inventoryLinefillBaseGasAndL_032844"/>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long-term inventory consisted of the following (barrels in thousands, natural gas volumes in thousands of Mcf and total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86"/>
        <w:gridCol w:w="206"/>
        <w:gridCol w:w="757"/>
        <w:gridCol w:w="206"/>
        <w:gridCol w:w="757"/>
        <w:gridCol w:w="206"/>
        <w:gridCol w:w="111"/>
        <w:gridCol w:w="545"/>
        <w:gridCol w:w="205"/>
        <w:gridCol w:w="111"/>
        <w:gridCol w:w="545"/>
        <w:gridCol w:w="206"/>
        <w:gridCol w:w="757"/>
        <w:gridCol w:w="206"/>
        <w:gridCol w:w="757"/>
        <w:gridCol w:w="206"/>
        <w:gridCol w:w="111"/>
        <w:gridCol w:w="544"/>
        <w:gridCol w:w="206"/>
        <w:gridCol w:w="111"/>
        <w:gridCol w:w="545"/>
        <w:gridCol w:w="121"/>
      </w:tblGrid>
      <w:tr>
        <w:trPr/>
        <w:tc>
          <w:tcPr>
            <w:tcW w:w="278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344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2012</w:t>
            </w:r>
          </w:p>
        </w:tc>
        <w:tc>
          <w:tcPr>
            <w:tcW w:w="206" w:type="dxa"/>
            <w:tcBorders/>
            <w:shd w:fill="auto" w:val="clear"/>
            <w:vAlign w:val="bottom"/>
          </w:tcPr>
          <w:p>
            <w:pPr>
              <w:pStyle w:val="TableContents"/>
              <w:spacing w:before="0" w:after="0"/>
              <w:ind w:left="0" w:right="0" w:hanging="0"/>
              <w:jc w:val="center"/>
              <w:rPr/>
            </w:pPr>
            <w:r>
              <w:rPr/>
              <w:t> </w:t>
            </w:r>
          </w:p>
        </w:tc>
        <w:tc>
          <w:tcPr>
            <w:tcW w:w="344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21"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6"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5"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shd w:fill="auto" w:val="clear"/>
            <w:vAlign w:val="bottom"/>
          </w:tcPr>
          <w:p>
            <w:pPr>
              <w:pStyle w:val="TableContents"/>
              <w:spacing w:before="0" w:after="0"/>
              <w:ind w:left="0" w:right="0" w:hanging="0"/>
              <w:jc w:val="center"/>
              <w:rPr/>
            </w:pPr>
            <w:r>
              <w:rPr/>
              <w:t> </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1"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6" w:type="dxa"/>
            <w:tcBorders/>
            <w:shd w:fill="auto" w:val="clear"/>
            <w:vAlign w:val="bottom"/>
          </w:tcPr>
          <w:p>
            <w:pPr>
              <w:pStyle w:val="TableContents"/>
              <w:spacing w:before="0" w:after="0"/>
              <w:ind w:left="0" w:right="0" w:hanging="0"/>
              <w:jc w:val="center"/>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5" w:type="dxa"/>
            <w:tcBorders/>
            <w:shd w:fill="auto" w:val="clear"/>
            <w:vAlign w:val="bottom"/>
          </w:tcPr>
          <w:p>
            <w:pPr>
              <w:pStyle w:val="TableContents"/>
              <w:spacing w:before="0" w:after="0"/>
              <w:ind w:left="0" w:right="0" w:hanging="0"/>
              <w:jc w:val="center"/>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6" w:type="dxa"/>
            <w:tcBorders/>
            <w:shd w:fill="auto" w:val="clear"/>
            <w:vAlign w:val="bottom"/>
          </w:tcPr>
          <w:p>
            <w:pPr>
              <w:pStyle w:val="TableContents"/>
              <w:spacing w:before="0" w:after="0"/>
              <w:ind w:left="0" w:right="0" w:hanging="0"/>
              <w:jc w:val="center"/>
              <w:rPr/>
            </w:pPr>
            <w:r>
              <w:rPr/>
              <w:t> </w:t>
            </w:r>
          </w:p>
        </w:tc>
        <w:tc>
          <w:tcPr>
            <w:tcW w:w="7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6" w:type="dxa"/>
            <w:tcBorders/>
            <w:shd w:fill="auto" w:val="clear"/>
            <w:vAlign w:val="bottom"/>
          </w:tcPr>
          <w:p>
            <w:pPr>
              <w:pStyle w:val="TableContents"/>
              <w:spacing w:before="0" w:after="0"/>
              <w:ind w:left="0" w:right="0" w:hanging="0"/>
              <w:jc w:val="center"/>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6" w:type="dxa"/>
            <w:tcBorders/>
            <w:shd w:fill="auto" w:val="clear"/>
            <w:vAlign w:val="bottom"/>
          </w:tcPr>
          <w:p>
            <w:pPr>
              <w:pStyle w:val="TableContents"/>
              <w:spacing w:before="0" w:after="0"/>
              <w:ind w:left="0" w:right="0" w:hanging="0"/>
              <w:jc w:val="center"/>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1" w:type="dxa"/>
            <w:tcBorders/>
            <w:shd w:fill="auto" w:val="clear"/>
            <w:vAlign w:val="bottom"/>
          </w:tcPr>
          <w:p>
            <w:pPr>
              <w:pStyle w:val="TableContents"/>
              <w:spacing w:before="0" w:after="0"/>
              <w:ind w:left="0" w:right="0" w:hanging="0"/>
              <w:jc w:val="center"/>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7,786</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w:t>
            </w:r>
          </w:p>
        </w:tc>
        <w:tc>
          <w:tcPr>
            <w:tcW w:w="205"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81.69</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5,361</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2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90.10</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11,202</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2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41.87</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6,885</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w:t>
            </w:r>
          </w:p>
        </w:tc>
        <w:tc>
          <w:tcPr>
            <w:tcW w:w="20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63.62</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tcPr>
          <w:p>
            <w:pPr>
              <w:pStyle w:val="TableContents"/>
              <w:spacing w:before="0" w:after="0"/>
              <w:ind w:left="0" w:right="0" w:hanging="0"/>
              <w:rPr/>
            </w:pPr>
            <w:r>
              <w:rPr>
                <w:rFonts w:ascii="Times New Roman" w:hAnsi="Times New Roman"/>
                <w:sz w:val="17"/>
              </w:rPr>
              <w:t xml:space="preserve">Natural gas </w:t>
            </w:r>
            <w:r>
              <w:rPr>
                <w:sz w:val="11"/>
              </w:rPr>
              <w:t>(2)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23,530</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5"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16,170</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5"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1,172</w:t>
            </w:r>
          </w:p>
        </w:tc>
        <w:tc>
          <w:tcPr>
            <w:tcW w:w="205"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9,278</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2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55.72</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9,366</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0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54.88</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tcPr>
          <w:p>
            <w:pPr>
              <w:pStyle w:val="TableContents"/>
              <w:spacing w:before="0" w:after="0"/>
              <w:ind w:left="0" w:right="0" w:hanging="0"/>
              <w:rPr/>
            </w:pPr>
            <w:r>
              <w:rPr>
                <w:rFonts w:ascii="Times New Roman" w:hAnsi="Times New Roman"/>
                <w:sz w:val="17"/>
              </w:rPr>
              <w:t>Natural gas</w:t>
            </w:r>
            <w:r>
              <w:rPr/>
              <w:t xml:space="preserve"> </w:t>
            </w:r>
            <w:r>
              <w:rPr>
                <w:sz w:val="11"/>
              </w:rPr>
              <w:t>(2)</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14,105</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05"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14,105</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1,685</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46.88</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64.52</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05"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1,914</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74.71</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0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74.10</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3,620</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5"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40.88</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53.33</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05"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5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2,108</w:t>
            </w:r>
          </w:p>
        </w:tc>
        <w:tc>
          <w:tcPr>
            <w:tcW w:w="205"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5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1,677</w:t>
            </w:r>
          </w:p>
        </w:tc>
        <w:tc>
          <w:tcPr>
            <w:tcW w:w="206"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volumetric ratio of Mcf of natural gas to crude Btu equivalent is 6:1; thus, natural gas volumes can be approximately converted to barrels by dividing by 6.</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7" w:name="PB_12_013925_7056"/>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During the second quarter of 2012, we recorded a non-cash charge of approximately $121 million related to the writedown of our crude oil and NGL inventory due to declines in prices during the period. The recognition of this adjustment, which is a component of Purchases and related costs in our accompanying condensed consolidated statement of operations, was substantially offset by the recognition of unrealized gains on derivative instruments being utilized to hedge the future sales of our crude oil and NGL inventory. Substantially all of such unrealized gains were recorded to Supply and Logistics segment revenues on our condensed consolidated statement of operations. See Note 11 for discussion of our derivative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8" w:name="Note6Goodwill_032849"/>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changes in goodwill for the period indicated (in millions):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52"/>
        <w:gridCol w:w="187"/>
        <w:gridCol w:w="282"/>
        <w:gridCol w:w="1254"/>
        <w:gridCol w:w="203"/>
        <w:gridCol w:w="198"/>
        <w:gridCol w:w="894"/>
        <w:gridCol w:w="203"/>
        <w:gridCol w:w="356"/>
        <w:gridCol w:w="1588"/>
        <w:gridCol w:w="187"/>
        <w:gridCol w:w="157"/>
        <w:gridCol w:w="900"/>
        <w:gridCol w:w="144"/>
      </w:tblGrid>
      <w:tr>
        <w:trPr/>
        <w:tc>
          <w:tcPr>
            <w:tcW w:w="3652"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5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03" w:type="dxa"/>
            <w:tcBorders/>
            <w:shd w:fill="auto" w:val="clear"/>
            <w:vAlign w:val="bottom"/>
          </w:tcPr>
          <w:p>
            <w:pPr>
              <w:pStyle w:val="TableContents"/>
              <w:spacing w:before="0" w:after="0"/>
              <w:ind w:left="0" w:right="0" w:hanging="0"/>
              <w:jc w:val="center"/>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03" w:type="dxa"/>
            <w:tcBorders/>
            <w:shd w:fill="auto" w:val="clear"/>
            <w:vAlign w:val="bottom"/>
          </w:tcPr>
          <w:p>
            <w:pPr>
              <w:pStyle w:val="TableContents"/>
              <w:spacing w:before="0" w:after="0"/>
              <w:ind w:left="0" w:right="0" w:hanging="0"/>
              <w:jc w:val="center"/>
              <w:rPr/>
            </w:pPr>
            <w:r>
              <w:rPr/>
              <w:t> </w:t>
            </w:r>
          </w:p>
        </w:tc>
        <w:tc>
          <w:tcPr>
            <w:tcW w:w="19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87" w:type="dxa"/>
            <w:tcBorders/>
            <w:shd w:fill="auto" w:val="clear"/>
            <w:vAlign w:val="bottom"/>
          </w:tcPr>
          <w:p>
            <w:pPr>
              <w:pStyle w:val="TableContents"/>
              <w:spacing w:before="0" w:after="0"/>
              <w:ind w:left="0" w:right="0" w:hanging="0"/>
              <w:jc w:val="center"/>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Total </w:t>
            </w:r>
            <w:r>
              <w:rPr>
                <w:b/>
                <w:sz w:val="8"/>
              </w:rPr>
              <w:t>(1)</w:t>
            </w:r>
          </w:p>
        </w:tc>
        <w:tc>
          <w:tcPr>
            <w:tcW w:w="144" w:type="dxa"/>
            <w:tcBorders/>
            <w:shd w:fill="auto" w:val="clear"/>
            <w:vAlign w:val="bottom"/>
          </w:tcPr>
          <w:p>
            <w:pPr>
              <w:pStyle w:val="TableContents"/>
              <w:spacing w:before="0" w:after="0"/>
              <w:ind w:left="0" w:right="0" w:hanging="0"/>
              <w:jc w:val="center"/>
              <w:rPr/>
            </w:pPr>
            <w:r>
              <w:rPr/>
              <w:t> </w:t>
            </w:r>
          </w:p>
        </w:tc>
      </w:tr>
      <w:tr>
        <w:trPr/>
        <w:tc>
          <w:tcPr>
            <w:tcW w:w="36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2011</w:t>
            </w:r>
          </w:p>
        </w:tc>
        <w:tc>
          <w:tcPr>
            <w:tcW w:w="187" w:type="dxa"/>
            <w:tcBorders/>
            <w:shd w:fill="CCEEFF" w:val="clear"/>
            <w:vAlign w:val="bottom"/>
          </w:tcPr>
          <w:p>
            <w:pPr>
              <w:pStyle w:val="TableContents"/>
              <w:spacing w:before="0" w:after="0"/>
              <w:ind w:left="0" w:right="0" w:hanging="0"/>
              <w:rPr/>
            </w:pPr>
            <w:r>
              <w:rPr/>
              <w:t> </w:t>
            </w:r>
          </w:p>
        </w:tc>
        <w:tc>
          <w:tcPr>
            <w:tcW w:w="2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203" w:type="dxa"/>
            <w:tcBorders/>
            <w:shd w:fill="CCEEFF" w:val="clear"/>
            <w:vAlign w:val="bottom"/>
          </w:tcPr>
          <w:p>
            <w:pPr>
              <w:pStyle w:val="TableContents"/>
              <w:spacing w:before="0" w:after="0"/>
              <w:ind w:left="0" w:right="0" w:hanging="0"/>
              <w:rPr/>
            </w:pPr>
            <w:r>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03" w:type="dxa"/>
            <w:tcBorders/>
            <w:shd w:fill="CCEEFF" w:val="clear"/>
            <w:vAlign w:val="bottom"/>
          </w:tcPr>
          <w:p>
            <w:pPr>
              <w:pStyle w:val="TableContents"/>
              <w:spacing w:before="0" w:after="0"/>
              <w:ind w:left="0" w:right="0" w:hanging="0"/>
              <w:rPr/>
            </w:pPr>
            <w:r>
              <w:rPr/>
              <w:t> </w:t>
            </w:r>
          </w:p>
        </w:tc>
        <w:tc>
          <w:tcPr>
            <w:tcW w:w="3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187"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44" w:type="dxa"/>
            <w:tcBorders/>
            <w:shd w:fill="CCEEFF" w:val="clear"/>
            <w:vAlign w:val="bottom"/>
          </w:tcPr>
          <w:p>
            <w:pPr>
              <w:pStyle w:val="TableContents"/>
              <w:spacing w:before="0" w:after="0"/>
              <w:ind w:left="0" w:right="0" w:hanging="0"/>
              <w:rPr/>
            </w:pPr>
            <w:r>
              <w:rPr/>
              <w:t> </w:t>
            </w:r>
          </w:p>
        </w:tc>
      </w:tr>
      <w:tr>
        <w:trPr/>
        <w:tc>
          <w:tcPr>
            <w:tcW w:w="36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 Goodwill Related Activity:</w:t>
            </w:r>
          </w:p>
        </w:tc>
        <w:tc>
          <w:tcPr>
            <w:tcW w:w="187" w:type="dxa"/>
            <w:tcBorders/>
            <w:shd w:fill="auto" w:val="clear"/>
            <w:vAlign w:val="bottom"/>
          </w:tcPr>
          <w:p>
            <w:pPr>
              <w:pStyle w:val="TableContents"/>
              <w:spacing w:before="0" w:after="0"/>
              <w:ind w:left="0" w:right="0" w:hanging="0"/>
              <w:rPr/>
            </w:pPr>
            <w:r>
              <w:rPr/>
              <w:t> </w:t>
            </w:r>
          </w:p>
        </w:tc>
        <w:tc>
          <w:tcPr>
            <w:tcW w:w="153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944"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144" w:type="dxa"/>
            <w:tcBorders/>
            <w:shd w:fill="auto" w:val="clear"/>
            <w:vAlign w:val="bottom"/>
          </w:tcPr>
          <w:p>
            <w:pPr>
              <w:pStyle w:val="TableContents"/>
              <w:spacing w:before="0" w:after="0"/>
              <w:ind w:left="0" w:right="0" w:hanging="0"/>
              <w:rPr/>
            </w:pPr>
            <w:r>
              <w:rPr/>
              <w:t> </w:t>
            </w:r>
          </w:p>
        </w:tc>
      </w:tr>
      <w:tr>
        <w:trPr/>
        <w:tc>
          <w:tcPr>
            <w:tcW w:w="3652" w:type="dxa"/>
            <w:tcBorders/>
            <w:shd w:fill="CCEEFF" w:val="clear"/>
            <w:vAlign w:val="bottom"/>
          </w:tcPr>
          <w:p>
            <w:pPr>
              <w:pStyle w:val="TableContents"/>
              <w:spacing w:before="0" w:after="0"/>
              <w:ind w:left="0" w:right="0" w:hanging="0"/>
              <w:rPr/>
            </w:pPr>
            <w:r>
              <w:rPr>
                <w:rFonts w:ascii="Times New Roman" w:hAnsi="Times New Roman"/>
                <w:sz w:val="17"/>
              </w:rPr>
              <w:t xml:space="preserve">BP NGL Acquisition </w:t>
            </w:r>
            <w:r>
              <w:rPr>
                <w:sz w:val="11"/>
              </w:rPr>
              <w:t>(2)</w:t>
            </w:r>
          </w:p>
        </w:tc>
        <w:tc>
          <w:tcPr>
            <w:tcW w:w="187" w:type="dxa"/>
            <w:tcBorders/>
            <w:shd w:fill="CCEEFF" w:val="clear"/>
            <w:vAlign w:val="bottom"/>
          </w:tcPr>
          <w:p>
            <w:pPr>
              <w:pStyle w:val="TableContents"/>
              <w:spacing w:before="0" w:after="0"/>
              <w:ind w:left="0" w:right="0" w:hanging="0"/>
              <w:rPr/>
            </w:pPr>
            <w:r>
              <w:rPr/>
              <w:t> </w:t>
            </w:r>
          </w:p>
        </w:tc>
        <w:tc>
          <w:tcPr>
            <w:tcW w:w="15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3"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03" w:type="dxa"/>
            <w:tcBorders/>
            <w:shd w:fill="CCEEFF" w:val="clear"/>
            <w:vAlign w:val="bottom"/>
          </w:tcPr>
          <w:p>
            <w:pPr>
              <w:pStyle w:val="TableContents"/>
              <w:spacing w:before="0" w:after="0"/>
              <w:ind w:left="0" w:right="0" w:hanging="0"/>
              <w:rPr/>
            </w:pPr>
            <w:r>
              <w:rPr/>
              <w:t> </w:t>
            </w:r>
          </w:p>
        </w:tc>
        <w:tc>
          <w:tcPr>
            <w:tcW w:w="19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87"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144" w:type="dxa"/>
            <w:tcBorders/>
            <w:shd w:fill="CCEEFF" w:val="clear"/>
            <w:vAlign w:val="bottom"/>
          </w:tcPr>
          <w:p>
            <w:pPr>
              <w:pStyle w:val="TableContents"/>
              <w:spacing w:before="0" w:after="0"/>
              <w:ind w:left="0" w:right="0" w:hanging="0"/>
              <w:rPr/>
            </w:pPr>
            <w:r>
              <w:rPr/>
              <w:t> </w:t>
            </w:r>
          </w:p>
        </w:tc>
      </w:tr>
      <w:tr>
        <w:trPr/>
        <w:tc>
          <w:tcPr>
            <w:tcW w:w="3652" w:type="dxa"/>
            <w:tcBorders/>
            <w:shd w:fill="auto" w:val="clear"/>
            <w:vAlign w:val="bottom"/>
          </w:tcPr>
          <w:p>
            <w:pPr>
              <w:pStyle w:val="TableContents"/>
              <w:spacing w:before="0" w:after="0"/>
              <w:ind w:left="0" w:right="0" w:hanging="0"/>
              <w:rPr/>
            </w:pPr>
            <w:r>
              <w:rPr>
                <w:rFonts w:ascii="Times New Roman" w:hAnsi="Times New Roman"/>
                <w:sz w:val="17"/>
              </w:rPr>
              <w:t xml:space="preserve">Other acquisitions </w:t>
            </w:r>
            <w:r>
              <w:rPr>
                <w:sz w:val="11"/>
              </w:rPr>
              <w:t>(2)</w:t>
            </w:r>
          </w:p>
        </w:tc>
        <w:tc>
          <w:tcPr>
            <w:tcW w:w="187" w:type="dxa"/>
            <w:tcBorders/>
            <w:shd w:fill="auto" w:val="clear"/>
            <w:vAlign w:val="bottom"/>
          </w:tcPr>
          <w:p>
            <w:pPr>
              <w:pStyle w:val="TableContents"/>
              <w:spacing w:before="0" w:after="0"/>
              <w:ind w:left="0" w:right="0" w:hanging="0"/>
              <w:rPr/>
            </w:pPr>
            <w:r>
              <w:rPr/>
              <w:t> </w:t>
            </w:r>
          </w:p>
        </w:tc>
        <w:tc>
          <w:tcPr>
            <w:tcW w:w="15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3"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auto" w:val="clear"/>
            <w:vAlign w:val="bottom"/>
          </w:tcPr>
          <w:p>
            <w:pPr>
              <w:pStyle w:val="TableContents"/>
              <w:spacing w:before="0" w:after="0"/>
              <w:ind w:left="0" w:right="0" w:hanging="0"/>
              <w:rPr/>
            </w:pPr>
            <w:r>
              <w:rPr/>
              <w:t> </w:t>
            </w:r>
          </w:p>
        </w:tc>
        <w:tc>
          <w:tcPr>
            <w:tcW w:w="19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4" w:type="dxa"/>
            <w:tcBorders/>
            <w:shd w:fill="auto" w:val="clear"/>
            <w:vAlign w:val="bottom"/>
          </w:tcPr>
          <w:p>
            <w:pPr>
              <w:pStyle w:val="TableContents"/>
              <w:spacing w:before="0" w:after="0"/>
              <w:ind w:left="0" w:right="0" w:hanging="0"/>
              <w:rPr/>
            </w:pPr>
            <w:r>
              <w:rPr/>
              <w:t> </w:t>
            </w:r>
          </w:p>
        </w:tc>
      </w:tr>
      <w:tr>
        <w:trPr/>
        <w:tc>
          <w:tcPr>
            <w:tcW w:w="36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87" w:type="dxa"/>
            <w:tcBorders/>
            <w:shd w:fill="CCEEFF" w:val="clear"/>
            <w:vAlign w:val="bottom"/>
          </w:tcPr>
          <w:p>
            <w:pPr>
              <w:pStyle w:val="TableContents"/>
              <w:spacing w:before="0" w:after="0"/>
              <w:ind w:left="0" w:right="0" w:hanging="0"/>
              <w:rPr/>
            </w:pPr>
            <w:r>
              <w:rPr/>
              <w:t> </w:t>
            </w:r>
          </w:p>
        </w:tc>
        <w:tc>
          <w:tcPr>
            <w:tcW w:w="15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52" w:type="dxa"/>
            <w:tcBorders/>
            <w:shd w:fill="auto" w:val="clear"/>
            <w:vAlign w:val="bottom"/>
          </w:tcPr>
          <w:p>
            <w:pPr>
              <w:pStyle w:val="TableContents"/>
              <w:spacing w:before="0" w:after="0"/>
              <w:ind w:left="0" w:right="0" w:hanging="0"/>
              <w:rPr/>
            </w:pPr>
            <w:r>
              <w:rPr>
                <w:rFonts w:ascii="Times New Roman" w:hAnsi="Times New Roman"/>
                <w:sz w:val="17"/>
              </w:rPr>
              <w:t>Purchase price accounting adjustments and other</w:t>
            </w:r>
            <w:r>
              <w:rPr/>
              <w:t xml:space="preserve"> </w:t>
            </w:r>
            <w:r>
              <w:rPr>
                <w:sz w:val="11"/>
              </w:rPr>
              <w:t>(2) </w:t>
            </w:r>
          </w:p>
        </w:tc>
        <w:tc>
          <w:tcPr>
            <w:tcW w:w="187" w:type="dxa"/>
            <w:tcBorders/>
            <w:shd w:fill="auto" w:val="clear"/>
            <w:vAlign w:val="bottom"/>
          </w:tcPr>
          <w:p>
            <w:pPr>
              <w:pStyle w:val="TableContents"/>
              <w:spacing w:before="0" w:after="0"/>
              <w:ind w:left="0" w:right="0" w:hanging="0"/>
              <w:rPr/>
            </w:pPr>
            <w:r>
              <w:rPr/>
              <w:t> </w:t>
            </w:r>
          </w:p>
        </w:tc>
        <w:tc>
          <w:tcPr>
            <w:tcW w:w="15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3"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auto" w:val="clear"/>
            <w:vAlign w:val="bottom"/>
          </w:tcPr>
          <w:p>
            <w:pPr>
              <w:pStyle w:val="TableContents"/>
              <w:spacing w:before="0" w:after="0"/>
              <w:ind w:left="0" w:right="0" w:hanging="0"/>
              <w:rPr/>
            </w:pPr>
            <w:r>
              <w:rPr/>
              <w:t> </w:t>
            </w:r>
          </w:p>
        </w:tc>
        <w:tc>
          <w:tcPr>
            <w:tcW w:w="19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4" w:type="dxa"/>
            <w:tcBorders/>
            <w:shd w:fill="auto" w:val="clear"/>
            <w:vAlign w:val="bottom"/>
          </w:tcPr>
          <w:p>
            <w:pPr>
              <w:pStyle w:val="TableContents"/>
              <w:spacing w:before="0" w:after="0"/>
              <w:ind w:left="0" w:right="0" w:hanging="0"/>
              <w:rPr/>
            </w:pPr>
            <w:r>
              <w:rPr/>
              <w:t> </w:t>
            </w:r>
          </w:p>
        </w:tc>
      </w:tr>
      <w:tr>
        <w:trPr/>
        <w:tc>
          <w:tcPr>
            <w:tcW w:w="36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June 30, 2012</w:t>
            </w:r>
          </w:p>
        </w:tc>
        <w:tc>
          <w:tcPr>
            <w:tcW w:w="187" w:type="dxa"/>
            <w:tcBorders/>
            <w:shd w:fill="CCEEFF" w:val="clear"/>
            <w:vAlign w:val="bottom"/>
          </w:tcPr>
          <w:p>
            <w:pPr>
              <w:pStyle w:val="TableContents"/>
              <w:spacing w:before="0" w:after="0"/>
              <w:ind w:left="0" w:right="0" w:hanging="0"/>
              <w:rPr/>
            </w:pPr>
            <w:r>
              <w:rPr/>
              <w:t> </w:t>
            </w:r>
          </w:p>
        </w:tc>
        <w:tc>
          <w:tcPr>
            <w:tcW w:w="2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911</w:t>
            </w:r>
          </w:p>
        </w:tc>
        <w:tc>
          <w:tcPr>
            <w:tcW w:w="203" w:type="dxa"/>
            <w:tcBorders/>
            <w:shd w:fill="CCEEFF" w:val="clear"/>
            <w:vAlign w:val="bottom"/>
          </w:tcPr>
          <w:p>
            <w:pPr>
              <w:pStyle w:val="TableContents"/>
              <w:spacing w:before="0" w:after="0"/>
              <w:ind w:left="0" w:right="0" w:hanging="0"/>
              <w:rPr/>
            </w:pPr>
            <w:r>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744</w:t>
            </w:r>
          </w:p>
        </w:tc>
        <w:tc>
          <w:tcPr>
            <w:tcW w:w="203" w:type="dxa"/>
            <w:tcBorders/>
            <w:shd w:fill="CCEEFF" w:val="clear"/>
            <w:vAlign w:val="bottom"/>
          </w:tcPr>
          <w:p>
            <w:pPr>
              <w:pStyle w:val="TableContents"/>
              <w:spacing w:before="0" w:after="0"/>
              <w:ind w:left="0" w:right="0" w:hanging="0"/>
              <w:rPr/>
            </w:pPr>
            <w:r>
              <w:rPr/>
              <w:t> </w:t>
            </w:r>
          </w:p>
        </w:tc>
        <w:tc>
          <w:tcPr>
            <w:tcW w:w="3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w:t>
            </w:r>
          </w:p>
        </w:tc>
        <w:tc>
          <w:tcPr>
            <w:tcW w:w="187"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2,112</w:t>
            </w:r>
          </w:p>
        </w:tc>
        <w:tc>
          <w:tcPr>
            <w:tcW w:w="14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of June 30, 2012, the total carrying amount of goodwill is net of approximately $3 million of accumulated impairment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Goodwill is recorded at the acquisition date based on a preliminary fair value determination.  This preliminary goodwill balance may be adjusted when the fair value determination is finalized.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our annual goodwill impairment test as of June 30 and determined that there was no impairment of goodwill.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9" w:name="PB_13_014026_5335"/>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30" w:name="Note7debt_032852"/>
      <w:bookmarkEnd w:id="3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16"/>
        <w:gridCol w:w="206"/>
        <w:gridCol w:w="1237"/>
        <w:gridCol w:w="206"/>
        <w:gridCol w:w="1237"/>
        <w:gridCol w:w="103"/>
      </w:tblGrid>
      <w:tr>
        <w:trPr/>
        <w:tc>
          <w:tcPr>
            <w:tcW w:w="721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03" w:type="dxa"/>
            <w:tcBorders/>
            <w:shd w:fill="auto" w:val="clear"/>
            <w:vAlign w:val="bottom"/>
          </w:tcPr>
          <w:p>
            <w:pPr>
              <w:pStyle w:val="TableContents"/>
              <w:spacing w:before="0" w:after="0"/>
              <w:ind w:left="0" w:right="0" w:hanging="0"/>
              <w:jc w:val="center"/>
              <w:rPr/>
            </w:pPr>
            <w:r>
              <w:rPr/>
              <w:t> </w:t>
            </w:r>
          </w:p>
        </w:tc>
      </w:tr>
      <w:tr>
        <w:trPr/>
        <w:tc>
          <w:tcPr>
            <w:tcW w:w="721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3" w:type="dxa"/>
            <w:tcBorders/>
            <w:shd w:fill="auto" w:val="clear"/>
            <w:vAlign w:val="bottom"/>
          </w:tcPr>
          <w:p>
            <w:pPr>
              <w:pStyle w:val="TableContents"/>
              <w:spacing w:before="0" w:after="0"/>
              <w:ind w:left="0" w:right="0" w:hanging="0"/>
              <w:jc w:val="center"/>
              <w:rPr/>
            </w:pPr>
            <w:r>
              <w:rPr/>
              <w:t> </w:t>
            </w:r>
          </w:p>
        </w:tc>
      </w:tr>
      <w:tr>
        <w:trPr/>
        <w:tc>
          <w:tcPr>
            <w:tcW w:w="72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pPr>
            <w:r>
              <w:rPr>
                <w:rFonts w:ascii="Times New Roman" w:hAnsi="Times New Roman"/>
                <w:sz w:val="17"/>
              </w:rPr>
              <w:t xml:space="preserve">Credit Facilities </w:t>
            </w:r>
            <w:r>
              <w:rPr>
                <w:sz w:val="11"/>
              </w:rPr>
              <w:t>(1) </w:t>
            </w:r>
            <w:r>
              <w:rPr>
                <w:sz w:val="17"/>
              </w:rPr>
              <w:t>:</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a weighted-average interest rate of 1.3% and 1.5% at June 30, 2012 and December 31, 2011, respectively</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1.9% and 1.6% at June 30, 2012 and December 31, 2011, respectively </w:t>
            </w:r>
            <w:r>
              <w:rPr>
                <w:sz w:val="11"/>
              </w:rPr>
              <w:t>(2)</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PNG senior unsecured revolving credit facility, bearing a weighted-average interest rate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pPr>
            <w:r>
              <w:rPr>
                <w:rFonts w:ascii="Times New Roman" w:hAnsi="Times New Roman"/>
                <w:sz w:val="17"/>
              </w:rPr>
              <w:t xml:space="preserve">of 2.1% at June 30, 2012 and December 31, 2011 </w:t>
            </w:r>
            <w:r>
              <w:rPr>
                <w:sz w:val="11"/>
              </w:rPr>
              <w:t>(3)</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pPr>
            <w:r>
              <w:rPr>
                <w:rFonts w:ascii="Times New Roman" w:hAnsi="Times New Roman"/>
                <w:sz w:val="17"/>
              </w:rPr>
              <w:t xml:space="preserve">4.25% senior notes due September 2012 </w:t>
            </w:r>
            <w:r>
              <w:rPr>
                <w:sz w:val="11"/>
              </w:rPr>
              <w:t>(4)</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3.95% senior notes due September 2015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5.00% senior notes due February 2021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pPr>
            <w:r>
              <w:rPr>
                <w:rFonts w:ascii="Times New Roman" w:hAnsi="Times New Roman"/>
                <w:sz w:val="17"/>
              </w:rPr>
              <w:t xml:space="preserve">3.65% senior notes due June 2022 </w:t>
            </w:r>
            <w:r>
              <w:rPr>
                <w:sz w:val="11"/>
              </w:rPr>
              <w:t>(5)</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pPr>
            <w:r>
              <w:rPr>
                <w:rFonts w:ascii="Times New Roman" w:hAnsi="Times New Roman"/>
                <w:sz w:val="17"/>
              </w:rPr>
              <w:t xml:space="preserve">5.15% senior notes due June 2042 </w:t>
            </w:r>
            <w:r>
              <w:rPr>
                <w:sz w:val="11"/>
              </w:rPr>
              <w:t>(5)</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Unamortized discounts</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discounts</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5,510</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Credit Facilities and Other:</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at June 30, 2012 and December 31, 2011 </w:t>
            </w:r>
            <w:r>
              <w:rPr>
                <w:sz w:val="11"/>
              </w:rPr>
              <w:t>(3)</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 GO Bond term loans, bearing a weighted-average interest rate of 1.5% at June 30, 2012 and December 31, 2011</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long-term debt </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5,793</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pPr>
            <w:r>
              <w:rPr>
                <w:rFonts w:ascii="Times New Roman" w:hAnsi="Times New Roman"/>
                <w:sz w:val="17"/>
              </w:rPr>
              <w:t xml:space="preserve">Total debt </w:t>
            </w:r>
            <w:r>
              <w:rPr>
                <w:sz w:val="11"/>
              </w:rPr>
              <w:t>(2) (3) (6)</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$6,790</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10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June 2012, we expanded and extended our senior secured hedged inventory facility and expanded PNGs credit facility. See Credit Facilities below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classify as short-term certain borrowings under our PAA senior unsecured revolving credit facility.  These borrowings are primarily designated as working capital borrowings, must be repaid within one year and are primarily for hedged NGL and crude oil inventory and NYMEX and ICE margin deposits.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1" w:name="PB_14_014229_5796"/>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Our $500 million 4.25% senior notes will mature in September 2012.  The proceeds from these notes are being used to supplement capital available from our hedged inventory facility, to fund working capital needs associated with base levels of waterborne cargos and for seasonal NGL inventory requirements.  After these notes mature, we intend to use our credit facilities to finance hedged inventory. See Credit Facilities section below for discussion of our recent expansion of certain of our facilities. Concurrent with the issuance of these senior notes in July 2009, we entered into interest rate swaps.  See Note 6 to our Consolidated Financial Statements included in Part IV of our 2011 Annual Report on Form 10-K for further discussion of our interest rate swaps.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 March 2012, we completed the issuance of $750 million, 3.65% senior notes due 2022 and $500 million, 5.15% senior notes due 2042.  The senior notes were sold at 99.823% and 99.755% of face value, respectively.  Interest payments are due on June 1 and December 1 each year, beginning on December 1, 2012.  We used the net proceeds from these offerings to fund a portion of the consideration for the BP NGL Acquisition and for general partnership purposes.  See Note 4 for more information regarding this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Our fixed-rate senior notes had a face value of approximately $6.0 billion and $4.8 billion as of June 30, 2012 and December 31, 2011, respectively.  We estimated the aggregate fair value of these notes as of June 30, 2012 and December 31, 2011 to be approximately $6.8 billion and $5.4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approximates fair value as interest rates reflect current market rates.  The fair value estimates for both our senior notes and credit facilities are based upon observable market data and are classified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Senior unsecured 364-day revolving credit agreement. </w:t>
      </w:r>
      <w:r>
        <w:rPr>
          <w:rFonts w:ascii="Times New Roman" w:hAnsi="Times New Roman"/>
          <w:sz w:val="17"/>
        </w:rPr>
        <w:t>In December 2011, we entered into a 364-day credit facility agreement with a borrowing capacity of $1.2 billion.  Pursuant to its terms, we had the option to activate the facility at any time over a six-month period.  In March 2012, we elected to terminate this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secured hedged inventory facility</w:t>
      </w:r>
      <w:r>
        <w:rPr>
          <w:rFonts w:ascii="Times New Roman" w:hAnsi="Times New Roman"/>
          <w:sz w:val="17"/>
        </w:rPr>
        <w:t>. In June 2012, we amended our senior secured hedged inventory facility which, among other things, 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sz w:val="17"/>
        </w:rPr>
        <w:t>. In June 2012, PNG partially exercised the accordion feature of its original senior unsecured credit agreement and increased from $250 million to $350 million the aggregate amount of revolving credit facility commitments. Also in June 2012, PNG amended this credit agreement which, among other things, provides for the further increase of the committed amount to $550 million, subject to obtaining additional or increased lender commitments.  The amendment also provides for one or more one-year extensions of the revolving credit facility maturity date of August 2016 and the GO Bond mandatory put date, as defined in such amendment, in each case subject to lender approvals.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crude oil supply and logistics activities, we provide certain suppliers with irrevocable standby letters of credit to secure our obligation for the purchase of crude oil.  At June 30, 2012 and December 31, 2011, we had outstanding letters of credit of approximately $34 million and $33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8Net Income Per Limited Partner Unit</w:t>
      </w:r>
      <w:bookmarkStart w:id="32" w:name="Note8netIncomePerLimitedPartnerUn_032859"/>
      <w:bookmarkEnd w:id="3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limited partner unit is determined pursuant to the two-class method for Master Limited Partnerships as prescribed in the FASB guidance.  The two-class method is an earnings allocation formula that determines earnings to our general partner, common unit holders and participating securities according to distributions pertaining to the current periods net income and participation rights in undistributed earnings.  Under this method, all earnings are allocated to our general partner, common unit holders and participating securities based on their respective rights to receive distributions, regardless of whether those earnings would actually be distributed during a particular period from an economic or practical perspective.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3" w:name="PB_15_014238_2897"/>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distribution equivalent rights (DERs), which entitle the grantee to a cash payment equal to the cash distribution paid on our outstanding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10 to our Consolidated Financial Statements included in Part IV of our 2011 Annual Report on Form 10-K for a complete discussion of our LTIP awards including specific discussion regarding 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and six months ended June 30, 2012 and 2011 (amounts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7"/>
        <w:gridCol w:w="212"/>
        <w:gridCol w:w="143"/>
        <w:gridCol w:w="913"/>
        <w:gridCol w:w="226"/>
        <w:gridCol w:w="143"/>
        <w:gridCol w:w="914"/>
        <w:gridCol w:w="219"/>
        <w:gridCol w:w="137"/>
        <w:gridCol w:w="896"/>
        <w:gridCol w:w="222"/>
        <w:gridCol w:w="136"/>
        <w:gridCol w:w="897"/>
        <w:gridCol w:w="130"/>
      </w:tblGrid>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3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9" w:type="dxa"/>
            <w:tcBorders/>
            <w:shd w:fill="auto" w:val="clear"/>
            <w:vAlign w:val="bottom"/>
          </w:tcPr>
          <w:p>
            <w:pPr>
              <w:pStyle w:val="TableContents"/>
              <w:spacing w:before="0" w:after="0"/>
              <w:ind w:left="0" w:right="0" w:hanging="0"/>
              <w:jc w:val="center"/>
              <w:rPr/>
            </w:pPr>
            <w:r>
              <w:rPr/>
              <w:t> </w:t>
            </w:r>
          </w:p>
        </w:tc>
        <w:tc>
          <w:tcPr>
            <w:tcW w:w="22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30" w:type="dxa"/>
            <w:tcBorders/>
            <w:shd w:fill="auto" w:val="clear"/>
            <w:vAlign w:val="bottom"/>
          </w:tcPr>
          <w:p>
            <w:pPr>
              <w:pStyle w:val="TableContents"/>
              <w:spacing w:before="0" w:after="0"/>
              <w:ind w:left="0" w:right="0" w:hanging="0"/>
              <w:jc w:val="center"/>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9" w:type="dxa"/>
            <w:tcBorders/>
            <w:shd w:fill="auto" w:val="clear"/>
            <w:vAlign w:val="bottom"/>
          </w:tcPr>
          <w:p>
            <w:pPr>
              <w:pStyle w:val="TableContents"/>
              <w:spacing w:before="0" w:after="0"/>
              <w:ind w:left="0" w:right="0" w:hanging="0"/>
              <w:jc w:val="center"/>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0" w:type="dxa"/>
            <w:tcBorders/>
            <w:shd w:fill="auto" w:val="clear"/>
            <w:vAlign w:val="bottom"/>
          </w:tcPr>
          <w:p>
            <w:pPr>
              <w:pStyle w:val="TableContents"/>
              <w:spacing w:before="0" w:after="0"/>
              <w:ind w:left="0" w:right="0" w:hanging="0"/>
              <w:jc w:val="center"/>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22"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Less: General partner 2% ownership</w:t>
            </w:r>
            <w:r>
              <w:rPr/>
              <w:t xml:space="preserve">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2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2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22"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Less: General partner 2% ownership</w:t>
            </w:r>
            <w:r>
              <w:rPr/>
              <w:t xml:space="preserve">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 Weighted average LTIP units</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2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2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for EPU calculation purposes.  If, however, undistributed earnings were allocated to our IDRs beyond amounts distributable to them under the terms of the Partnership Agreement, both basic and diluted earnings per limited partner unit would decrease by $0.38 per unit for the three months ended June 30, 2012 and by $0.37 per unit for the six months ended June 30, 2012.  Similarly, both basic and diluted earnings per limited partner unit would decrease by $0.08 per unit for the three months ended June 30, 2011 and by $0.02 per unit for the six months ended June 30,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4" w:name="PB_16_014552_5335"/>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9Partners Capital and Distributions</w:t>
      </w:r>
      <w:bookmarkStart w:id="35" w:name="Note9partnersCapitalAndDistributi_032647"/>
      <w:bookmarkEnd w:id="35"/>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paid during or pertaining to the first half of 2012,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01"/>
        <w:gridCol w:w="170"/>
        <w:gridCol w:w="2600"/>
        <w:gridCol w:w="170"/>
        <w:gridCol w:w="167"/>
        <w:gridCol w:w="660"/>
        <w:gridCol w:w="170"/>
        <w:gridCol w:w="204"/>
        <w:gridCol w:w="643"/>
        <w:gridCol w:w="197"/>
        <w:gridCol w:w="190"/>
        <w:gridCol w:w="514"/>
        <w:gridCol w:w="169"/>
        <w:gridCol w:w="140"/>
        <w:gridCol w:w="587"/>
        <w:gridCol w:w="105"/>
        <w:gridCol w:w="163"/>
        <w:gridCol w:w="915"/>
        <w:gridCol w:w="440"/>
      </w:tblGrid>
      <w:tr>
        <w:trPr/>
        <w:tc>
          <w:tcPr>
            <w:tcW w:w="2001"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2600" w:type="dxa"/>
            <w:tcBorders/>
            <w:shd w:fill="auto" w:val="cle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364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05" w:type="dxa"/>
            <w:tcBorders/>
            <w:shd w:fill="auto" w:val="clear"/>
            <w:vAlign w:val="bottom"/>
          </w:tcPr>
          <w:p>
            <w:pPr>
              <w:pStyle w:val="TableContents"/>
              <w:spacing w:before="0" w:after="0"/>
              <w:ind w:left="0" w:right="0" w:hanging="0"/>
              <w:jc w:val="center"/>
              <w:rPr/>
            </w:pPr>
            <w:r>
              <w:rPr/>
              <w:t> </w:t>
            </w:r>
          </w:p>
        </w:tc>
        <w:tc>
          <w:tcPr>
            <w:tcW w:w="10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440" w:type="dxa"/>
            <w:tcBorders/>
            <w:shd w:fill="auto" w:val="clear"/>
            <w:vAlign w:val="bottom"/>
          </w:tcPr>
          <w:p>
            <w:pPr>
              <w:pStyle w:val="TableContents"/>
              <w:spacing w:before="0" w:after="0"/>
              <w:ind w:left="0" w:right="0" w:hanging="0"/>
              <w:jc w:val="center"/>
              <w:rPr/>
            </w:pPr>
            <w:r>
              <w:rPr/>
              <w:t> </w:t>
            </w:r>
          </w:p>
        </w:tc>
      </w:tr>
      <w:tr>
        <w:trPr/>
        <w:tc>
          <w:tcPr>
            <w:tcW w:w="2001"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2600" w:type="dxa"/>
            <w:tcBorders/>
            <w:shd w:fill="auto" w:val="cle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0" w:type="dxa"/>
            <w:tcBorders/>
            <w:shd w:fill="auto" w:val="clear"/>
            <w:vAlign w:val="bottom"/>
          </w:tcPr>
          <w:p>
            <w:pPr>
              <w:pStyle w:val="TableContents"/>
              <w:spacing w:before="0" w:after="0"/>
              <w:ind w:left="0" w:right="0" w:hanging="0"/>
              <w:jc w:val="center"/>
              <w:rPr/>
            </w:pPr>
            <w:r>
              <w:rPr/>
              <w:t> </w:t>
            </w:r>
          </w:p>
        </w:tc>
        <w:tc>
          <w:tcPr>
            <w:tcW w:w="1748"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6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0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440" w:type="dxa"/>
            <w:tcBorders/>
            <w:shd w:fill="auto" w:val="clear"/>
            <w:vAlign w:val="bottom"/>
          </w:tcPr>
          <w:p>
            <w:pPr>
              <w:pStyle w:val="TableContents"/>
              <w:spacing w:before="0" w:after="0"/>
              <w:ind w:left="0" w:right="0" w:hanging="0"/>
              <w:jc w:val="center"/>
              <w:rPr/>
            </w:pPr>
            <w:r>
              <w:rPr/>
              <w:t> </w:t>
            </w:r>
          </w:p>
        </w:tc>
      </w:tr>
      <w:tr>
        <w:trPr/>
        <w:tc>
          <w:tcPr>
            <w:tcW w:w="200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0" w:type="dxa"/>
            <w:tcBorders/>
            <w:shd w:fill="auto" w:val="clear"/>
            <w:vAlign w:val="bottom"/>
          </w:tcPr>
          <w:p>
            <w:pPr>
              <w:pStyle w:val="TableContents"/>
              <w:spacing w:before="0" w:after="0"/>
              <w:ind w:left="0" w:right="0" w:hanging="0"/>
              <w:jc w:val="center"/>
              <w:rPr/>
            </w:pPr>
            <w:r>
              <w:rPr/>
              <w:t> </w:t>
            </w:r>
          </w:p>
        </w:tc>
        <w:tc>
          <w:tcPr>
            <w:tcW w:w="260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0" w:type="dxa"/>
            <w:tcBorders/>
            <w:shd w:fill="auto" w:val="clear"/>
            <w:vAlign w:val="bottom"/>
          </w:tcPr>
          <w:p>
            <w:pPr>
              <w:pStyle w:val="TableContents"/>
              <w:spacing w:before="0" w:after="0"/>
              <w:ind w:left="0" w:right="0" w:hanging="0"/>
              <w:jc w:val="center"/>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0" w:type="dxa"/>
            <w:tcBorders/>
            <w:shd w:fill="auto" w:val="clear"/>
            <w:vAlign w:val="bottom"/>
          </w:tcPr>
          <w:p>
            <w:pPr>
              <w:pStyle w:val="TableContents"/>
              <w:spacing w:before="0" w:after="0"/>
              <w:ind w:left="0" w:right="0" w:hanging="0"/>
              <w:jc w:val="center"/>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69" w:type="dxa"/>
            <w:tcBorders/>
            <w:shd w:fill="auto" w:val="clear"/>
            <w:vAlign w:val="bottom"/>
          </w:tcPr>
          <w:p>
            <w:pPr>
              <w:pStyle w:val="TableContents"/>
              <w:spacing w:before="0" w:after="0"/>
              <w:ind w:left="0" w:right="0" w:hanging="0"/>
              <w:jc w:val="center"/>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05" w:type="dxa"/>
            <w:tcBorders/>
            <w:shd w:fill="auto" w:val="clear"/>
            <w:vAlign w:val="bottom"/>
          </w:tcPr>
          <w:p>
            <w:pPr>
              <w:pStyle w:val="TableContents"/>
              <w:spacing w:before="0" w:after="0"/>
              <w:ind w:left="0" w:right="0" w:hanging="0"/>
              <w:jc w:val="center"/>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440" w:type="dxa"/>
            <w:tcBorders/>
            <w:shd w:fill="auto" w:val="clear"/>
            <w:vAlign w:val="bottom"/>
          </w:tcPr>
          <w:p>
            <w:pPr>
              <w:pStyle w:val="TableContents"/>
              <w:spacing w:before="0" w:after="0"/>
              <w:ind w:left="0" w:right="0" w:hanging="0"/>
              <w:jc w:val="center"/>
              <w:rPr/>
            </w:pPr>
            <w:r>
              <w:rPr/>
              <w:t> </w:t>
            </w:r>
          </w:p>
        </w:tc>
      </w:tr>
      <w:tr>
        <w:trPr/>
        <w:tc>
          <w:tcPr>
            <w:tcW w:w="20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July 9, 2012</w:t>
            </w:r>
          </w:p>
        </w:tc>
        <w:tc>
          <w:tcPr>
            <w:tcW w:w="170" w:type="dxa"/>
            <w:tcBorders/>
            <w:shd w:fill="CCEEFF" w:val="clear"/>
            <w:vAlign w:val="bottom"/>
          </w:tcPr>
          <w:p>
            <w:pPr>
              <w:pStyle w:val="TableContents"/>
              <w:spacing w:before="0" w:after="0"/>
              <w:ind w:left="0" w:right="0" w:hanging="0"/>
              <w:rPr/>
            </w:pPr>
            <w:r>
              <w:rPr/>
              <w:t> </w:t>
            </w:r>
          </w:p>
        </w:tc>
        <w:tc>
          <w:tcPr>
            <w:tcW w:w="2600" w:type="dxa"/>
            <w:tcBorders/>
            <w:shd w:fill="CCEEFF" w:val="clear"/>
            <w:vAlign w:val="bottom"/>
          </w:tcPr>
          <w:p>
            <w:pPr>
              <w:pStyle w:val="TableContents"/>
              <w:spacing w:before="0" w:after="0"/>
              <w:ind w:left="0" w:right="0" w:hanging="0"/>
              <w:rPr/>
            </w:pPr>
            <w:r>
              <w:rPr>
                <w:rFonts w:ascii="Times New Roman" w:hAnsi="Times New Roman"/>
                <w:sz w:val="17"/>
              </w:rPr>
              <w:t xml:space="preserve">August 14, 2012 </w:t>
            </w:r>
            <w:r>
              <w:rPr>
                <w:sz w:val="11"/>
              </w:rPr>
              <w:t>(1)</w:t>
            </w:r>
          </w:p>
        </w:tc>
        <w:tc>
          <w:tcPr>
            <w:tcW w:w="170"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70"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97"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9"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05"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1.0650</w:t>
            </w:r>
          </w:p>
        </w:tc>
        <w:tc>
          <w:tcPr>
            <w:tcW w:w="440" w:type="dxa"/>
            <w:tcBorders/>
            <w:shd w:fill="CCEEFF" w:val="clear"/>
            <w:vAlign w:val="bottom"/>
          </w:tcPr>
          <w:p>
            <w:pPr>
              <w:pStyle w:val="TableContents"/>
              <w:spacing w:before="0" w:after="0"/>
              <w:ind w:left="0" w:right="0" w:hanging="0"/>
              <w:rPr/>
            </w:pPr>
            <w:r>
              <w:rPr/>
              <w:t> </w:t>
            </w:r>
          </w:p>
        </w:tc>
      </w:tr>
      <w:tr>
        <w:trPr/>
        <w:tc>
          <w:tcPr>
            <w:tcW w:w="20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10, 2012</w:t>
            </w:r>
          </w:p>
        </w:tc>
        <w:tc>
          <w:tcPr>
            <w:tcW w:w="170" w:type="dxa"/>
            <w:tcBorders/>
            <w:shd w:fill="auto" w:val="clear"/>
            <w:vAlign w:val="bottom"/>
          </w:tcPr>
          <w:p>
            <w:pPr>
              <w:pStyle w:val="TableContents"/>
              <w:spacing w:before="0" w:after="0"/>
              <w:ind w:left="0" w:right="0" w:hanging="0"/>
              <w:rPr/>
            </w:pPr>
            <w:r>
              <w:rPr/>
              <w:t> </w:t>
            </w:r>
          </w:p>
        </w:tc>
        <w:tc>
          <w:tcPr>
            <w:tcW w:w="26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15, 2012</w:t>
            </w:r>
          </w:p>
        </w:tc>
        <w:tc>
          <w:tcPr>
            <w:tcW w:w="170"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70"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7"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9"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05"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1.0450</w:t>
            </w:r>
          </w:p>
        </w:tc>
        <w:tc>
          <w:tcPr>
            <w:tcW w:w="440" w:type="dxa"/>
            <w:tcBorders/>
            <w:shd w:fill="auto" w:val="clear"/>
            <w:vAlign w:val="bottom"/>
          </w:tcPr>
          <w:p>
            <w:pPr>
              <w:pStyle w:val="TableContents"/>
              <w:spacing w:before="0" w:after="0"/>
              <w:ind w:left="0" w:right="0" w:hanging="0"/>
              <w:rPr/>
            </w:pPr>
            <w:r>
              <w:rPr/>
              <w:t> </w:t>
            </w:r>
          </w:p>
        </w:tc>
      </w:tr>
      <w:tr>
        <w:trPr/>
        <w:tc>
          <w:tcPr>
            <w:tcW w:w="20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10, 2012</w:t>
            </w:r>
          </w:p>
        </w:tc>
        <w:tc>
          <w:tcPr>
            <w:tcW w:w="170" w:type="dxa"/>
            <w:tcBorders/>
            <w:shd w:fill="CCEEFF" w:val="clear"/>
            <w:vAlign w:val="bottom"/>
          </w:tcPr>
          <w:p>
            <w:pPr>
              <w:pStyle w:val="TableContents"/>
              <w:spacing w:before="0" w:after="0"/>
              <w:ind w:left="0" w:right="0" w:hanging="0"/>
              <w:rPr/>
            </w:pPr>
            <w:r>
              <w:rPr/>
              <w:t> </w:t>
            </w:r>
          </w:p>
        </w:tc>
        <w:tc>
          <w:tcPr>
            <w:tcW w:w="26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14, 2012</w:t>
            </w:r>
          </w:p>
        </w:tc>
        <w:tc>
          <w:tcPr>
            <w:tcW w:w="170"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70"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7"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9"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05"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1.0250</w:t>
            </w:r>
          </w:p>
        </w:tc>
        <w:tc>
          <w:tcPr>
            <w:tcW w:w="44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at the close of business on August 3, 2012, for the period April 1, 2012 through June 30,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following a significant acquisition, our general partner has, from time to time, agreed to reduce the amounts due to it as incentive distributions.  In connection with the BP NGL Acquisition, our general partner agreed to reduce the amount of its incentive distributions by $3.75 million per quarter through February 2014 and $2.5 million per quarter thereafter.  Through June 30, 2012, our general partners incentive distributions had been reduced by $3.75 million related to this acquisition. See Note 4 for further discussion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Continuous Offering Program</w:t>
      </w:r>
      <w:r>
        <w:rPr>
          <w:rFonts w:ascii="Times New Roman" w:hAnsi="Times New Roman"/>
          <w:sz w:val="17"/>
        </w:rPr>
        <w:t>. On May 9, 2012, we entered into an Equity Distribution Agreement (the Agreement) with a financial institution (Manager). Pursuant to the terms of the Agreement, we may from time to time, through Manager, as our sales agent, offer and sell common units representing limited partner interests having an aggregate offering price of up to $300 million. Sales of such common units will be made by means of ordinary brokers transactions on the NYSE at market prices, in block transactions or as otherwise agreed upon by Manager and us. Under the terms of the Agreement, we may also sell common units to Manager as principal for its own account at a price to be agreed upon at the time of the sale. For any such sales, we will enter into a separate terms agreement with Manager.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Through June 30, 2012, we sold an aggregate of 1,434,790 common units under the Agreement, generating proceeds of approximately $114 million, net of approximately $2 million of commissions to Manager. A portion of these units were issued and the associated proceeds received during early July 2012.</w:t>
      </w:r>
      <w:r>
        <w:rPr>
          <w:rFonts w:ascii="Times New Roman" w:hAnsi="Times New Roman"/>
        </w:rPr>
        <w:t xml:space="preserve"> </w:t>
      </w:r>
      <w:r>
        <w:rPr>
          <w:rFonts w:ascii="Times New Roman" w:hAnsi="Times New Roman"/>
          <w:sz w:val="17"/>
        </w:rPr>
        <w:t>The net proceeds from sales, including our general partners proportionate capital contribution,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Equity Offerings</w:t>
      </w:r>
      <w:r>
        <w:rPr>
          <w:rFonts w:ascii="Times New Roman" w:hAnsi="Times New Roman"/>
          <w:sz w:val="17"/>
        </w:rPr>
        <w:t>. During the first six months of 2012, we completed an equity offering of our common units that was not associated with our Continuous Offering Program, as shown in the table below (in millions, except unit and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40"/>
        <w:gridCol w:w="176"/>
        <w:gridCol w:w="1269"/>
        <w:gridCol w:w="176"/>
        <w:gridCol w:w="168"/>
        <w:gridCol w:w="911"/>
        <w:gridCol w:w="176"/>
        <w:gridCol w:w="199"/>
        <w:gridCol w:w="867"/>
        <w:gridCol w:w="176"/>
        <w:gridCol w:w="402"/>
        <w:gridCol w:w="842"/>
        <w:gridCol w:w="176"/>
        <w:gridCol w:w="155"/>
        <w:gridCol w:w="724"/>
        <w:gridCol w:w="193"/>
        <w:gridCol w:w="189"/>
        <w:gridCol w:w="839"/>
        <w:gridCol w:w="127"/>
      </w:tblGrid>
      <w:tr>
        <w:trPr/>
        <w:tc>
          <w:tcPr>
            <w:tcW w:w="2440"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269" w:type="dxa"/>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79" w:type="dxa"/>
            <w:gridSpan w:val="2"/>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66" w:type="dxa"/>
            <w:gridSpan w:val="2"/>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76" w:type="dxa"/>
            <w:tcBorders/>
            <w:shd w:fill="auto" w:val="clear"/>
            <w:vAlign w:val="bottom"/>
          </w:tcPr>
          <w:p>
            <w:pPr>
              <w:pStyle w:val="TableContents"/>
              <w:spacing w:before="0" w:after="0"/>
              <w:ind w:left="0" w:right="0" w:hanging="0"/>
              <w:jc w:val="center"/>
              <w:rPr/>
            </w:pPr>
            <w:r>
              <w:rPr/>
              <w:t> </w:t>
            </w:r>
          </w:p>
        </w:tc>
        <w:tc>
          <w:tcPr>
            <w:tcW w:w="879"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028"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r>
      <w:tr>
        <w:trPr/>
        <w:tc>
          <w:tcPr>
            <w:tcW w:w="2440"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269" w:type="dxa"/>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7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r>
          </w:p>
        </w:tc>
        <w:tc>
          <w:tcPr>
            <w:tcW w:w="176" w:type="dxa"/>
            <w:tcBorders/>
            <w:shd w:fill="auto" w:val="clear"/>
            <w:vAlign w:val="bottom"/>
          </w:tcPr>
          <w:p>
            <w:pPr>
              <w:pStyle w:val="TableContents"/>
              <w:spacing w:before="0" w:after="0"/>
              <w:ind w:left="0" w:right="0" w:hanging="0"/>
              <w:jc w:val="center"/>
              <w:rPr/>
            </w:pPr>
            <w:r>
              <w:rPr/>
              <w:t> </w:t>
            </w:r>
          </w:p>
        </w:tc>
        <w:tc>
          <w:tcPr>
            <w:tcW w:w="10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76" w:type="dxa"/>
            <w:tcBorders/>
            <w:shd w:fill="auto" w:val="clear"/>
            <w:vAlign w:val="bottom"/>
          </w:tcPr>
          <w:p>
            <w:pPr>
              <w:pStyle w:val="TableContents"/>
              <w:spacing w:before="0" w:after="0"/>
              <w:ind w:left="0" w:right="0" w:hanging="0"/>
              <w:jc w:val="center"/>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76" w:type="dxa"/>
            <w:tcBorders/>
            <w:shd w:fill="auto" w:val="clear"/>
            <w:vAlign w:val="bottom"/>
          </w:tcPr>
          <w:p>
            <w:pPr>
              <w:pStyle w:val="TableContents"/>
              <w:spacing w:before="0" w:after="0"/>
              <w:ind w:left="0" w:right="0" w:hanging="0"/>
              <w:jc w:val="center"/>
              <w:rPr/>
            </w:pPr>
            <w:r>
              <w:rPr/>
              <w:t> </w:t>
            </w:r>
          </w:p>
        </w:tc>
        <w:tc>
          <w:tcPr>
            <w:tcW w:w="879"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0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7" w:type="dxa"/>
            <w:tcBorders/>
            <w:shd w:fill="auto" w:val="clear"/>
            <w:vAlign w:val="bottom"/>
          </w:tcPr>
          <w:p>
            <w:pPr>
              <w:pStyle w:val="TableContents"/>
              <w:spacing w:before="0" w:after="0"/>
              <w:ind w:left="0" w:right="0" w:hanging="0"/>
              <w:jc w:val="center"/>
              <w:rPr/>
            </w:pPr>
            <w:r>
              <w:rPr/>
              <w:t> </w:t>
            </w:r>
          </w:p>
        </w:tc>
      </w:tr>
      <w:tr>
        <w:trPr/>
        <w:tc>
          <w:tcPr>
            <w:tcW w:w="24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w:t>
            </w:r>
          </w:p>
        </w:tc>
        <w:tc>
          <w:tcPr>
            <w:tcW w:w="176" w:type="dxa"/>
            <w:tcBorders/>
            <w:shd w:fill="auto" w:val="clear"/>
            <w:vAlign w:val="bottom"/>
          </w:tcPr>
          <w:p>
            <w:pPr>
              <w:pStyle w:val="TableContents"/>
              <w:spacing w:before="0" w:after="0"/>
              <w:ind w:left="0" w:right="0" w:hanging="0"/>
              <w:jc w:val="center"/>
              <w:rPr/>
            </w:pPr>
            <w:r>
              <w:rPr/>
              <w:t> </w:t>
            </w:r>
          </w:p>
        </w:tc>
        <w:tc>
          <w:tcPr>
            <w:tcW w:w="126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 Issued</w:t>
            </w:r>
          </w:p>
        </w:tc>
        <w:tc>
          <w:tcPr>
            <w:tcW w:w="176" w:type="dxa"/>
            <w:tcBorders/>
            <w:shd w:fill="auto" w:val="clear"/>
            <w:vAlign w:val="bottom"/>
          </w:tcPr>
          <w:p>
            <w:pPr>
              <w:pStyle w:val="TableContents"/>
              <w:spacing w:before="0" w:after="0"/>
              <w:ind w:left="0" w:right="0" w:hanging="0"/>
              <w:jc w:val="center"/>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Price</w:t>
            </w:r>
          </w:p>
        </w:tc>
        <w:tc>
          <w:tcPr>
            <w:tcW w:w="176" w:type="dxa"/>
            <w:tcBorders/>
            <w:shd w:fill="auto" w:val="clear"/>
            <w:vAlign w:val="bottom"/>
          </w:tcPr>
          <w:p>
            <w:pPr>
              <w:pStyle w:val="TableContents"/>
              <w:spacing w:before="0" w:after="0"/>
              <w:ind w:left="0" w:right="0" w:hanging="0"/>
              <w:jc w:val="center"/>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from Sale</w:t>
            </w:r>
          </w:p>
        </w:tc>
        <w:tc>
          <w:tcPr>
            <w:tcW w:w="176" w:type="dxa"/>
            <w:tcBorders/>
            <w:shd w:fill="auto" w:val="clear"/>
            <w:vAlign w:val="bottom"/>
          </w:tcPr>
          <w:p>
            <w:pPr>
              <w:pStyle w:val="TableContents"/>
              <w:spacing w:before="0" w:after="0"/>
              <w:ind w:left="0" w:right="0" w:hanging="0"/>
              <w:jc w:val="center"/>
              <w:rPr/>
            </w:pPr>
            <w:r>
              <w:rPr/>
              <w:t> </w:t>
            </w:r>
          </w:p>
        </w:tc>
        <w:tc>
          <w:tcPr>
            <w:tcW w:w="12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Contribution</w:t>
            </w:r>
          </w:p>
        </w:tc>
        <w:tc>
          <w:tcPr>
            <w:tcW w:w="176" w:type="dxa"/>
            <w:tcBorders/>
            <w:shd w:fill="auto" w:val="clear"/>
            <w:vAlign w:val="bottom"/>
          </w:tcPr>
          <w:p>
            <w:pPr>
              <w:pStyle w:val="TableContents"/>
              <w:spacing w:before="0" w:after="0"/>
              <w:ind w:left="0" w:right="0" w:hanging="0"/>
              <w:jc w:val="center"/>
              <w:rPr/>
            </w:pPr>
            <w:r>
              <w:rPr/>
              <w:t> </w:t>
            </w:r>
          </w:p>
        </w:tc>
        <w:tc>
          <w:tcPr>
            <w:tcW w:w="8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Costs</w:t>
            </w:r>
          </w:p>
        </w:tc>
        <w:tc>
          <w:tcPr>
            <w:tcW w:w="193" w:type="dxa"/>
            <w:tcBorders/>
            <w:shd w:fill="auto" w:val="clear"/>
            <w:vAlign w:val="bottom"/>
          </w:tcPr>
          <w:p>
            <w:pPr>
              <w:pStyle w:val="TableContents"/>
              <w:spacing w:before="0" w:after="0"/>
              <w:ind w:left="0" w:right="0" w:hanging="0"/>
              <w:jc w:val="center"/>
              <w:rPr/>
            </w:pPr>
            <w:r>
              <w:rPr/>
              <w:t> </w:t>
            </w:r>
          </w:p>
        </w:tc>
        <w:tc>
          <w:tcPr>
            <w:tcW w:w="10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27" w:type="dxa"/>
            <w:tcBorders/>
            <w:shd w:fill="auto" w:val="clear"/>
            <w:vAlign w:val="bottom"/>
          </w:tcPr>
          <w:p>
            <w:pPr>
              <w:pStyle w:val="TableContents"/>
              <w:spacing w:before="0" w:after="0"/>
              <w:ind w:left="0" w:right="0" w:hanging="0"/>
              <w:jc w:val="center"/>
              <w:rPr/>
            </w:pPr>
            <w:r>
              <w:rPr/>
              <w:t> </w:t>
            </w:r>
          </w:p>
        </w:tc>
      </w:tr>
      <w:tr>
        <w:trPr/>
        <w:tc>
          <w:tcPr>
            <w:tcW w:w="2440" w:type="dxa"/>
            <w:tcBorders/>
            <w:shd w:fill="CCEEFF" w:val="clear"/>
            <w:vAlign w:val="bottom"/>
          </w:tcPr>
          <w:p>
            <w:pPr>
              <w:pStyle w:val="TableContents"/>
              <w:spacing w:before="0" w:after="0"/>
              <w:ind w:left="0" w:right="0" w:hanging="0"/>
              <w:rPr/>
            </w:pPr>
            <w:r>
              <w:rPr>
                <w:rFonts w:ascii="Times New Roman" w:hAnsi="Times New Roman"/>
                <w:sz w:val="17"/>
              </w:rPr>
              <w:t xml:space="preserve">March 2012 </w:t>
            </w:r>
            <w:r>
              <w:rPr>
                <w:sz w:val="11"/>
              </w:rPr>
              <w:t>(1)</w:t>
            </w:r>
          </w:p>
        </w:tc>
        <w:tc>
          <w:tcPr>
            <w:tcW w:w="176" w:type="dxa"/>
            <w:tcBorders/>
            <w:shd w:fill="CCEEFF" w:val="clear"/>
            <w:vAlign w:val="bottom"/>
          </w:tcPr>
          <w:p>
            <w:pPr>
              <w:pStyle w:val="TableContents"/>
              <w:spacing w:before="0" w:after="0"/>
              <w:ind w:left="0" w:right="0" w:hanging="0"/>
              <w:rPr/>
            </w:pPr>
            <w:r>
              <w:rPr/>
              <w:t> </w:t>
            </w:r>
          </w:p>
        </w:tc>
        <w:tc>
          <w:tcPr>
            <w:tcW w:w="12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5,750,000</w:t>
            </w:r>
          </w:p>
        </w:tc>
        <w:tc>
          <w:tcPr>
            <w:tcW w:w="176"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80.03</w:t>
            </w:r>
          </w:p>
        </w:tc>
        <w:tc>
          <w:tcPr>
            <w:tcW w:w="176"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76" w:type="dxa"/>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6"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127" w:type="dxa"/>
            <w:tcBorders/>
            <w:shd w:fill="CCEEFF" w:val="clear"/>
            <w:vAlign w:val="bottom"/>
          </w:tcPr>
          <w:p>
            <w:pPr>
              <w:pStyle w:val="TableContents"/>
              <w:spacing w:before="0" w:after="0"/>
              <w:ind w:left="0" w:right="0" w:hanging="0"/>
              <w:rPr/>
            </w:pPr>
            <w:r>
              <w:rPr/>
              <w:t> </w:t>
            </w:r>
          </w:p>
        </w:tc>
      </w:tr>
      <w:tr>
        <w:trPr/>
        <w:tc>
          <w:tcPr>
            <w:tcW w:w="244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This offering of common units was an underwritten transaction that required us to pay a gross spread.  The net proceeds from this offering were used to fund a portion of the BP NGL Acquisition, to reduce outstanding borrowings under our credit facilities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we issued 449,654 common units during the six months ended June 30, 2012, which resulted in an increase to partners capital of approximately $34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6" w:name="PB_17_023444_7056"/>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2012, noncontrolling interests in subsidiaries consisted of the following: (i) an approximate 36 % interest in PNG and (ii)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Modification of Conversion of PNG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2012, PNG modified the terms of the first three tranches of the PNG Series B subordinated units held by PAA. The Series B subordinated units do not participate in quarterly distributions. Instead, the Series B subordinated units convert into Series A subordinated units in five distinct tranches upon the achievement of defined benchmarks tied to the amount of capacity in service at Pine Prairie and increases in PNGs quarterly distributions. Any Series B subordinated units that remain outstanding as of December 31, 2018 will automatically be cancelled. The February 2012 modification increased the quarterly distribution benchmark for Tranche 1, 2 and 3 from annualized levels of $1.44 per unit, $1.53 per unit and $1.63 per unit, respectively, to an annualized level of $1.71 per unit. The following table presents the operational and financial benchmarks, as modified, for conversion of the Series B subordinated units into Series A subordinated units for each tranche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23"/>
        <w:gridCol w:w="141"/>
        <w:gridCol w:w="3586"/>
        <w:gridCol w:w="141"/>
        <w:gridCol w:w="2976"/>
        <w:gridCol w:w="141"/>
        <w:gridCol w:w="302"/>
        <w:gridCol w:w="1595"/>
        <w:gridCol w:w="100"/>
      </w:tblGrid>
      <w:tr>
        <w:trPr/>
        <w:tc>
          <w:tcPr>
            <w:tcW w:w="1223"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358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Series B Subordinated Units to Convert into</w:t>
              <w:br/>
              <w:t>Series A Subordinated Units</w:t>
            </w:r>
          </w:p>
        </w:tc>
        <w:tc>
          <w:tcPr>
            <w:tcW w:w="141" w:type="dxa"/>
            <w:tcBorders/>
            <w:shd w:fill="auto" w:val="clear"/>
            <w:vAlign w:val="bottom"/>
          </w:tcPr>
          <w:p>
            <w:pPr>
              <w:pStyle w:val="TableContents"/>
              <w:spacing w:before="0" w:after="0"/>
              <w:ind w:left="0" w:right="0" w:hanging="0"/>
              <w:jc w:val="center"/>
              <w:rPr/>
            </w:pPr>
            <w:r>
              <w:rPr/>
              <w:t> </w:t>
            </w:r>
          </w:p>
        </w:tc>
        <w:tc>
          <w:tcPr>
            <w:tcW w:w="297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Working Gas Storage Capacity (Bcf)</w:t>
            </w:r>
          </w:p>
        </w:tc>
        <w:tc>
          <w:tcPr>
            <w:tcW w:w="141" w:type="dxa"/>
            <w:tcBorders/>
            <w:shd w:fill="auto" w:val="clear"/>
            <w:vAlign w:val="bottom"/>
          </w:tcPr>
          <w:p>
            <w:pPr>
              <w:pStyle w:val="TableContents"/>
              <w:spacing w:before="0" w:after="0"/>
              <w:ind w:left="0" w:right="0" w:hanging="0"/>
              <w:jc w:val="center"/>
              <w:rPr/>
            </w:pPr>
            <w:r>
              <w:rPr/>
              <w:t> </w:t>
            </w:r>
          </w:p>
        </w:tc>
        <w:tc>
          <w:tcPr>
            <w:tcW w:w="1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Annualized</w:t>
              <w:br/>
              <w:t>Distribution Level </w:t>
            </w:r>
            <w:r>
              <w:rPr>
                <w:b/>
                <w:sz w:val="8"/>
              </w:rPr>
              <w:t>(1)</w:t>
            </w:r>
          </w:p>
        </w:tc>
        <w:tc>
          <w:tcPr>
            <w:tcW w:w="100" w:type="dxa"/>
            <w:tcBorders/>
            <w:shd w:fill="auto" w:val="clear"/>
            <w:vAlign w:val="bottom"/>
          </w:tcPr>
          <w:p>
            <w:pPr>
              <w:pStyle w:val="TableContents"/>
              <w:spacing w:before="0" w:after="0"/>
              <w:ind w:left="0" w:right="0" w:hanging="0"/>
              <w:jc w:val="center"/>
              <w:rPr/>
            </w:pPr>
            <w:r>
              <w:rPr/>
              <w:t> </w:t>
            </w:r>
          </w:p>
        </w:tc>
      </w:tr>
      <w:tr>
        <w:trPr/>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1</w:t>
            </w:r>
          </w:p>
        </w:tc>
        <w:tc>
          <w:tcPr>
            <w:tcW w:w="141" w:type="dxa"/>
            <w:tcBorders/>
            <w:shd w:fill="CCEEFF" w:val="clear"/>
            <w:vAlign w:val="bottom"/>
          </w:tcPr>
          <w:p>
            <w:pPr>
              <w:pStyle w:val="TableContents"/>
              <w:spacing w:before="0" w:after="0"/>
              <w:ind w:left="0" w:right="0" w:hanging="0"/>
              <w:rPr/>
            </w:pPr>
            <w:r>
              <w:rPr/>
              <w:t> </w:t>
            </w:r>
          </w:p>
        </w:tc>
        <w:tc>
          <w:tcPr>
            <w:tcW w:w="35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41" w:type="dxa"/>
            <w:tcBorders/>
            <w:shd w:fill="CCEEFF" w:val="clear"/>
            <w:vAlign w:val="bottom"/>
          </w:tcPr>
          <w:p>
            <w:pPr>
              <w:pStyle w:val="TableContents"/>
              <w:spacing w:before="0" w:after="0"/>
              <w:ind w:left="0" w:right="0" w:hanging="0"/>
              <w:rPr/>
            </w:pPr>
            <w:r>
              <w:rPr/>
              <w:t> </w:t>
            </w:r>
          </w:p>
        </w:tc>
        <w:tc>
          <w:tcPr>
            <w:tcW w:w="29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41" w:type="dxa"/>
            <w:tcBorders/>
            <w:shd w:fill="CCEEFF" w:val="clear"/>
            <w:vAlign w:val="bottom"/>
          </w:tcPr>
          <w:p>
            <w:pPr>
              <w:pStyle w:val="TableContents"/>
              <w:spacing w:before="0" w:after="0"/>
              <w:ind w:left="0" w:right="0" w:hanging="0"/>
              <w:rPr/>
            </w:pPr>
            <w:r>
              <w:rPr/>
              <w:t> </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CCEEFF" w:val="clear"/>
            <w:vAlign w:val="bottom"/>
          </w:tcPr>
          <w:p>
            <w:pPr>
              <w:pStyle w:val="TableContents"/>
              <w:spacing w:before="0" w:after="0"/>
              <w:ind w:left="0" w:right="0" w:hanging="0"/>
              <w:rPr/>
            </w:pPr>
            <w:r>
              <w:rPr/>
              <w:t> </w:t>
            </w:r>
          </w:p>
        </w:tc>
      </w:tr>
      <w:tr>
        <w:trPr/>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2</w:t>
            </w:r>
          </w:p>
        </w:tc>
        <w:tc>
          <w:tcPr>
            <w:tcW w:w="141" w:type="dxa"/>
            <w:tcBorders/>
            <w:shd w:fill="auto" w:val="clear"/>
            <w:vAlign w:val="bottom"/>
          </w:tcPr>
          <w:p>
            <w:pPr>
              <w:pStyle w:val="TableContents"/>
              <w:spacing w:before="0" w:after="0"/>
              <w:ind w:left="0" w:right="0" w:hanging="0"/>
              <w:rPr/>
            </w:pPr>
            <w:r>
              <w:rPr/>
              <w:t> </w:t>
            </w:r>
          </w:p>
        </w:tc>
        <w:tc>
          <w:tcPr>
            <w:tcW w:w="35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41" w:type="dxa"/>
            <w:tcBorders/>
            <w:shd w:fill="auto" w:val="clear"/>
            <w:vAlign w:val="bottom"/>
          </w:tcPr>
          <w:p>
            <w:pPr>
              <w:pStyle w:val="TableContents"/>
              <w:spacing w:before="0" w:after="0"/>
              <w:ind w:left="0" w:right="0" w:hanging="0"/>
              <w:rPr/>
            </w:pPr>
            <w:r>
              <w:rPr/>
              <w:t> </w:t>
            </w:r>
          </w:p>
        </w:tc>
        <w:tc>
          <w:tcPr>
            <w:tcW w:w="29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41" w:type="dxa"/>
            <w:tcBorders/>
            <w:shd w:fill="auto" w:val="clear"/>
            <w:vAlign w:val="bottom"/>
          </w:tcPr>
          <w:p>
            <w:pPr>
              <w:pStyle w:val="TableContents"/>
              <w:spacing w:before="0" w:after="0"/>
              <w:ind w:left="0" w:right="0" w:hanging="0"/>
              <w:rPr/>
            </w:pPr>
            <w:r>
              <w:rPr/>
              <w:t> </w:t>
            </w:r>
          </w:p>
        </w:tc>
        <w:tc>
          <w:tcPr>
            <w:tcW w:w="3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auto" w:val="clear"/>
            <w:vAlign w:val="bottom"/>
          </w:tcPr>
          <w:p>
            <w:pPr>
              <w:pStyle w:val="TableContents"/>
              <w:spacing w:before="0" w:after="0"/>
              <w:ind w:left="0" w:right="0" w:hanging="0"/>
              <w:rPr/>
            </w:pPr>
            <w:r>
              <w:rPr/>
              <w:t> </w:t>
            </w:r>
          </w:p>
        </w:tc>
      </w:tr>
      <w:tr>
        <w:trPr/>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3</w:t>
            </w:r>
          </w:p>
        </w:tc>
        <w:tc>
          <w:tcPr>
            <w:tcW w:w="141" w:type="dxa"/>
            <w:tcBorders/>
            <w:shd w:fill="CCEEFF" w:val="clear"/>
            <w:vAlign w:val="bottom"/>
          </w:tcPr>
          <w:p>
            <w:pPr>
              <w:pStyle w:val="TableContents"/>
              <w:spacing w:before="0" w:after="0"/>
              <w:ind w:left="0" w:right="0" w:hanging="0"/>
              <w:rPr/>
            </w:pPr>
            <w:r>
              <w:rPr/>
              <w:t> </w:t>
            </w:r>
          </w:p>
        </w:tc>
        <w:tc>
          <w:tcPr>
            <w:tcW w:w="35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41" w:type="dxa"/>
            <w:tcBorders/>
            <w:shd w:fill="CCEEFF" w:val="clear"/>
            <w:vAlign w:val="bottom"/>
          </w:tcPr>
          <w:p>
            <w:pPr>
              <w:pStyle w:val="TableContents"/>
              <w:spacing w:before="0" w:after="0"/>
              <w:ind w:left="0" w:right="0" w:hanging="0"/>
              <w:rPr/>
            </w:pPr>
            <w:r>
              <w:rPr/>
              <w:t> </w:t>
            </w:r>
          </w:p>
        </w:tc>
        <w:tc>
          <w:tcPr>
            <w:tcW w:w="29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41" w:type="dxa"/>
            <w:tcBorders/>
            <w:shd w:fill="CCEEFF" w:val="clear"/>
            <w:vAlign w:val="bottom"/>
          </w:tcPr>
          <w:p>
            <w:pPr>
              <w:pStyle w:val="TableContents"/>
              <w:spacing w:before="0" w:after="0"/>
              <w:ind w:left="0" w:right="0" w:hanging="0"/>
              <w:rPr/>
            </w:pPr>
            <w:r>
              <w:rPr/>
              <w:t> </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CCEEFF" w:val="clear"/>
            <w:vAlign w:val="bottom"/>
          </w:tcPr>
          <w:p>
            <w:pPr>
              <w:pStyle w:val="TableContents"/>
              <w:spacing w:before="0" w:after="0"/>
              <w:ind w:left="0" w:right="0" w:hanging="0"/>
              <w:rPr/>
            </w:pPr>
            <w:r>
              <w:rPr/>
              <w:t> </w:t>
            </w:r>
          </w:p>
        </w:tc>
      </w:tr>
      <w:tr>
        <w:trPr/>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4</w:t>
            </w:r>
          </w:p>
        </w:tc>
        <w:tc>
          <w:tcPr>
            <w:tcW w:w="141" w:type="dxa"/>
            <w:tcBorders/>
            <w:shd w:fill="auto" w:val="clear"/>
            <w:vAlign w:val="bottom"/>
          </w:tcPr>
          <w:p>
            <w:pPr>
              <w:pStyle w:val="TableContents"/>
              <w:spacing w:before="0" w:after="0"/>
              <w:ind w:left="0" w:right="0" w:hanging="0"/>
              <w:rPr/>
            </w:pPr>
            <w:r>
              <w:rPr/>
              <w:t> </w:t>
            </w:r>
          </w:p>
        </w:tc>
        <w:tc>
          <w:tcPr>
            <w:tcW w:w="35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41" w:type="dxa"/>
            <w:tcBorders/>
            <w:shd w:fill="auto" w:val="clear"/>
            <w:vAlign w:val="bottom"/>
          </w:tcPr>
          <w:p>
            <w:pPr>
              <w:pStyle w:val="TableContents"/>
              <w:spacing w:before="0" w:after="0"/>
              <w:ind w:left="0" w:right="0" w:hanging="0"/>
              <w:rPr/>
            </w:pPr>
            <w:r>
              <w:rPr/>
              <w:t> </w:t>
            </w:r>
          </w:p>
        </w:tc>
        <w:tc>
          <w:tcPr>
            <w:tcW w:w="29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141" w:type="dxa"/>
            <w:tcBorders/>
            <w:shd w:fill="auto" w:val="clear"/>
            <w:vAlign w:val="bottom"/>
          </w:tcPr>
          <w:p>
            <w:pPr>
              <w:pStyle w:val="TableContents"/>
              <w:spacing w:before="0" w:after="0"/>
              <w:ind w:left="0" w:right="0" w:hanging="0"/>
              <w:rPr/>
            </w:pPr>
            <w:r>
              <w:rPr/>
              <w:t> </w:t>
            </w:r>
          </w:p>
        </w:tc>
        <w:tc>
          <w:tcPr>
            <w:tcW w:w="3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auto" w:val="clear"/>
            <w:vAlign w:val="bottom"/>
          </w:tcPr>
          <w:p>
            <w:pPr>
              <w:pStyle w:val="TableContents"/>
              <w:spacing w:before="0" w:after="0"/>
              <w:ind w:left="0" w:right="0" w:hanging="0"/>
              <w:rPr/>
            </w:pPr>
            <w:r>
              <w:rPr/>
              <w:t> </w:t>
            </w:r>
          </w:p>
        </w:tc>
      </w:tr>
      <w:tr>
        <w:trPr/>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5</w:t>
            </w:r>
          </w:p>
        </w:tc>
        <w:tc>
          <w:tcPr>
            <w:tcW w:w="141" w:type="dxa"/>
            <w:tcBorders/>
            <w:shd w:fill="CCEEFF" w:val="clear"/>
            <w:vAlign w:val="bottom"/>
          </w:tcPr>
          <w:p>
            <w:pPr>
              <w:pStyle w:val="TableContents"/>
              <w:spacing w:before="0" w:after="0"/>
              <w:ind w:left="0" w:right="0" w:hanging="0"/>
              <w:rPr/>
            </w:pPr>
            <w:r>
              <w:rPr/>
              <w:t> </w:t>
            </w:r>
          </w:p>
        </w:tc>
        <w:tc>
          <w:tcPr>
            <w:tcW w:w="35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41" w:type="dxa"/>
            <w:tcBorders/>
            <w:shd w:fill="CCEEFF" w:val="clear"/>
            <w:vAlign w:val="bottom"/>
          </w:tcPr>
          <w:p>
            <w:pPr>
              <w:pStyle w:val="TableContents"/>
              <w:spacing w:before="0" w:after="0"/>
              <w:ind w:left="0" w:right="0" w:hanging="0"/>
              <w:rPr/>
            </w:pPr>
            <w:r>
              <w:rPr/>
              <w:t> </w:t>
            </w:r>
          </w:p>
        </w:tc>
        <w:tc>
          <w:tcPr>
            <w:tcW w:w="29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141" w:type="dxa"/>
            <w:tcBorders/>
            <w:shd w:fill="CCEEFF" w:val="clear"/>
            <w:vAlign w:val="bottom"/>
          </w:tcPr>
          <w:p>
            <w:pPr>
              <w:pStyle w:val="TableContents"/>
              <w:spacing w:before="0" w:after="0"/>
              <w:ind w:left="0" w:right="0" w:hanging="0"/>
              <w:rPr/>
            </w:pPr>
            <w:r>
              <w:rPr/>
              <w:t> </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0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satisfaction of this benchmark, PNG must, for two consecutive quarters, (i) generate distributable cash flow sufficient to pay a quarterly distribution of at least the annualized distribution benchmark on the weighted average number of common units and Series A subordinated units and all of such Series B subordinated units outstanding during such quarter plus (ii) distribute available cash of at least the annualized distribution benchmark on all outstanding common units and Series A subordinated units and the corresponding distributions on PNGs general partners 2% interest and the related distributions on the incentive distribution rights.  See Note 5 to our Consolidated Financial Statements included in Part IV of our 2011 Annual Report on Form 10-K for a complete discussion of our Series B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68"/>
        <w:gridCol w:w="214"/>
        <w:gridCol w:w="142"/>
        <w:gridCol w:w="1092"/>
        <w:gridCol w:w="227"/>
        <w:gridCol w:w="142"/>
        <w:gridCol w:w="1093"/>
        <w:gridCol w:w="127"/>
      </w:tblGrid>
      <w:tr>
        <w:trPr/>
        <w:tc>
          <w:tcPr>
            <w:tcW w:w="716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6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716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6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7" w:type="dxa"/>
            <w:tcBorders/>
            <w:shd w:fill="auto" w:val="clear"/>
            <w:vAlign w:val="bottom"/>
          </w:tcPr>
          <w:p>
            <w:pPr>
              <w:pStyle w:val="TableContents"/>
              <w:spacing w:before="0" w:after="0"/>
              <w:ind w:left="0" w:right="0" w:hanging="0"/>
              <w:jc w:val="center"/>
              <w:rPr/>
            </w:pPr>
            <w:r>
              <w:rPr/>
              <w:t> </w:t>
            </w:r>
          </w:p>
        </w:tc>
      </w:tr>
      <w:tr>
        <w:trPr/>
        <w:tc>
          <w:tcPr>
            <w:tcW w:w="716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7" w:type="dxa"/>
            <w:tcBorders/>
            <w:shd w:fill="auto" w:val="clear"/>
            <w:vAlign w:val="bottom"/>
          </w:tcPr>
          <w:p>
            <w:pPr>
              <w:pStyle w:val="TableContents"/>
              <w:spacing w:before="0" w:after="0"/>
              <w:ind w:left="0" w:right="0" w:hanging="0"/>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7" w:type="dxa"/>
            <w:tcBorders/>
            <w:shd w:fill="auto" w:val="clear"/>
            <w:vAlign w:val="bottom"/>
          </w:tcPr>
          <w:p>
            <w:pPr>
              <w:pStyle w:val="TableContents"/>
              <w:spacing w:before="0" w:after="0"/>
              <w:ind w:left="0" w:right="0" w:hanging="0"/>
              <w:jc w:val="center"/>
              <w:rPr/>
            </w:pPr>
            <w:r>
              <w:rPr/>
              <w:t> </w:t>
            </w:r>
          </w:p>
        </w:tc>
      </w:tr>
      <w:tr>
        <w:trPr/>
        <w:tc>
          <w:tcPr>
            <w:tcW w:w="7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4"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27"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7" w:type="dxa"/>
            <w:tcBorders/>
            <w:shd w:fill="CCEEFF" w:val="clear"/>
            <w:vAlign w:val="bottom"/>
          </w:tcPr>
          <w:p>
            <w:pPr>
              <w:pStyle w:val="TableContents"/>
              <w:spacing w:before="0" w:after="0"/>
              <w:ind w:left="0" w:right="0" w:hanging="0"/>
              <w:rPr/>
            </w:pPr>
            <w:r>
              <w:rPr/>
              <w:t> </w:t>
            </w:r>
          </w:p>
        </w:tc>
      </w:tr>
      <w:tr>
        <w:trPr/>
        <w:tc>
          <w:tcPr>
            <w:tcW w:w="7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interests in a subsidiary</w:t>
            </w:r>
          </w:p>
        </w:tc>
        <w:tc>
          <w:tcPr>
            <w:tcW w:w="214"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27" w:type="dxa"/>
            <w:tcBorders/>
            <w:shd w:fill="auto" w:val="clear"/>
            <w:vAlign w:val="bottom"/>
          </w:tcPr>
          <w:p>
            <w:pPr>
              <w:pStyle w:val="TableContents"/>
              <w:spacing w:before="0" w:after="0"/>
              <w:ind w:left="0" w:right="0" w:hanging="0"/>
              <w:rPr/>
            </w:pPr>
            <w:r>
              <w:rPr/>
              <w:t> </w:t>
            </w:r>
          </w:p>
        </w:tc>
      </w:tr>
      <w:tr>
        <w:trPr/>
        <w:tc>
          <w:tcPr>
            <w:tcW w:w="7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4"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7" w:type="dxa"/>
            <w:tcBorders/>
            <w:shd w:fill="CCEEFF" w:val="clear"/>
            <w:vAlign w:val="bottom"/>
          </w:tcPr>
          <w:p>
            <w:pPr>
              <w:pStyle w:val="TableContents"/>
              <w:spacing w:before="0" w:after="0"/>
              <w:ind w:left="0" w:right="0" w:hanging="0"/>
              <w:rPr/>
            </w:pPr>
            <w:r>
              <w:rPr/>
              <w:t> </w:t>
            </w:r>
          </w:p>
        </w:tc>
      </w:tr>
      <w:tr>
        <w:trPr/>
        <w:tc>
          <w:tcPr>
            <w:tcW w:w="7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14"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pPr>
            <w:r>
              <w:rPr/>
              <w:t> </w:t>
            </w:r>
          </w:p>
        </w:tc>
      </w:tr>
      <w:tr>
        <w:trPr/>
        <w:tc>
          <w:tcPr>
            <w:tcW w:w="7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14"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14"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7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gain on cash flow hedges</w:t>
            </w:r>
          </w:p>
        </w:tc>
        <w:tc>
          <w:tcPr>
            <w:tcW w:w="214"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7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14"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27"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7" w:name="PB_18_023632_5335"/>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 Compensation Plans</w:t>
      </w:r>
      <w:bookmarkStart w:id="38" w:name="Note10equityCompensationPlans_032701"/>
      <w:bookmarkEnd w:id="3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complete discussion of our equity compensation awards, see Note 10 to our Consolidated Financial Statements included in Part IV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Long-term Incentive Plan Award Modification</w:t>
      </w:r>
      <w:r>
        <w:rPr>
          <w:rFonts w:ascii="Times New Roman" w:hAnsi="Times New Roman"/>
          <w:sz w:val="17"/>
        </w:rPr>
        <w:t>.  In February 2012, the Board of Directors of PNGs general partner approved the modification of certain awards previously granted under the PNG Plan.  As a result of the modification, approximately 232,500 equity-classified phantom unit awards will now vest in the following manner: (i) approximately 70,000 awards, with distribution equivalent rights also modified to begin payment in February 2012, will vest upon the date PNG pays an annualized distribution of at least $1.45, (ii) approximately 70,000 awards, with distribution equivalent rights also modified to begin payment in May 2013, will vest upon the date PNG pays an annualized distribution of at least $1.50 and (iii) the remainder, with distribution equivalent rights also modified to begin payment in May 2014, will vest upon the date PNG pays an annualized distribution of at least $1.55.  Fifty percent of any awards that have not vested as of the November 2016 distribution date will vest at that time and the remainder will expire.  Additionally, 232,500 of equity-classified phantom unit awards with vesting terms originally tied to the conversion of PNGs Series A and Series B subordinated units were modified such that all these awards will now fully vest upon conversion of the Series A subordinated units to common units.  Distribution equivalent rights were also granted with respect to these awards to begin payment in February 2012.  There was no financial impact at the time of the modification; however, we anticipate that we will recognize additional equity compensation expense in the future as a result of the modification.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Class B Units of Plains AAP, L.P. </w:t>
      </w:r>
      <w:r>
        <w:rPr>
          <w:rFonts w:ascii="Times New Roman" w:hAnsi="Times New Roman"/>
          <w:sz w:val="17"/>
        </w:rPr>
        <w:t>The following table contains a summary of Plains AAP, L.P. Class B Unit awards: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36"/>
        <w:gridCol w:w="153"/>
        <w:gridCol w:w="1779"/>
        <w:gridCol w:w="153"/>
        <w:gridCol w:w="1296"/>
        <w:gridCol w:w="171"/>
        <w:gridCol w:w="1711"/>
        <w:gridCol w:w="153"/>
        <w:gridCol w:w="547"/>
        <w:gridCol w:w="1695"/>
        <w:gridCol w:w="111"/>
      </w:tblGrid>
      <w:tr>
        <w:trPr/>
        <w:tc>
          <w:tcPr>
            <w:tcW w:w="2436"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center"/>
              <w:rPr/>
            </w:pPr>
            <w:r>
              <w:rPr/>
              <w:t> </w:t>
            </w:r>
          </w:p>
        </w:tc>
        <w:tc>
          <w:tcPr>
            <w:tcW w:w="17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 Future</w:t>
              <w:br/>
              <w:t>Grants</w:t>
            </w:r>
          </w:p>
        </w:tc>
        <w:tc>
          <w:tcPr>
            <w:tcW w:w="153" w:type="dxa"/>
            <w:tcBorders/>
            <w:shd w:fill="auto" w:val="clear"/>
            <w:vAlign w:val="bottom"/>
          </w:tcPr>
          <w:p>
            <w:pPr>
              <w:pStyle w:val="TableContents"/>
              <w:spacing w:before="0" w:after="0"/>
              <w:ind w:left="0" w:right="0" w:hanging="0"/>
              <w:jc w:val="center"/>
              <w:rPr/>
            </w:pPr>
            <w:r>
              <w:rPr/>
              <w:t> </w:t>
            </w:r>
          </w:p>
        </w:tc>
        <w:tc>
          <w:tcPr>
            <w:tcW w:w="129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71" w:type="dxa"/>
            <w:tcBorders/>
            <w:shd w:fill="auto" w:val="clear"/>
            <w:vAlign w:val="bottom"/>
          </w:tcPr>
          <w:p>
            <w:pPr>
              <w:pStyle w:val="TableContents"/>
              <w:spacing w:before="0" w:after="0"/>
              <w:ind w:left="0" w:right="0" w:hanging="0"/>
              <w:jc w:val="center"/>
              <w:rPr/>
            </w:pPr>
            <w:r>
              <w:rPr/>
              <w:t> </w:t>
            </w:r>
          </w:p>
        </w:tc>
        <w:tc>
          <w:tcPr>
            <w:tcW w:w="171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153" w:type="dxa"/>
            <w:tcBorders/>
            <w:shd w:fill="auto" w:val="clear"/>
            <w:vAlign w:val="bottom"/>
          </w:tcPr>
          <w:p>
            <w:pPr>
              <w:pStyle w:val="TableContents"/>
              <w:spacing w:before="0" w:after="0"/>
              <w:ind w:left="0" w:right="0" w:hanging="0"/>
              <w:jc w:val="center"/>
              <w:rPr/>
            </w:pPr>
            <w:r>
              <w:rPr/>
              <w:t> </w:t>
            </w:r>
          </w:p>
        </w:tc>
        <w:tc>
          <w:tcPr>
            <w:tcW w:w="2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w:t>
              <w:br/>
              <w:t>Fair Value of Oustanding</w:t>
              <w:br/>
              <w:t>Class B Units </w:t>
            </w:r>
            <w:r>
              <w:rPr>
                <w:b/>
                <w:sz w:val="8"/>
              </w:rPr>
              <w:t>(1)</w:t>
            </w:r>
          </w:p>
        </w:tc>
        <w:tc>
          <w:tcPr>
            <w:tcW w:w="111" w:type="dxa"/>
            <w:tcBorders/>
            <w:shd w:fill="auto" w:val="clear"/>
            <w:vAlign w:val="bottom"/>
          </w:tcPr>
          <w:p>
            <w:pPr>
              <w:pStyle w:val="TableContents"/>
              <w:spacing w:before="0" w:after="0"/>
              <w:ind w:left="0" w:right="0" w:hanging="0"/>
              <w:jc w:val="center"/>
              <w:rPr/>
            </w:pPr>
            <w:r>
              <w:rPr/>
              <w:t> </w:t>
            </w:r>
          </w:p>
        </w:tc>
      </w:tr>
      <w:tr>
        <w:trPr/>
        <w:tc>
          <w:tcPr>
            <w:tcW w:w="2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as of December 31, 2011</w:t>
            </w:r>
          </w:p>
        </w:tc>
        <w:tc>
          <w:tcPr>
            <w:tcW w:w="153" w:type="dxa"/>
            <w:tcBorders/>
            <w:shd w:fill="CCEEFF" w:val="clear"/>
            <w:vAlign w:val="bottom"/>
          </w:tcPr>
          <w:p>
            <w:pPr>
              <w:pStyle w:val="TableContents"/>
              <w:spacing w:before="0" w:after="0"/>
              <w:ind w:left="0" w:right="0" w:hanging="0"/>
              <w:rPr/>
            </w:pPr>
            <w:r>
              <w:rPr/>
              <w:t> </w:t>
            </w:r>
          </w:p>
        </w:tc>
        <w:tc>
          <w:tcPr>
            <w:tcW w:w="17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16,500</w:t>
            </w:r>
          </w:p>
        </w:tc>
        <w:tc>
          <w:tcPr>
            <w:tcW w:w="153" w:type="dxa"/>
            <w:tcBorders/>
            <w:shd w:fill="CCEEFF" w:val="clear"/>
            <w:vAlign w:val="bottom"/>
          </w:tcPr>
          <w:p>
            <w:pPr>
              <w:pStyle w:val="TableContents"/>
              <w:spacing w:before="0" w:after="0"/>
              <w:ind w:left="0" w:right="0" w:hanging="0"/>
              <w:rPr/>
            </w:pPr>
            <w:r>
              <w:rPr/>
              <w:t> </w:t>
            </w:r>
          </w:p>
        </w:tc>
        <w:tc>
          <w:tcPr>
            <w:tcW w:w="12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183,500</w:t>
            </w:r>
          </w:p>
        </w:tc>
        <w:tc>
          <w:tcPr>
            <w:tcW w:w="171" w:type="dxa"/>
            <w:tcBorders/>
            <w:shd w:fill="CCEEFF" w:val="clear"/>
            <w:vAlign w:val="bottom"/>
          </w:tcPr>
          <w:p>
            <w:pPr>
              <w:pStyle w:val="TableContents"/>
              <w:spacing w:before="0" w:after="0"/>
              <w:ind w:left="0" w:right="0" w:hanging="0"/>
              <w:rPr/>
            </w:pPr>
            <w:r>
              <w:rPr/>
              <w:t> </w:t>
            </w:r>
          </w:p>
        </w:tc>
        <w:tc>
          <w:tcPr>
            <w:tcW w:w="17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80,063</w:t>
            </w:r>
          </w:p>
        </w:tc>
        <w:tc>
          <w:tcPr>
            <w:tcW w:w="153" w:type="dxa"/>
            <w:tcBorders/>
            <w:shd w:fill="CCEEFF" w:val="clear"/>
            <w:vAlign w:val="bottom"/>
          </w:tcPr>
          <w:p>
            <w:pPr>
              <w:pStyle w:val="TableContents"/>
              <w:spacing w:before="0" w:after="0"/>
              <w:ind w:left="0" w:right="0" w:hanging="0"/>
              <w:rPr/>
            </w:pPr>
            <w:r>
              <w:rPr/>
              <w:t> </w:t>
            </w:r>
          </w:p>
        </w:tc>
        <w:tc>
          <w:tcPr>
            <w:tcW w:w="5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1" w:type="dxa"/>
            <w:tcBorders/>
            <w:shd w:fill="CCEEFF" w:val="clear"/>
            <w:vAlign w:val="bottom"/>
          </w:tcPr>
          <w:p>
            <w:pPr>
              <w:pStyle w:val="TableContents"/>
              <w:spacing w:before="0" w:after="0"/>
              <w:ind w:left="0" w:right="0" w:hanging="0"/>
              <w:rPr/>
            </w:pPr>
            <w:r>
              <w:rPr/>
              <w:t> </w:t>
            </w:r>
          </w:p>
        </w:tc>
      </w:tr>
      <w:tr>
        <w:trPr/>
        <w:tc>
          <w:tcPr>
            <w:tcW w:w="2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Forfeitures</w:t>
            </w:r>
          </w:p>
        </w:tc>
        <w:tc>
          <w:tcPr>
            <w:tcW w:w="153" w:type="dxa"/>
            <w:tcBorders/>
            <w:shd w:fill="auto" w:val="clear"/>
            <w:vAlign w:val="bottom"/>
          </w:tcPr>
          <w:p>
            <w:pPr>
              <w:pStyle w:val="TableContents"/>
              <w:spacing w:before="0" w:after="0"/>
              <w:ind w:left="0" w:right="0" w:hanging="0"/>
              <w:rPr/>
            </w:pPr>
            <w:r>
              <w:rPr/>
              <w:t> </w:t>
            </w:r>
          </w:p>
        </w:tc>
        <w:tc>
          <w:tcPr>
            <w:tcW w:w="17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53" w:type="dxa"/>
            <w:tcBorders/>
            <w:shd w:fill="auto" w:val="clear"/>
            <w:vAlign w:val="bottom"/>
          </w:tcPr>
          <w:p>
            <w:pPr>
              <w:pStyle w:val="TableContents"/>
              <w:spacing w:before="0" w:after="0"/>
              <w:ind w:left="0" w:right="0" w:hanging="0"/>
              <w:rPr/>
            </w:pPr>
            <w:r>
              <w:rPr/>
              <w:t> </w:t>
            </w:r>
          </w:p>
        </w:tc>
        <w:tc>
          <w:tcPr>
            <w:tcW w:w="12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3" w:type="dxa"/>
            <w:tcBorders/>
            <w:shd w:fill="auto" w:val="clear"/>
            <w:vAlign w:val="bottom"/>
          </w:tcPr>
          <w:p>
            <w:pPr>
              <w:pStyle w:val="TableContents"/>
              <w:spacing w:before="0" w:after="0"/>
              <w:ind w:left="0" w:right="0" w:hanging="0"/>
              <w:rPr/>
            </w:pPr>
            <w:r>
              <w:rPr/>
              <w:t> </w:t>
            </w:r>
          </w:p>
        </w:tc>
        <w:tc>
          <w:tcPr>
            <w:tcW w:w="5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pPr>
            <w:r>
              <w:rPr/>
              <w:t> </w:t>
            </w:r>
          </w:p>
        </w:tc>
      </w:tr>
      <w:tr>
        <w:trPr/>
        <w:tc>
          <w:tcPr>
            <w:tcW w:w="2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Earned</w:t>
            </w:r>
          </w:p>
        </w:tc>
        <w:tc>
          <w:tcPr>
            <w:tcW w:w="153" w:type="dxa"/>
            <w:tcBorders/>
            <w:shd w:fill="CCEEFF" w:val="clear"/>
            <w:vAlign w:val="bottom"/>
          </w:tcPr>
          <w:p>
            <w:pPr>
              <w:pStyle w:val="TableContents"/>
              <w:spacing w:before="0" w:after="0"/>
              <w:ind w:left="0" w:right="0" w:hanging="0"/>
              <w:rPr/>
            </w:pPr>
            <w:r>
              <w:rPr/>
              <w:t> </w:t>
            </w:r>
          </w:p>
        </w:tc>
        <w:tc>
          <w:tcPr>
            <w:tcW w:w="17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3" w:type="dxa"/>
            <w:tcBorders/>
            <w:shd w:fill="CCEEFF" w:val="clear"/>
            <w:vAlign w:val="bottom"/>
          </w:tcPr>
          <w:p>
            <w:pPr>
              <w:pStyle w:val="TableContents"/>
              <w:spacing w:before="0" w:after="0"/>
              <w:ind w:left="0" w:right="0" w:hanging="0"/>
              <w:rPr/>
            </w:pPr>
            <w:r>
              <w:rPr/>
              <w:t> </w:t>
            </w:r>
          </w:p>
        </w:tc>
        <w:tc>
          <w:tcPr>
            <w:tcW w:w="129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171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24,250</w:t>
            </w:r>
          </w:p>
        </w:tc>
        <w:tc>
          <w:tcPr>
            <w:tcW w:w="153" w:type="dxa"/>
            <w:tcBorders/>
            <w:shd w:fill="CCEEFF" w:val="clear"/>
            <w:vAlign w:val="bottom"/>
          </w:tcPr>
          <w:p>
            <w:pPr>
              <w:pStyle w:val="TableContents"/>
              <w:spacing w:before="0" w:after="0"/>
              <w:ind w:left="0" w:right="0" w:hanging="0"/>
              <w:rPr/>
            </w:pPr>
            <w:r>
              <w:rPr/>
              <w:t> </w:t>
            </w:r>
          </w:p>
        </w:tc>
        <w:tc>
          <w:tcPr>
            <w:tcW w:w="547"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pPr>
            <w:r>
              <w:rPr/>
              <w:t> </w:t>
            </w:r>
          </w:p>
        </w:tc>
      </w:tr>
      <w:tr>
        <w:trPr/>
        <w:tc>
          <w:tcPr>
            <w:tcW w:w="2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as of June 30, 2012</w:t>
            </w:r>
          </w:p>
        </w:tc>
        <w:tc>
          <w:tcPr>
            <w:tcW w:w="153" w:type="dxa"/>
            <w:tcBorders/>
            <w:shd w:fill="auto" w:val="clear"/>
            <w:vAlign w:val="bottom"/>
          </w:tcPr>
          <w:p>
            <w:pPr>
              <w:pStyle w:val="TableContents"/>
              <w:spacing w:before="0" w:after="0"/>
              <w:ind w:left="0" w:right="0" w:hanging="0"/>
              <w:rPr/>
            </w:pPr>
            <w:r>
              <w:rPr/>
              <w:t> </w:t>
            </w:r>
          </w:p>
        </w:tc>
        <w:tc>
          <w:tcPr>
            <w:tcW w:w="17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17,500</w:t>
            </w:r>
          </w:p>
        </w:tc>
        <w:tc>
          <w:tcPr>
            <w:tcW w:w="153" w:type="dxa"/>
            <w:tcBorders/>
            <w:shd w:fill="auto" w:val="clear"/>
            <w:vAlign w:val="bottom"/>
          </w:tcPr>
          <w:p>
            <w:pPr>
              <w:pStyle w:val="TableContents"/>
              <w:spacing w:before="0" w:after="0"/>
              <w:ind w:left="0" w:right="0" w:hanging="0"/>
              <w:rPr/>
            </w:pPr>
            <w:r>
              <w:rPr/>
              <w:t> </w:t>
            </w:r>
          </w:p>
        </w:tc>
        <w:tc>
          <w:tcPr>
            <w:tcW w:w="12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182,500</w:t>
            </w:r>
          </w:p>
        </w:tc>
        <w:tc>
          <w:tcPr>
            <w:tcW w:w="171" w:type="dxa"/>
            <w:tcBorders/>
            <w:shd w:fill="auto" w:val="clear"/>
            <w:vAlign w:val="bottom"/>
          </w:tcPr>
          <w:p>
            <w:pPr>
              <w:pStyle w:val="TableContents"/>
              <w:spacing w:before="0" w:after="0"/>
              <w:ind w:left="0" w:right="0" w:hanging="0"/>
              <w:rPr/>
            </w:pPr>
            <w:r>
              <w:rPr/>
              <w:t> </w:t>
            </w:r>
          </w:p>
        </w:tc>
        <w:tc>
          <w:tcPr>
            <w:tcW w:w="17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104,313</w:t>
            </w:r>
          </w:p>
        </w:tc>
        <w:tc>
          <w:tcPr>
            <w:tcW w:w="153" w:type="dxa"/>
            <w:tcBorders/>
            <w:shd w:fill="auto" w:val="clear"/>
            <w:vAlign w:val="bottom"/>
          </w:tcPr>
          <w:p>
            <w:pPr>
              <w:pStyle w:val="TableContents"/>
              <w:spacing w:before="0" w:after="0"/>
              <w:ind w:left="0" w:right="0" w:hanging="0"/>
              <w:rPr/>
            </w:pPr>
            <w:r>
              <w:rPr/>
              <w:t> </w:t>
            </w:r>
          </w:p>
        </w:tc>
        <w:tc>
          <w:tcPr>
            <w:tcW w:w="5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Of the grant date fair value, approximately $5 million was recognized as expense during the six months ended June 30,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Equity Compensation Information.  </w:t>
      </w:r>
      <w:r>
        <w:rPr>
          <w:rFonts w:ascii="Times New Roman" w:hAnsi="Times New Roman"/>
          <w:sz w:val="17"/>
        </w:rPr>
        <w:t>Our equity compensation activity for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58"/>
        <w:gridCol w:w="178"/>
        <w:gridCol w:w="1053"/>
        <w:gridCol w:w="194"/>
        <w:gridCol w:w="312"/>
        <w:gridCol w:w="2134"/>
        <w:gridCol w:w="178"/>
        <w:gridCol w:w="1053"/>
        <w:gridCol w:w="178"/>
        <w:gridCol w:w="312"/>
        <w:gridCol w:w="2134"/>
        <w:gridCol w:w="121"/>
      </w:tblGrid>
      <w:tr>
        <w:trPr/>
        <w:tc>
          <w:tcPr>
            <w:tcW w:w="2358"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369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8"/>
              </w:rPr>
              <w:t>(1)(5)</w:t>
            </w:r>
          </w:p>
        </w:tc>
        <w:tc>
          <w:tcPr>
            <w:tcW w:w="178" w:type="dxa"/>
            <w:tcBorders/>
            <w:shd w:fill="auto" w:val="clear"/>
            <w:vAlign w:val="bottom"/>
          </w:tcPr>
          <w:p>
            <w:pPr>
              <w:pStyle w:val="TableContents"/>
              <w:spacing w:before="0" w:after="0"/>
              <w:ind w:left="0" w:right="0" w:hanging="0"/>
              <w:jc w:val="center"/>
              <w:rPr/>
            </w:pPr>
            <w:r>
              <w:rPr/>
              <w:t> </w:t>
            </w:r>
          </w:p>
        </w:tc>
        <w:tc>
          <w:tcPr>
            <w:tcW w:w="367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8"/>
              </w:rPr>
              <w:t>(2)(3)(4)(6)</w:t>
            </w:r>
          </w:p>
        </w:tc>
        <w:tc>
          <w:tcPr>
            <w:tcW w:w="121" w:type="dxa"/>
            <w:tcBorders/>
            <w:shd w:fill="auto" w:val="clear"/>
            <w:vAlign w:val="bottom"/>
          </w:tcPr>
          <w:p>
            <w:pPr>
              <w:pStyle w:val="TableContents"/>
              <w:spacing w:before="0" w:after="0"/>
              <w:ind w:left="0" w:right="0" w:hanging="0"/>
              <w:jc w:val="center"/>
              <w:rPr/>
            </w:pPr>
            <w:r>
              <w:rPr/>
              <w:t> </w:t>
            </w:r>
          </w:p>
        </w:tc>
      </w:tr>
      <w:tr>
        <w:trPr/>
        <w:tc>
          <w:tcPr>
            <w:tcW w:w="2358"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4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78" w:type="dxa"/>
            <w:tcBorders/>
            <w:shd w:fill="auto" w:val="cle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4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21" w:type="dxa"/>
            <w:tcBorders/>
            <w:shd w:fill="auto" w:val="clear"/>
            <w:vAlign w:val="bottom"/>
          </w:tcPr>
          <w:p>
            <w:pPr>
              <w:pStyle w:val="TableContents"/>
              <w:spacing w:before="0" w:after="0"/>
              <w:ind w:left="0" w:right="0" w:hanging="0"/>
              <w:jc w:val="center"/>
              <w:rPr/>
            </w:pPr>
            <w:r>
              <w:rPr/>
              <w:t> </w:t>
            </w:r>
          </w:p>
        </w:tc>
      </w:tr>
      <w:tr>
        <w:trPr/>
        <w:tc>
          <w:tcPr>
            <w:tcW w:w="23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December 31, 2011</w:t>
            </w:r>
          </w:p>
        </w:tc>
        <w:tc>
          <w:tcPr>
            <w:tcW w:w="178"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4" w:type="dxa"/>
            <w:tcBorders/>
            <w:shd w:fill="CCEEFF" w:val="clear"/>
            <w:vAlign w:val="bottom"/>
          </w:tcPr>
          <w:p>
            <w:pPr>
              <w:pStyle w:val="TableContents"/>
              <w:spacing w:before="0" w:after="0"/>
              <w:ind w:left="0" w:right="0" w:hanging="0"/>
              <w:rPr/>
            </w:pPr>
            <w:r>
              <w:rPr/>
              <w:t> </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43.53</w:t>
            </w:r>
          </w:p>
        </w:tc>
        <w:tc>
          <w:tcPr>
            <w:tcW w:w="178"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178" w:type="dxa"/>
            <w:tcBorders/>
            <w:shd w:fill="CCEEFF" w:val="clear"/>
            <w:vAlign w:val="bottom"/>
          </w:tcPr>
          <w:p>
            <w:pPr>
              <w:pStyle w:val="TableContents"/>
              <w:spacing w:before="0" w:after="0"/>
              <w:ind w:left="0" w:right="0" w:hanging="0"/>
              <w:rPr/>
            </w:pPr>
            <w:r>
              <w:rPr/>
              <w:t> </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20.55</w:t>
            </w:r>
          </w:p>
        </w:tc>
        <w:tc>
          <w:tcPr>
            <w:tcW w:w="121" w:type="dxa"/>
            <w:tcBorders/>
            <w:shd w:fill="CCEEFF" w:val="clear"/>
            <w:vAlign w:val="bottom"/>
          </w:tcPr>
          <w:p>
            <w:pPr>
              <w:pStyle w:val="TableContents"/>
              <w:spacing w:before="0" w:after="0"/>
              <w:ind w:left="0" w:right="0" w:hanging="0"/>
              <w:rPr/>
            </w:pPr>
            <w:r>
              <w:rPr/>
              <w:t> </w:t>
            </w:r>
          </w:p>
        </w:tc>
      </w:tr>
      <w:tr>
        <w:trPr/>
        <w:tc>
          <w:tcPr>
            <w:tcW w:w="23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8"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194" w:type="dxa"/>
            <w:tcBorders/>
            <w:shd w:fill="auto" w:val="clear"/>
            <w:vAlign w:val="bottom"/>
          </w:tcPr>
          <w:p>
            <w:pPr>
              <w:pStyle w:val="TableContents"/>
              <w:spacing w:before="0" w:after="0"/>
              <w:ind w:left="0" w:right="0" w:hanging="0"/>
              <w:rPr/>
            </w:pPr>
            <w:r>
              <w:rPr/>
              <w:t> </w:t>
            </w:r>
          </w:p>
        </w:tc>
        <w:tc>
          <w:tcPr>
            <w:tcW w:w="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66.28</w:t>
            </w:r>
          </w:p>
        </w:tc>
        <w:tc>
          <w:tcPr>
            <w:tcW w:w="178"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78" w:type="dxa"/>
            <w:tcBorders/>
            <w:shd w:fill="auto" w:val="clear"/>
            <w:vAlign w:val="bottom"/>
          </w:tcPr>
          <w:p>
            <w:pPr>
              <w:pStyle w:val="TableContents"/>
              <w:spacing w:before="0" w:after="0"/>
              <w:ind w:left="0" w:right="0" w:hanging="0"/>
              <w:rPr/>
            </w:pPr>
            <w:r>
              <w:rPr/>
              <w:t> </w:t>
            </w:r>
          </w:p>
        </w:tc>
        <w:tc>
          <w:tcPr>
            <w:tcW w:w="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15.05</w:t>
            </w:r>
          </w:p>
        </w:tc>
        <w:tc>
          <w:tcPr>
            <w:tcW w:w="121" w:type="dxa"/>
            <w:tcBorders/>
            <w:shd w:fill="auto" w:val="clear"/>
            <w:vAlign w:val="bottom"/>
          </w:tcPr>
          <w:p>
            <w:pPr>
              <w:pStyle w:val="TableContents"/>
              <w:spacing w:before="0" w:after="0"/>
              <w:ind w:left="0" w:right="0" w:hanging="0"/>
              <w:rPr/>
            </w:pPr>
            <w:r>
              <w:rPr/>
              <w:t> </w:t>
            </w:r>
          </w:p>
        </w:tc>
      </w:tr>
      <w:tr>
        <w:trPr/>
        <w:tc>
          <w:tcPr>
            <w:tcW w:w="23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8"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39.30</w:t>
            </w:r>
          </w:p>
        </w:tc>
        <w:tc>
          <w:tcPr>
            <w:tcW w:w="178"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23.67</w:t>
            </w:r>
          </w:p>
        </w:tc>
        <w:tc>
          <w:tcPr>
            <w:tcW w:w="121" w:type="dxa"/>
            <w:tcBorders/>
            <w:shd w:fill="CCEEFF" w:val="clear"/>
            <w:vAlign w:val="bottom"/>
          </w:tcPr>
          <w:p>
            <w:pPr>
              <w:pStyle w:val="TableContents"/>
              <w:spacing w:before="0" w:after="0"/>
              <w:ind w:left="0" w:right="0" w:hanging="0"/>
              <w:rPr/>
            </w:pPr>
            <w:r>
              <w:rPr/>
              <w:t> </w:t>
            </w:r>
          </w:p>
        </w:tc>
      </w:tr>
      <w:tr>
        <w:trPr/>
        <w:tc>
          <w:tcPr>
            <w:tcW w:w="23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8" w:type="dxa"/>
            <w:tcBorders/>
            <w:shd w:fill="auto" w:val="clear"/>
            <w:vAlign w:val="bottom"/>
          </w:tcPr>
          <w:p>
            <w:pPr>
              <w:pStyle w:val="TableContents"/>
              <w:spacing w:before="0" w:after="0"/>
              <w:ind w:left="0" w:right="0" w:hanging="0"/>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59.32</w:t>
            </w:r>
          </w:p>
        </w:tc>
        <w:tc>
          <w:tcPr>
            <w:tcW w:w="178" w:type="dxa"/>
            <w:tcBorders/>
            <w:shd w:fill="auto" w:val="clear"/>
            <w:vAlign w:val="bottom"/>
          </w:tcPr>
          <w:p>
            <w:pPr>
              <w:pStyle w:val="TableContents"/>
              <w:spacing w:before="0" w:after="0"/>
              <w:ind w:left="0" w:right="0" w:hanging="0"/>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auto" w:val="clear"/>
            <w:vAlign w:val="bottom"/>
          </w:tcPr>
          <w:p>
            <w:pPr>
              <w:pStyle w:val="TableContents"/>
              <w:spacing w:before="0" w:after="0"/>
              <w:ind w:left="0" w:right="0" w:hanging="0"/>
              <w:rPr/>
            </w:pPr>
            <w:r>
              <w:rPr/>
              <w:t> </w:t>
            </w:r>
          </w:p>
        </w:tc>
        <w:tc>
          <w:tcPr>
            <w:tcW w:w="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r>
      <w:tr>
        <w:trPr/>
        <w:tc>
          <w:tcPr>
            <w:tcW w:w="23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June 30, 2012</w:t>
            </w:r>
          </w:p>
        </w:tc>
        <w:tc>
          <w:tcPr>
            <w:tcW w:w="178" w:type="dxa"/>
            <w:tcBorders/>
            <w:shd w:fill="CCEEFF" w:val="clear"/>
            <w:vAlign w:val="bottom"/>
          </w:tcPr>
          <w:p>
            <w:pPr>
              <w:pStyle w:val="TableContents"/>
              <w:spacing w:before="0" w:after="0"/>
              <w:ind w:left="0" w:right="0" w:hanging="0"/>
              <w:rPr/>
            </w:pPr>
            <w:r>
              <w:rPr/>
              <w:t> </w:t>
            </w:r>
          </w:p>
        </w:tc>
        <w:tc>
          <w:tcPr>
            <w:tcW w:w="10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94" w:type="dxa"/>
            <w:tcBorders/>
            <w:shd w:fill="CCEEFF" w:val="clear"/>
            <w:vAlign w:val="bottom"/>
          </w:tcPr>
          <w:p>
            <w:pPr>
              <w:pStyle w:val="TableContents"/>
              <w:spacing w:before="0" w:after="0"/>
              <w:ind w:left="0" w:right="0" w:hanging="0"/>
              <w:rPr/>
            </w:pPr>
            <w:r>
              <w:rPr/>
              <w:t> </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50.58</w:t>
            </w:r>
          </w:p>
        </w:tc>
        <w:tc>
          <w:tcPr>
            <w:tcW w:w="178" w:type="dxa"/>
            <w:tcBorders/>
            <w:shd w:fill="CCEEFF" w:val="clear"/>
            <w:vAlign w:val="bottom"/>
          </w:tcPr>
          <w:p>
            <w:pPr>
              <w:pStyle w:val="TableContents"/>
              <w:spacing w:before="0" w:after="0"/>
              <w:ind w:left="0" w:right="0" w:hanging="0"/>
              <w:rPr/>
            </w:pPr>
            <w:r>
              <w:rPr/>
              <w:t> </w:t>
            </w:r>
          </w:p>
        </w:tc>
        <w:tc>
          <w:tcPr>
            <w:tcW w:w="10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78" w:type="dxa"/>
            <w:tcBorders/>
            <w:shd w:fill="CCEEFF" w:val="clear"/>
            <w:vAlign w:val="bottom"/>
          </w:tcPr>
          <w:p>
            <w:pPr>
              <w:pStyle w:val="TableContents"/>
              <w:spacing w:before="0" w:after="0"/>
              <w:ind w:left="0" w:right="0" w:hanging="0"/>
              <w:rPr/>
            </w:pPr>
            <w:r>
              <w:rPr/>
              <w:t> </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17.56</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Class B units of Plains AAP, L.P.</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do not include Class B units of PNGS GP LLC.</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include PNG Transaction Grants.</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Weighted average grant date fair value per unit for PNG Units outstanding at June 30, 2012 is impacted by the modification of PNG awards during the first quarter of 2012 as discussed above.</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Approximately 0.4 million common units were issued, net of approximately 0.3 million units withheld for taxes, for PAA units that vested during the six months ended June 30, 2012. The remaining 0.8 million PAA units that vested were settled in cash.</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Less than 0.1 million common units vested during the six months ended June 30,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39" w:name="PB_19_031140_7056"/>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32"/>
        <w:gridCol w:w="208"/>
        <w:gridCol w:w="203"/>
        <w:gridCol w:w="1082"/>
        <w:gridCol w:w="237"/>
        <w:gridCol w:w="203"/>
        <w:gridCol w:w="1083"/>
        <w:gridCol w:w="208"/>
        <w:gridCol w:w="189"/>
        <w:gridCol w:w="1055"/>
        <w:gridCol w:w="229"/>
        <w:gridCol w:w="189"/>
        <w:gridCol w:w="1058"/>
        <w:gridCol w:w="129"/>
      </w:tblGrid>
      <w:tr>
        <w:trPr/>
        <w:tc>
          <w:tcPr>
            <w:tcW w:w="413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8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8" w:type="dxa"/>
            <w:tcBorders/>
            <w:shd w:fill="auto" w:val="clear"/>
            <w:vAlign w:val="bottom"/>
          </w:tcPr>
          <w:p>
            <w:pPr>
              <w:pStyle w:val="TableContents"/>
              <w:spacing w:before="0" w:after="0"/>
              <w:ind w:left="0" w:right="0" w:hanging="0"/>
              <w:jc w:val="center"/>
              <w:rPr/>
            </w:pPr>
            <w:r>
              <w:rPr/>
              <w:t> </w:t>
            </w:r>
          </w:p>
        </w:tc>
        <w:tc>
          <w:tcPr>
            <w:tcW w:w="272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413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8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8" w:type="dxa"/>
            <w:tcBorders/>
            <w:shd w:fill="auto" w:val="clear"/>
            <w:vAlign w:val="bottom"/>
          </w:tcPr>
          <w:p>
            <w:pPr>
              <w:pStyle w:val="TableContents"/>
              <w:spacing w:before="0" w:after="0"/>
              <w:ind w:left="0" w:right="0" w:hanging="0"/>
              <w:jc w:val="center"/>
              <w:rPr/>
            </w:pPr>
            <w:r>
              <w:rPr/>
              <w:t> </w:t>
            </w:r>
          </w:p>
        </w:tc>
        <w:tc>
          <w:tcPr>
            <w:tcW w:w="27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9" w:type="dxa"/>
            <w:tcBorders/>
            <w:shd w:fill="auto" w:val="clear"/>
            <w:vAlign w:val="bottom"/>
          </w:tcPr>
          <w:p>
            <w:pPr>
              <w:pStyle w:val="TableContents"/>
              <w:spacing w:before="0" w:after="0"/>
              <w:ind w:left="0" w:right="0" w:hanging="0"/>
              <w:jc w:val="center"/>
              <w:rPr/>
            </w:pPr>
            <w:r>
              <w:rPr/>
              <w:t> </w:t>
            </w:r>
          </w:p>
        </w:tc>
      </w:tr>
      <w:tr>
        <w:trPr/>
        <w:tc>
          <w:tcPr>
            <w:tcW w:w="413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7" w:type="dxa"/>
            <w:tcBorders/>
            <w:shd w:fill="auto" w:val="clear"/>
            <w:vAlign w:val="bottom"/>
          </w:tcPr>
          <w:p>
            <w:pPr>
              <w:pStyle w:val="TableContents"/>
              <w:spacing w:before="0" w:after="0"/>
              <w:ind w:left="0" w:right="0" w:hanging="0"/>
              <w:jc w:val="center"/>
              <w:rPr/>
            </w:pPr>
            <w:r>
              <w:rPr/>
              <w:t> </w:t>
            </w:r>
          </w:p>
        </w:tc>
        <w:tc>
          <w:tcPr>
            <w:tcW w:w="12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shd w:fill="auto" w:val="clear"/>
            <w:vAlign w:val="bottom"/>
          </w:tcPr>
          <w:p>
            <w:pPr>
              <w:pStyle w:val="TableContents"/>
              <w:spacing w:before="0" w:after="0"/>
              <w:ind w:left="0" w:right="0" w:hanging="0"/>
              <w:jc w:val="center"/>
              <w:rPr/>
            </w:pPr>
            <w:r>
              <w:rPr/>
              <w:t> </w:t>
            </w:r>
          </w:p>
        </w:tc>
        <w:tc>
          <w:tcPr>
            <w:tcW w:w="12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9" w:type="dxa"/>
            <w:tcBorders/>
            <w:shd w:fill="auto" w:val="clear"/>
            <w:vAlign w:val="bottom"/>
          </w:tcPr>
          <w:p>
            <w:pPr>
              <w:pStyle w:val="TableContents"/>
              <w:spacing w:before="0" w:after="0"/>
              <w:ind w:left="0" w:right="0" w:hanging="0"/>
              <w:jc w:val="center"/>
              <w:rPr/>
            </w:pPr>
            <w:r>
              <w:rPr/>
              <w:t> </w:t>
            </w:r>
          </w:p>
        </w:tc>
      </w:tr>
      <w:tr>
        <w:trPr/>
        <w:tc>
          <w:tcPr>
            <w:tcW w:w="4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8"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7"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9"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29" w:type="dxa"/>
            <w:tcBorders/>
            <w:shd w:fill="CCEEFF" w:val="clear"/>
            <w:vAlign w:val="bottom"/>
          </w:tcPr>
          <w:p>
            <w:pPr>
              <w:pStyle w:val="TableContents"/>
              <w:spacing w:before="0" w:after="0"/>
              <w:ind w:left="0" w:right="0" w:hanging="0"/>
              <w:rPr/>
            </w:pPr>
            <w:r>
              <w:rPr/>
              <w:t> </w:t>
            </w:r>
          </w:p>
        </w:tc>
      </w:tr>
      <w:tr>
        <w:trPr/>
        <w:tc>
          <w:tcPr>
            <w:tcW w:w="4132" w:type="dxa"/>
            <w:tcBorders/>
            <w:shd w:fill="auto" w:val="clear"/>
            <w:vAlign w:val="bottom"/>
          </w:tcPr>
          <w:p>
            <w:pPr>
              <w:pStyle w:val="TableContents"/>
              <w:spacing w:before="0" w:after="0"/>
              <w:ind w:left="0" w:right="0" w:hanging="0"/>
              <w:rPr/>
            </w:pPr>
            <w:r>
              <w:rPr>
                <w:rFonts w:ascii="Times New Roman" w:hAnsi="Times New Roman"/>
                <w:sz w:val="17"/>
              </w:rPr>
              <w:t xml:space="preserve">LTIP unit-settled vestings </w:t>
            </w:r>
            <w:r>
              <w:rPr>
                <w:sz w:val="11"/>
              </w:rPr>
              <w:t>(1)</w:t>
            </w:r>
          </w:p>
        </w:tc>
        <w:tc>
          <w:tcPr>
            <w:tcW w:w="20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7"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2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9" w:type="dxa"/>
            <w:tcBorders/>
            <w:shd w:fill="auto" w:val="clear"/>
            <w:vAlign w:val="bottom"/>
          </w:tcPr>
          <w:p>
            <w:pPr>
              <w:pStyle w:val="TableContents"/>
              <w:spacing w:before="0" w:after="0"/>
              <w:ind w:left="0" w:right="0" w:hanging="0"/>
              <w:rPr/>
            </w:pPr>
            <w:r>
              <w:rPr/>
              <w:t> </w:t>
            </w:r>
          </w:p>
        </w:tc>
      </w:tr>
      <w:tr>
        <w:trPr/>
        <w:tc>
          <w:tcPr>
            <w:tcW w:w="4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cash-settled vestings</w:t>
            </w:r>
          </w:p>
        </w:tc>
        <w:tc>
          <w:tcPr>
            <w:tcW w:w="208"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7"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29"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9" w:type="dxa"/>
            <w:tcBorders/>
            <w:shd w:fill="CCEEFF" w:val="clear"/>
            <w:vAlign w:val="bottom"/>
          </w:tcPr>
          <w:p>
            <w:pPr>
              <w:pStyle w:val="TableContents"/>
              <w:spacing w:before="0" w:after="0"/>
              <w:ind w:left="0" w:right="0" w:hanging="0"/>
              <w:rPr/>
            </w:pPr>
            <w:r>
              <w:rPr/>
              <w:t> </w:t>
            </w:r>
          </w:p>
        </w:tc>
      </w:tr>
      <w:tr>
        <w:trPr/>
        <w:tc>
          <w:tcPr>
            <w:tcW w:w="4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7"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each of the three and six months ended June 30, 2012 and June 30, 2011, approximately $1 million relates to unit vestings that were settled with PNG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11Derivatives and Risk Management Activities</w:t>
      </w:r>
      <w:bookmarkStart w:id="40" w:name="Note11derivativesAndRiskManagemen_032708"/>
      <w:bookmarkEnd w:id="4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(i) to only purchase inventory for which we have a market, (ii) to structure our sales contracts so that price fluctuations do not materially affect our operating income and (iii) not to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June 30, 2012,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245,700 barrels per day net long position (total of 7.6 million barrels) associated with our crude oil purchases, which was unwound ratably during July 2012 to match monthly average pricing.</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26,200 barrels per day (total of 10.4 million barrels), which hedges a portion of our anticipated crude oil lease gathering purchases through September 2013.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8,300 barrels per day on average (total of 4.6 million barrels) of WTS/WTI crude oil basis swaps through December 2013, which hedge anticipated sales of crude oil (WTI).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Approximately 7,900 barrels per day on average (total of 1.2 million barrels) of LLS/WTI crude oil basis swaps from August 2012 through December 2012, which hedge anticipated sales of crude oil.  These derivatives are grade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1" w:name="PB_20_031304_7056"/>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2,400 barrels per day (total of 0.9 million barrels) of butane/WTI spread positions, which hedge specific butane sales contracts that are based on a percentage of WTI through June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swap position of approximately 23.4 Bcf through December 2012 related to anticipated sales of natural gas.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Storage Capacity Utilization</w:t>
      </w:r>
      <w:r>
        <w:rPr>
          <w:rFonts w:ascii="Times New Roman" w:hAnsi="Times New Roman"/>
        </w:rPr>
        <w:t xml:space="preserve"> </w:t>
      </w:r>
      <w:r>
        <w:rPr>
          <w:rFonts w:ascii="Times New Roman" w:hAnsi="Times New Roman"/>
          <w:sz w:val="17"/>
        </w:rPr>
        <w:t> We own approximately 100 million barrels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June 30, 2012, we used derivatives to manage the risk of not utilizing approximately 1.6 million barrels per month of storage capacity through 2013. These positions are a combination of calendar spread options and futures contracts. These positions involve no outright price exposure, but instead enable us to profitably use the capacity to store hedged crude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w:t>
      </w:r>
      <w:r>
        <w:rPr>
          <w:rFonts w:ascii="Times New Roman" w:hAnsi="Times New Roman"/>
        </w:rPr>
        <w:t xml:space="preserve"> </w:t>
      </w:r>
      <w:r>
        <w:rPr>
          <w:rFonts w:ascii="Times New Roman" w:hAnsi="Times New Roman"/>
          <w:sz w:val="17"/>
        </w:rPr>
        <w:t xml:space="preserve"> At times,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June 30, 2012, we had derivatives totaling approximately 12.2 million barrels hedging our inventory. These positions are a combination of futures, swaps and option contracts.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June 30, 2012, our PLA hedges included (i) a net short position consisting of crude oil futures and swaps for an average of approximately 1,400 barrels per day (total of 1.8 million barrels) through December 2015, (ii) a long put option position of approximately 0.1 million barrels through December 2012 and (iii) a long call option position of approximately 0.9 million barrels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Processing/NGL Fractionation</w:t>
      </w:r>
      <w:r>
        <w:rPr>
          <w:rFonts w:ascii="Times New Roman" w:hAnsi="Times New Roman"/>
        </w:rPr>
        <w:t xml:space="preserve"> </w:t>
      </w:r>
      <w:r>
        <w:rPr>
          <w:rFonts w:ascii="Times New Roman" w:hAnsi="Times New Roman"/>
          <w:sz w:val="17"/>
        </w:rPr>
        <w:t> As part of our supply and logistics activities, we purchase natural gas for processing and NGL mix for fractionation, and we sell the resulting individual specification products (including ethane, propane, butane and condensate).  In conjunction with these activities, we hedge the purchase of natural gas and the subsequent sale of the individual specification products.  As of June 30, 2012, we had a long natural gas position of approximately 16.7 Bcf through October 2014, a short propane position of approximately 2.8 million barrels through October 2014, and a short butane and WTI position of approximately 0.8 and 0.3 million barrels, respectively, through December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Base Gas Management </w:t>
      </w:r>
      <w:r>
        <w:rPr>
          <w:rFonts w:ascii="Times New Roman" w:hAnsi="Times New Roman"/>
          <w:sz w:val="17"/>
        </w:rPr>
        <w:t> Our gas storage facilities require minimum levels of base gas to operate.  For our natural gas storage facilities that are under construction, we anticipate purchasing base gas in future periods as construction is completed.  We use derivatives to hedge such anticipated purchases of natural gas.  As of June 30, 2012, we had a long swap position of approximately 4.1 Bcf through April 2016 related to anticipated base gas purchases.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June 30, 2012, AOCI includes deferred losses of approximately $160 million that relate to open and terminated interest rate derivatives that were designated for hedge accounting.  The terminated interest rate derivatives were cash-settled in connection with the issuance or refinancing of debt agreements.  The deferred gain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entered into forward starting interest rate swaps to hedge the underlying benchmark interest rate related to forecasted debt issuances through 2015.  The following table summarizes the terms of our forward starting interest rate swaps as of June 30, 2012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002"/>
        <w:gridCol w:w="106"/>
        <w:gridCol w:w="1829"/>
        <w:gridCol w:w="106"/>
        <w:gridCol w:w="152"/>
        <w:gridCol w:w="888"/>
        <w:gridCol w:w="106"/>
        <w:gridCol w:w="1766"/>
        <w:gridCol w:w="106"/>
        <w:gridCol w:w="1254"/>
        <w:gridCol w:w="155"/>
        <w:gridCol w:w="1735"/>
      </w:tblGrid>
      <w:tr>
        <w:trPr/>
        <w:tc>
          <w:tcPr>
            <w:tcW w:w="200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06" w:type="dxa"/>
            <w:tcBorders/>
            <w:shd w:fill="auto" w:val="clear"/>
            <w:tcMar>
              <w:bottom w:w="0" w:type="dxa"/>
            </w:tcMar>
            <w:vAlign w:val="bottom"/>
          </w:tcPr>
          <w:p>
            <w:pPr>
              <w:pStyle w:val="TableContents"/>
              <w:spacing w:before="0" w:after="0"/>
              <w:ind w:left="0" w:right="0" w:hanging="0"/>
              <w:jc w:val="center"/>
              <w:rPr/>
            </w:pPr>
            <w:r>
              <w:rPr/>
              <w:t> </w:t>
            </w:r>
          </w:p>
        </w:tc>
        <w:tc>
          <w:tcPr>
            <w:tcW w:w="182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06" w:type="dxa"/>
            <w:tcBorders/>
            <w:shd w:fill="auto" w:val="clear"/>
            <w:tcMar>
              <w:bottom w:w="0" w:type="dxa"/>
            </w:tcMar>
            <w:vAlign w:val="bottom"/>
          </w:tcPr>
          <w:p>
            <w:pPr>
              <w:pStyle w:val="TableContents"/>
              <w:spacing w:before="0" w:after="0"/>
              <w:ind w:left="0" w:right="0" w:hanging="0"/>
              <w:jc w:val="center"/>
              <w:rPr/>
            </w:pPr>
            <w:r>
              <w:rPr/>
              <w:t> </w:t>
            </w:r>
          </w:p>
        </w:tc>
        <w:tc>
          <w:tcPr>
            <w:tcW w:w="104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06" w:type="dxa"/>
            <w:tcBorders/>
            <w:shd w:fill="auto" w:val="clear"/>
            <w:tcMar>
              <w:bottom w:w="0" w:type="dxa"/>
            </w:tcMar>
            <w:vAlign w:val="bottom"/>
          </w:tcPr>
          <w:p>
            <w:pPr>
              <w:pStyle w:val="TableContents"/>
              <w:spacing w:before="0" w:after="0"/>
              <w:ind w:left="0" w:right="0" w:hanging="0"/>
              <w:jc w:val="center"/>
              <w:rPr/>
            </w:pPr>
            <w:r>
              <w:rPr/>
              <w:t> </w:t>
            </w:r>
          </w:p>
        </w:tc>
        <w:tc>
          <w:tcPr>
            <w:tcW w:w="176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06" w:type="dxa"/>
            <w:tcBorders/>
            <w:shd w:fill="auto" w:val="clear"/>
            <w:tcMar>
              <w:bottom w:w="0" w:type="dxa"/>
            </w:tcMar>
            <w:vAlign w:val="bottom"/>
          </w:tcPr>
          <w:p>
            <w:pPr>
              <w:pStyle w:val="TableContents"/>
              <w:spacing w:before="0" w:after="0"/>
              <w:ind w:left="0" w:right="0" w:hanging="0"/>
              <w:jc w:val="center"/>
              <w:rPr/>
            </w:pPr>
            <w:r>
              <w:rPr/>
              <w:t> </w:t>
            </w:r>
          </w:p>
        </w:tc>
        <w:tc>
          <w:tcPr>
            <w:tcW w:w="125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br/>
              <w:t>Locked</w:t>
            </w:r>
          </w:p>
        </w:tc>
        <w:tc>
          <w:tcPr>
            <w:tcW w:w="155" w:type="dxa"/>
            <w:tcBorders/>
            <w:shd w:fill="auto" w:val="clear"/>
            <w:tcMar>
              <w:bottom w:w="0" w:type="dxa"/>
            </w:tcMar>
            <w:vAlign w:val="bottom"/>
          </w:tcPr>
          <w:p>
            <w:pPr>
              <w:pStyle w:val="TableContents"/>
              <w:spacing w:before="0" w:after="0"/>
              <w:ind w:left="0" w:right="0" w:hanging="0"/>
              <w:jc w:val="center"/>
              <w:rPr/>
            </w:pPr>
            <w:r>
              <w:rPr/>
              <w:t> </w:t>
            </w:r>
          </w:p>
        </w:tc>
        <w:tc>
          <w:tcPr>
            <w:tcW w:w="173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r>
      <w:tr>
        <w:trPr/>
        <w:tc>
          <w:tcPr>
            <w:tcW w:w="20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06" w:type="dxa"/>
            <w:tcBorders/>
            <w:shd w:fill="CCEEFF" w:val="clear"/>
            <w:tcMar>
              <w:bottom w:w="0" w:type="dxa"/>
            </w:tcMar>
          </w:tcPr>
          <w:p>
            <w:pPr>
              <w:pStyle w:val="TableContents"/>
              <w:spacing w:before="0" w:after="0"/>
              <w:ind w:left="0" w:right="0" w:hanging="0"/>
              <w:rPr/>
            </w:pPr>
            <w:r>
              <w:rPr/>
              <w:t> </w:t>
            </w:r>
          </w:p>
        </w:tc>
        <w:tc>
          <w:tcPr>
            <w:tcW w:w="182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 forward starting swaps (30-year)</w:t>
            </w:r>
          </w:p>
        </w:tc>
        <w:tc>
          <w:tcPr>
            <w:tcW w:w="106" w:type="dxa"/>
            <w:tcBorders/>
            <w:shd w:fill="CCEEFF" w:val="clear"/>
            <w:tcMar>
              <w:bottom w:w="0" w:type="dxa"/>
            </w:tcMar>
          </w:tcPr>
          <w:p>
            <w:pPr>
              <w:pStyle w:val="TableContents"/>
              <w:spacing w:before="0" w:after="0"/>
              <w:ind w:left="0" w:right="0" w:hanging="0"/>
              <w:rPr/>
            </w:pPr>
            <w:r>
              <w:rPr/>
              <w:t> </w:t>
            </w:r>
          </w:p>
        </w:tc>
        <w:tc>
          <w:tcPr>
            <w:tcW w:w="1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06" w:type="dxa"/>
            <w:tcBorders/>
            <w:shd w:fill="CCEEFF" w:val="clear"/>
            <w:tcMar>
              <w:bottom w:w="0" w:type="dxa"/>
            </w:tcMar>
          </w:tcPr>
          <w:p>
            <w:pPr>
              <w:pStyle w:val="TableContents"/>
              <w:spacing w:before="0" w:after="0"/>
              <w:ind w:left="0" w:right="0" w:hanging="0"/>
              <w:rPr/>
            </w:pPr>
            <w:r>
              <w:rPr/>
              <w:t> </w:t>
            </w:r>
          </w:p>
        </w:tc>
        <w:tc>
          <w:tcPr>
            <w:tcW w:w="1766"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6/17/2013</w:t>
            </w:r>
          </w:p>
        </w:tc>
        <w:tc>
          <w:tcPr>
            <w:tcW w:w="106" w:type="dxa"/>
            <w:tcBorders/>
            <w:shd w:fill="CCEEFF" w:val="clear"/>
            <w:tcMar>
              <w:bottom w:w="0" w:type="dxa"/>
            </w:tcMar>
          </w:tcPr>
          <w:p>
            <w:pPr>
              <w:pStyle w:val="TableContents"/>
              <w:spacing w:before="0" w:after="0"/>
              <w:ind w:left="0" w:right="0" w:hanging="0"/>
              <w:rPr/>
            </w:pPr>
            <w:r>
              <w:rPr/>
              <w:t> </w:t>
            </w:r>
          </w:p>
        </w:tc>
        <w:tc>
          <w:tcPr>
            <w:tcW w:w="1254"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4.24</w:t>
            </w:r>
          </w:p>
        </w:tc>
        <w:tc>
          <w:tcPr>
            <w:tcW w:w="15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35"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r>
      <w:tr>
        <w:trPr/>
        <w:tc>
          <w:tcPr>
            <w:tcW w:w="20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06" w:type="dxa"/>
            <w:tcBorders/>
            <w:shd w:fill="auto" w:val="clear"/>
            <w:tcMar>
              <w:bottom w:w="0" w:type="dxa"/>
            </w:tcMar>
          </w:tcPr>
          <w:p>
            <w:pPr>
              <w:pStyle w:val="TableContents"/>
              <w:spacing w:before="0" w:after="0"/>
              <w:ind w:left="0" w:right="0" w:hanging="0"/>
              <w:rPr/>
            </w:pPr>
            <w:r>
              <w:rPr/>
              <w:t> </w:t>
            </w:r>
          </w:p>
        </w:tc>
        <w:tc>
          <w:tcPr>
            <w:tcW w:w="182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 forward starting swaps (30-year)</w:t>
            </w:r>
          </w:p>
        </w:tc>
        <w:tc>
          <w:tcPr>
            <w:tcW w:w="106" w:type="dxa"/>
            <w:tcBorders/>
            <w:shd w:fill="auto" w:val="clear"/>
            <w:tcMar>
              <w:bottom w:w="0" w:type="dxa"/>
            </w:tcMar>
          </w:tcPr>
          <w:p>
            <w:pPr>
              <w:pStyle w:val="TableContents"/>
              <w:spacing w:before="0" w:after="0"/>
              <w:ind w:left="0" w:right="0" w:hanging="0"/>
              <w:rPr/>
            </w:pPr>
            <w:r>
              <w:rPr/>
              <w:t> </w:t>
            </w:r>
          </w:p>
        </w:tc>
        <w:tc>
          <w:tcPr>
            <w:tcW w:w="1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06" w:type="dxa"/>
            <w:tcBorders/>
            <w:shd w:fill="auto" w:val="clear"/>
            <w:tcMar>
              <w:bottom w:w="0" w:type="dxa"/>
            </w:tcMar>
          </w:tcPr>
          <w:p>
            <w:pPr>
              <w:pStyle w:val="TableContents"/>
              <w:spacing w:before="0" w:after="0"/>
              <w:ind w:left="0" w:right="0" w:hanging="0"/>
              <w:rPr/>
            </w:pPr>
            <w:r>
              <w:rPr/>
              <w:t> </w:t>
            </w:r>
          </w:p>
        </w:tc>
        <w:tc>
          <w:tcPr>
            <w:tcW w:w="1766"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6/16/2014</w:t>
            </w:r>
          </w:p>
        </w:tc>
        <w:tc>
          <w:tcPr>
            <w:tcW w:w="106" w:type="dxa"/>
            <w:tcBorders/>
            <w:shd w:fill="auto" w:val="clear"/>
            <w:tcMar>
              <w:bottom w:w="0" w:type="dxa"/>
            </w:tcMar>
          </w:tcPr>
          <w:p>
            <w:pPr>
              <w:pStyle w:val="TableContents"/>
              <w:spacing w:before="0" w:after="0"/>
              <w:ind w:left="0" w:right="0" w:hanging="0"/>
              <w:rPr/>
            </w:pPr>
            <w:r>
              <w:rPr/>
              <w:t> </w:t>
            </w:r>
          </w:p>
        </w:tc>
        <w:tc>
          <w:tcPr>
            <w:tcW w:w="1254"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15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3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r>
      <w:tr>
        <w:trPr/>
        <w:tc>
          <w:tcPr>
            <w:tcW w:w="20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06" w:type="dxa"/>
            <w:tcBorders/>
            <w:shd w:fill="CCEEFF" w:val="clear"/>
            <w:tcMar>
              <w:bottom w:w="0" w:type="dxa"/>
            </w:tcMar>
          </w:tcPr>
          <w:p>
            <w:pPr>
              <w:pStyle w:val="TableContents"/>
              <w:spacing w:before="0" w:after="0"/>
              <w:ind w:left="0" w:right="0" w:hanging="0"/>
              <w:rPr/>
            </w:pPr>
            <w:r>
              <w:rPr/>
              <w:t> </w:t>
            </w:r>
          </w:p>
        </w:tc>
        <w:tc>
          <w:tcPr>
            <w:tcW w:w="182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06" w:type="dxa"/>
            <w:tcBorders/>
            <w:shd w:fill="CCEEFF" w:val="clear"/>
            <w:tcMar>
              <w:bottom w:w="0" w:type="dxa"/>
            </w:tcMar>
          </w:tcPr>
          <w:p>
            <w:pPr>
              <w:pStyle w:val="TableContents"/>
              <w:spacing w:before="0" w:after="0"/>
              <w:ind w:left="0" w:right="0" w:hanging="0"/>
              <w:rPr/>
            </w:pPr>
            <w:r>
              <w:rPr/>
              <w:t> </w:t>
            </w:r>
          </w:p>
        </w:tc>
        <w:tc>
          <w:tcPr>
            <w:tcW w:w="1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06" w:type="dxa"/>
            <w:tcBorders/>
            <w:shd w:fill="CCEEFF" w:val="clear"/>
            <w:tcMar>
              <w:bottom w:w="0" w:type="dxa"/>
            </w:tcMar>
          </w:tcPr>
          <w:p>
            <w:pPr>
              <w:pStyle w:val="TableContents"/>
              <w:spacing w:before="0" w:after="0"/>
              <w:ind w:left="0" w:right="0" w:hanging="0"/>
              <w:rPr/>
            </w:pPr>
            <w:r>
              <w:rPr/>
              <w:t> </w:t>
            </w:r>
          </w:p>
        </w:tc>
        <w:tc>
          <w:tcPr>
            <w:tcW w:w="1766"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06" w:type="dxa"/>
            <w:tcBorders/>
            <w:shd w:fill="CCEEFF" w:val="clear"/>
            <w:tcMar>
              <w:bottom w:w="0" w:type="dxa"/>
            </w:tcMar>
          </w:tcPr>
          <w:p>
            <w:pPr>
              <w:pStyle w:val="TableContents"/>
              <w:spacing w:before="0" w:after="0"/>
              <w:ind w:left="0" w:right="0" w:hanging="0"/>
              <w:rPr/>
            </w:pPr>
            <w:r>
              <w:rPr/>
              <w:t> </w:t>
            </w:r>
          </w:p>
        </w:tc>
        <w:tc>
          <w:tcPr>
            <w:tcW w:w="1254"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5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35"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2" w:name="PB_21_031804_5335"/>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March 2012 senior note issuances, we terminated four ten-year forward starting interest rate swaps.  These swaps had an aggregate notional amount of $200 million and an average fixed rate of 3.46%.  We paid out cash of approximately $24 million associated with the termination of the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January 2011 senior notes issuance, we terminated three forward starting interest rate swaps.  These swaps had an aggregate notional amount of $100 million and an average fixed rate of 3.6%.  We received cash proceeds of approximately $12 million associated with the termination of these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July 2009, concurrent with our senior notes issuance, we entered into four interest rate swaps for which we receive fixed interest payments and pay floating-rate interest payments based on three-month LIBOR plus an average spread of 2.42% on a semi-annual basis.  The swaps had an aggregate notional amount of $300 million with fixed rates of 4.25%.  Two of the swaps terminated in September 2011, and two of the swaps will terminate in September 2012.  The swaps that terminate in 2012 are designated as fair value hedges.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forwards and options.  As of June 30, 2012, AOCI includes net deferred gains of approximately $8 million that relate to open and settled foreign currency derivatives that were designated for hedge accounting.  These foreign currency derivatives hedge the cash flow variability associated with CAD-denominated interest payments on CAD-denominated intercompany notes as a result of changes in the exchange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2012, our outstanding foreign currency derivatives also include derivatives we use to hedge USD-denominated commodity purchases and sales in Canada.  In addition, we may from time to time hedge the commodity price risk associated with a CAD-denominated commodity transaction with a USD-denominated commodity derivative.  In conjunction with entering into the commodity derivative, we may enter into a foreign currency derivative to hedge the resulting foreign currency risk.  These foreign currency derivatives are generally short-term in nature.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that exchange CAD for USD on a net basis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18"/>
        <w:gridCol w:w="212"/>
        <w:gridCol w:w="110"/>
        <w:gridCol w:w="1058"/>
        <w:gridCol w:w="212"/>
        <w:gridCol w:w="110"/>
        <w:gridCol w:w="1058"/>
        <w:gridCol w:w="212"/>
        <w:gridCol w:w="2701"/>
        <w:gridCol w:w="114"/>
      </w:tblGrid>
      <w:tr>
        <w:trPr/>
        <w:tc>
          <w:tcPr>
            <w:tcW w:w="441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2"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2" w:type="dxa"/>
            <w:tcBorders/>
            <w:shd w:fill="auto" w:val="clear"/>
            <w:vAlign w:val="bottom"/>
          </w:tcPr>
          <w:p>
            <w:pPr>
              <w:pStyle w:val="TableContents"/>
              <w:spacing w:before="0" w:after="0"/>
              <w:ind w:left="0" w:right="0" w:hanging="0"/>
              <w:jc w:val="center"/>
              <w:rPr/>
            </w:pPr>
            <w:r>
              <w:rPr/>
              <w:t> </w:t>
            </w:r>
          </w:p>
        </w:tc>
        <w:tc>
          <w:tcPr>
            <w:tcW w:w="270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r>
          </w:p>
        </w:tc>
        <w:tc>
          <w:tcPr>
            <w:tcW w:w="114" w:type="dxa"/>
            <w:tcBorders/>
            <w:shd w:fill="auto" w:val="clear"/>
            <w:vAlign w:val="bottom"/>
          </w:tcPr>
          <w:p>
            <w:pPr>
              <w:pStyle w:val="TableContents"/>
              <w:spacing w:before="0" w:after="0"/>
              <w:ind w:left="0" w:right="0" w:hanging="0"/>
              <w:jc w:val="center"/>
              <w:rPr/>
            </w:pPr>
            <w:r>
              <w:rPr/>
              <w:t> </w:t>
            </w:r>
          </w:p>
        </w:tc>
      </w:tr>
      <w:tr>
        <w:trPr/>
        <w:tc>
          <w:tcPr>
            <w:tcW w:w="44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2" w:type="dxa"/>
            <w:tcBorders/>
            <w:shd w:fill="CCEEFF" w:val="clear"/>
            <w:vAlign w:val="bottom"/>
          </w:tcPr>
          <w:p>
            <w:pPr>
              <w:pStyle w:val="TableContents"/>
              <w:spacing w:before="0" w:after="0"/>
              <w:ind w:left="0" w:right="0" w:hanging="0"/>
              <w:rPr/>
            </w:pPr>
            <w:r>
              <w:rPr/>
              <w:t> </w:t>
            </w:r>
          </w:p>
        </w:tc>
        <w:tc>
          <w:tcPr>
            <w:tcW w:w="27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$1.01 to USD $1.00</w:t>
            </w:r>
          </w:p>
        </w:tc>
        <w:tc>
          <w:tcPr>
            <w:tcW w:w="114" w:type="dxa"/>
            <w:tcBorders/>
            <w:shd w:fill="CCEEFF" w:val="clear"/>
            <w:vAlign w:val="bottom"/>
          </w:tcPr>
          <w:p>
            <w:pPr>
              <w:pStyle w:val="TableContents"/>
              <w:spacing w:before="0" w:after="0"/>
              <w:ind w:left="0" w:right="0" w:hanging="0"/>
              <w:rPr/>
            </w:pPr>
            <w:r>
              <w:rPr/>
              <w:t> </w:t>
            </w:r>
          </w:p>
        </w:tc>
      </w:tr>
      <w:tr>
        <w:trPr/>
        <w:tc>
          <w:tcPr>
            <w:tcW w:w="44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2" w:type="dxa"/>
            <w:tcBorders/>
            <w:shd w:fill="auto" w:val="clear"/>
            <w:vAlign w:val="bottom"/>
          </w:tcPr>
          <w:p>
            <w:pPr>
              <w:pStyle w:val="TableContents"/>
              <w:spacing w:before="0" w:after="0"/>
              <w:ind w:left="0" w:right="0" w:hanging="0"/>
              <w:rPr/>
            </w:pPr>
            <w:r>
              <w:rPr/>
              <w:t> </w:t>
            </w:r>
          </w:p>
        </w:tc>
        <w:tc>
          <w:tcPr>
            <w:tcW w:w="27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$1.02 to USD $1.00</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derivatives that qualify as a cash flow hedge, changes in fair value of the effective portion of the hedges are deferred in AOCI and recognized in earnings in the periods during which the underlying physical transactions impact earnings.  For our interest rate swaps that qualify as a fair value hedge, changes in the fair value of the derivative and changes in the fair value of the underlying hedged item, attributable to the hedged risk, are recognized in earnings each period.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operating cash flows in our condensed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3" w:name="PB_22_031847_5796"/>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six months ended June 30, 2012 and 2011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78"/>
        <w:gridCol w:w="149"/>
        <w:gridCol w:w="291"/>
        <w:gridCol w:w="1125"/>
        <w:gridCol w:w="204"/>
        <w:gridCol w:w="225"/>
        <w:gridCol w:w="865"/>
        <w:gridCol w:w="204"/>
        <w:gridCol w:w="194"/>
        <w:gridCol w:w="685"/>
        <w:gridCol w:w="166"/>
        <w:gridCol w:w="243"/>
        <w:gridCol w:w="1122"/>
        <w:gridCol w:w="200"/>
        <w:gridCol w:w="276"/>
        <w:gridCol w:w="815"/>
        <w:gridCol w:w="200"/>
        <w:gridCol w:w="188"/>
        <w:gridCol w:w="744"/>
        <w:gridCol w:w="131"/>
      </w:tblGrid>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379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June 30, 2012</w:t>
            </w:r>
          </w:p>
        </w:tc>
        <w:tc>
          <w:tcPr>
            <w:tcW w:w="166" w:type="dxa"/>
            <w:tcBorders/>
            <w:shd w:fill="auto" w:val="clear"/>
            <w:vAlign w:val="bottom"/>
          </w:tcPr>
          <w:p>
            <w:pPr>
              <w:pStyle w:val="TableContents"/>
              <w:spacing w:before="0" w:after="0"/>
              <w:ind w:left="0" w:right="0" w:hanging="0"/>
              <w:jc w:val="center"/>
              <w:rPr/>
            </w:pPr>
            <w:r>
              <w:rPr/>
              <w:t> </w:t>
            </w:r>
          </w:p>
        </w:tc>
        <w:tc>
          <w:tcPr>
            <w:tcW w:w="378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June 30, 2011</w:t>
            </w:r>
          </w:p>
        </w:tc>
        <w:tc>
          <w:tcPr>
            <w:tcW w:w="131" w:type="dxa"/>
            <w:tcBorders/>
            <w:shd w:fill="auto" w:val="clear"/>
            <w:vAlign w:val="bottom"/>
          </w:tcPr>
          <w:p>
            <w:pPr>
              <w:pStyle w:val="TableContents"/>
              <w:spacing w:before="0" w:after="0"/>
              <w:ind w:left="0" w:right="0" w:hanging="0"/>
              <w:jc w:val="center"/>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416" w:type="dxa"/>
            <w:gridSpan w:val="2"/>
            <w:tcBorders/>
            <w:shd w:fill="auto" w:val="clear"/>
            <w:vAlign w:val="bottom"/>
          </w:tcPr>
          <w:p>
            <w:pPr>
              <w:pStyle w:val="TableContents"/>
              <w:spacing w:before="0" w:after="0"/>
              <w:ind w:left="0" w:right="0" w:hanging="0"/>
              <w:jc w:val="center"/>
              <w:rPr/>
            </w:pPr>
            <w:r>
              <w:rPr/>
              <w:t> </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204" w:type="dxa"/>
            <w:tcBorders/>
            <w:shd w:fill="auto" w:val="clear"/>
            <w:vAlign w:val="bottom"/>
          </w:tcPr>
          <w:p>
            <w:pPr>
              <w:pStyle w:val="TableContents"/>
              <w:spacing w:before="0" w:after="0"/>
              <w:ind w:left="0" w:right="0" w:hanging="0"/>
              <w:jc w:val="center"/>
              <w:rPr/>
            </w:pPr>
            <w:r>
              <w:rPr/>
              <w:t> </w:t>
            </w:r>
          </w:p>
        </w:tc>
        <w:tc>
          <w:tcPr>
            <w:tcW w:w="10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204" w:type="dxa"/>
            <w:tcBorders/>
            <w:shd w:fill="auto" w:val="clear"/>
            <w:vAlign w:val="bottom"/>
          </w:tcPr>
          <w:p>
            <w:pPr>
              <w:pStyle w:val="TableContents"/>
              <w:spacing w:before="0" w:after="0"/>
              <w:ind w:left="0" w:right="0" w:hanging="0"/>
              <w:jc w:val="center"/>
              <w:rPr/>
            </w:pPr>
            <w:r>
              <w:rPr/>
              <w:t> </w:t>
            </w:r>
          </w:p>
        </w:tc>
        <w:tc>
          <w:tcPr>
            <w:tcW w:w="879" w:type="dxa"/>
            <w:gridSpan w:val="2"/>
            <w:tcBorders/>
            <w:shd w:fill="auto" w:val="clear"/>
            <w:vAlign w:val="bottom"/>
          </w:tcPr>
          <w:p>
            <w:pPr>
              <w:pStyle w:val="TableContents"/>
              <w:spacing w:before="0" w:after="0"/>
              <w:ind w:left="0" w:right="0" w:hanging="0"/>
              <w:jc w:val="center"/>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200" w:type="dxa"/>
            <w:tcBorders/>
            <w:shd w:fill="auto" w:val="clear"/>
            <w:vAlign w:val="bottom"/>
          </w:tcPr>
          <w:p>
            <w:pPr>
              <w:pStyle w:val="TableContents"/>
              <w:spacing w:before="0" w:after="0"/>
              <w:ind w:left="0" w:right="0" w:hanging="0"/>
              <w:jc w:val="center"/>
              <w:rPr/>
            </w:pPr>
            <w:r>
              <w:rPr/>
              <w:t> </w:t>
            </w:r>
          </w:p>
        </w:tc>
        <w:tc>
          <w:tcPr>
            <w:tcW w:w="10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200" w:type="dxa"/>
            <w:tcBorders/>
            <w:shd w:fill="auto" w:val="clear"/>
            <w:vAlign w:val="bottom"/>
          </w:tcPr>
          <w:p>
            <w:pPr>
              <w:pStyle w:val="TableContents"/>
              <w:spacing w:before="0" w:after="0"/>
              <w:ind w:left="0" w:right="0" w:hanging="0"/>
              <w:jc w:val="center"/>
              <w:rPr/>
            </w:pPr>
            <w:r>
              <w:rPr/>
              <w:t> </w:t>
            </w:r>
          </w:p>
        </w:tc>
        <w:tc>
          <w:tcPr>
            <w:tcW w:w="932" w:type="dxa"/>
            <w:gridSpan w:val="2"/>
            <w:tcBorders/>
            <w:shd w:fill="auto" w:val="cle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04" w:type="dxa"/>
            <w:tcBorders/>
            <w:shd w:fill="auto" w:val="clear"/>
            <w:vAlign w:val="bottom"/>
          </w:tcPr>
          <w:p>
            <w:pPr>
              <w:pStyle w:val="TableContents"/>
              <w:spacing w:before="0" w:after="0"/>
              <w:ind w:left="0" w:right="0" w:hanging="0"/>
              <w:jc w:val="center"/>
              <w:rPr/>
            </w:pPr>
            <w:r>
              <w:rPr/>
              <w:t> </w:t>
            </w:r>
          </w:p>
        </w:tc>
        <w:tc>
          <w:tcPr>
            <w:tcW w:w="10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04" w:type="dxa"/>
            <w:tcBorders/>
            <w:shd w:fill="auto" w:val="clear"/>
            <w:vAlign w:val="bottom"/>
          </w:tcPr>
          <w:p>
            <w:pPr>
              <w:pStyle w:val="TableContents"/>
              <w:spacing w:before="0" w:after="0"/>
              <w:ind w:left="0" w:right="0" w:hanging="0"/>
              <w:jc w:val="center"/>
              <w:rPr/>
            </w:pPr>
            <w:r>
              <w:rPr/>
              <w:t> </w:t>
            </w:r>
          </w:p>
        </w:tc>
        <w:tc>
          <w:tcPr>
            <w:tcW w:w="879" w:type="dxa"/>
            <w:gridSpan w:val="2"/>
            <w:tcBorders/>
            <w:shd w:fill="auto" w:val="clear"/>
            <w:vAlign w:val="bottom"/>
          </w:tcPr>
          <w:p>
            <w:pPr>
              <w:pStyle w:val="TableContents"/>
              <w:spacing w:before="0" w:after="0"/>
              <w:ind w:left="0" w:right="0" w:hanging="0"/>
              <w:jc w:val="center"/>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00" w:type="dxa"/>
            <w:tcBorders/>
            <w:shd w:fill="auto" w:val="clear"/>
            <w:vAlign w:val="bottom"/>
          </w:tcPr>
          <w:p>
            <w:pPr>
              <w:pStyle w:val="TableContents"/>
              <w:spacing w:before="0" w:after="0"/>
              <w:ind w:left="0" w:right="0" w:hanging="0"/>
              <w:jc w:val="center"/>
              <w:rPr/>
            </w:pPr>
            <w:r>
              <w:rPr/>
              <w:t> </w:t>
            </w:r>
          </w:p>
        </w:tc>
        <w:tc>
          <w:tcPr>
            <w:tcW w:w="10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00" w:type="dxa"/>
            <w:tcBorders/>
            <w:shd w:fill="auto" w:val="clear"/>
            <w:vAlign w:val="bottom"/>
          </w:tcPr>
          <w:p>
            <w:pPr>
              <w:pStyle w:val="TableContents"/>
              <w:spacing w:before="0" w:after="0"/>
              <w:ind w:left="0" w:right="0" w:hanging="0"/>
              <w:jc w:val="center"/>
              <w:rPr/>
            </w:pPr>
            <w:r>
              <w:rPr/>
              <w:t> </w:t>
            </w:r>
          </w:p>
        </w:tc>
        <w:tc>
          <w:tcPr>
            <w:tcW w:w="932" w:type="dxa"/>
            <w:gridSpan w:val="2"/>
            <w:tcBorders/>
            <w:shd w:fill="auto" w:val="cle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r>
      <w:tr>
        <w:trPr/>
        <w:tc>
          <w:tcPr>
            <w:tcW w:w="217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49" w:type="dxa"/>
            <w:tcBorders/>
            <w:shd w:fill="auto" w:val="clear"/>
            <w:vAlign w:val="bottom"/>
          </w:tcPr>
          <w:p>
            <w:pPr>
              <w:pStyle w:val="TableContents"/>
              <w:spacing w:before="0" w:after="0"/>
              <w:ind w:left="0" w:right="0" w:hanging="0"/>
              <w:jc w:val="center"/>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(1)(2)(3)</w:t>
            </w:r>
          </w:p>
        </w:tc>
        <w:tc>
          <w:tcPr>
            <w:tcW w:w="204" w:type="dxa"/>
            <w:tcBorders/>
            <w:shd w:fill="auto" w:val="clear"/>
            <w:vAlign w:val="bottom"/>
          </w:tcPr>
          <w:p>
            <w:pPr>
              <w:pStyle w:val="TableContents"/>
              <w:spacing w:before="0" w:after="0"/>
              <w:ind w:left="0" w:right="0" w:hanging="0"/>
              <w:jc w:val="center"/>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204" w:type="dxa"/>
            <w:tcBorders/>
            <w:shd w:fill="auto" w:val="clear"/>
            <w:vAlign w:val="bottom"/>
          </w:tcPr>
          <w:p>
            <w:pPr>
              <w:pStyle w:val="TableContents"/>
              <w:spacing w:before="0" w:after="0"/>
              <w:ind w:left="0" w:right="0" w:hanging="0"/>
              <w:jc w:val="center"/>
              <w:rPr/>
            </w:pPr>
            <w:r>
              <w:rPr/>
              <w:t> </w:t>
            </w:r>
          </w:p>
        </w:tc>
        <w:tc>
          <w:tcPr>
            <w:tcW w:w="8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6" w:type="dxa"/>
            <w:tcBorders/>
            <w:shd w:fill="auto" w:val="clear"/>
            <w:vAlign w:val="bottom"/>
          </w:tcPr>
          <w:p>
            <w:pPr>
              <w:pStyle w:val="TableContents"/>
              <w:spacing w:before="0" w:after="0"/>
              <w:ind w:left="0" w:right="0" w:hanging="0"/>
              <w:jc w:val="center"/>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w:t>
            </w:r>
          </w:p>
        </w:tc>
        <w:tc>
          <w:tcPr>
            <w:tcW w:w="200" w:type="dxa"/>
            <w:tcBorders/>
            <w:shd w:fill="auto" w:val="clear"/>
            <w:vAlign w:val="bottom"/>
          </w:tcPr>
          <w:p>
            <w:pPr>
              <w:pStyle w:val="TableContents"/>
              <w:spacing w:before="0" w:after="0"/>
              <w:ind w:left="0" w:right="0" w:hanging="0"/>
              <w:jc w:val="center"/>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200" w:type="dxa"/>
            <w:tcBorders/>
            <w:shd w:fill="auto" w:val="clear"/>
            <w:vAlign w:val="bottom"/>
          </w:tcPr>
          <w:p>
            <w:pPr>
              <w:pStyle w:val="TableContents"/>
              <w:spacing w:before="0" w:after="0"/>
              <w:ind w:left="0" w:right="0" w:hanging="0"/>
              <w:jc w:val="center"/>
              <w:rPr/>
            </w:pPr>
            <w:r>
              <w:rPr/>
              <w:t> </w:t>
            </w:r>
          </w:p>
        </w:tc>
        <w:tc>
          <w:tcPr>
            <w:tcW w:w="9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1" w:type="dxa"/>
            <w:tcBorders/>
            <w:shd w:fill="auto" w:val="clear"/>
            <w:vAlign w:val="bottom"/>
          </w:tcPr>
          <w:p>
            <w:pPr>
              <w:pStyle w:val="TableContents"/>
              <w:spacing w:before="0" w:after="0"/>
              <w:ind w:left="0" w:right="0" w:hanging="0"/>
              <w:jc w:val="center"/>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7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9" w:type="dxa"/>
            <w:tcBorders/>
            <w:shd w:fill="CCEEFF" w:val="clear"/>
            <w:vAlign w:val="bottom"/>
          </w:tcPr>
          <w:p>
            <w:pPr>
              <w:pStyle w:val="TableContents"/>
              <w:spacing w:before="0" w:after="0"/>
              <w:ind w:left="0" w:right="0" w:hanging="0"/>
              <w:rPr/>
            </w:pPr>
            <w:r>
              <w:rPr/>
              <w:t> </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04"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66" w:type="dxa"/>
            <w:tcBorders/>
            <w:shd w:fill="CCEEFF" w:val="clear"/>
            <w:vAlign w:val="bottom"/>
          </w:tcPr>
          <w:p>
            <w:pPr>
              <w:pStyle w:val="TableContents"/>
              <w:spacing w:before="0" w:after="0"/>
              <w:ind w:left="0" w:right="0" w:hanging="0"/>
              <w:rPr/>
            </w:pPr>
            <w:r>
              <w:rPr/>
              <w:t> </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0"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8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6"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66"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7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49" w:type="dxa"/>
            <w:tcBorders/>
            <w:shd w:fill="CCEEFF" w:val="clear"/>
            <w:vAlign w:val="bottom"/>
          </w:tcPr>
          <w:p>
            <w:pPr>
              <w:pStyle w:val="TableContents"/>
              <w:spacing w:before="0" w:after="0"/>
              <w:ind w:left="0" w:right="0" w:hanging="0"/>
              <w:rPr/>
            </w:pPr>
            <w:r>
              <w:rPr/>
              <w:t> </w:t>
            </w:r>
          </w:p>
        </w:tc>
        <w:tc>
          <w:tcPr>
            <w:tcW w:w="14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pPr>
            <w:r>
              <w:rPr/>
              <w:t> </w:t>
            </w:r>
          </w:p>
        </w:tc>
        <w:tc>
          <w:tcPr>
            <w:tcW w:w="10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8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6" w:type="dxa"/>
            <w:tcBorders/>
            <w:shd w:fill="CCEEFF" w:val="clear"/>
            <w:vAlign w:val="bottom"/>
          </w:tcPr>
          <w:p>
            <w:pPr>
              <w:pStyle w:val="TableContents"/>
              <w:spacing w:before="0" w:after="0"/>
              <w:ind w:left="0" w:right="0" w:hanging="0"/>
              <w:rPr/>
            </w:pPr>
            <w:r>
              <w:rPr/>
              <w:t> </w:t>
            </w:r>
          </w:p>
        </w:tc>
        <w:tc>
          <w:tcPr>
            <w:tcW w:w="13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pPr>
            <w:r>
              <w:rPr/>
              <w:t> </w:t>
            </w:r>
          </w:p>
        </w:tc>
        <w:tc>
          <w:tcPr>
            <w:tcW w:w="10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9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pPr>
            <w:r>
              <w:rPr/>
              <w:t> </w:t>
            </w:r>
          </w:p>
        </w:tc>
      </w:tr>
      <w:tr>
        <w:trPr/>
        <w:tc>
          <w:tcPr>
            <w:tcW w:w="217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17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49" w:type="dxa"/>
            <w:tcBorders/>
            <w:shd w:fill="CCEEFF" w:val="clear"/>
            <w:vAlign w:val="bottom"/>
          </w:tcPr>
          <w:p>
            <w:pPr>
              <w:pStyle w:val="TableContents"/>
              <w:spacing w:before="0" w:after="0"/>
              <w:ind w:left="0" w:right="0" w:hanging="0"/>
              <w:rPr/>
            </w:pPr>
            <w:r>
              <w:rPr/>
              <w:t> </w:t>
            </w:r>
          </w:p>
        </w:tc>
        <w:tc>
          <w:tcPr>
            <w:tcW w:w="2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(57</w:t>
            </w:r>
          </w:p>
        </w:tc>
        <w:tc>
          <w:tcPr>
            <w:tcW w:w="20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193</w:t>
            </w:r>
          </w:p>
        </w:tc>
        <w:tc>
          <w:tcPr>
            <w:tcW w:w="204"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136</w:t>
            </w:r>
          </w:p>
        </w:tc>
        <w:tc>
          <w:tcPr>
            <w:tcW w:w="166" w:type="dxa"/>
            <w:tcBorders/>
            <w:shd w:fill="CCEEFF" w:val="clear"/>
            <w:vAlign w:val="bottom"/>
          </w:tcPr>
          <w:p>
            <w:pPr>
              <w:pStyle w:val="TableContents"/>
              <w:spacing w:before="0" w:after="0"/>
              <w:ind w:left="0" w:right="0" w:hanging="0"/>
              <w:rPr/>
            </w:pPr>
            <w:r>
              <w:rPr/>
              <w:t> </w:t>
            </w:r>
          </w:p>
        </w:tc>
        <w:tc>
          <w:tcPr>
            <w:tcW w:w="2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(166</w:t>
            </w:r>
          </w:p>
        </w:tc>
        <w:tc>
          <w:tcPr>
            <w:tcW w:w="2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w:t>
            </w:r>
          </w:p>
        </w:tc>
        <w:tc>
          <w:tcPr>
            <w:tcW w:w="200"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(130</w:t>
            </w:r>
          </w:p>
        </w:tc>
        <w:tc>
          <w:tcPr>
            <w:tcW w:w="1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4" w:name="PB_23_032304_705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29"/>
        <w:gridCol w:w="145"/>
        <w:gridCol w:w="290"/>
        <w:gridCol w:w="1101"/>
        <w:gridCol w:w="196"/>
        <w:gridCol w:w="223"/>
        <w:gridCol w:w="897"/>
        <w:gridCol w:w="196"/>
        <w:gridCol w:w="186"/>
        <w:gridCol w:w="704"/>
        <w:gridCol w:w="162"/>
        <w:gridCol w:w="242"/>
        <w:gridCol w:w="1149"/>
        <w:gridCol w:w="188"/>
        <w:gridCol w:w="275"/>
        <w:gridCol w:w="797"/>
        <w:gridCol w:w="188"/>
        <w:gridCol w:w="175"/>
        <w:gridCol w:w="701"/>
        <w:gridCol w:w="461"/>
      </w:tblGrid>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jc w:val="center"/>
              <w:rPr/>
            </w:pPr>
            <w:r>
              <w:rPr/>
              <w:t> </w:t>
            </w:r>
          </w:p>
        </w:tc>
        <w:tc>
          <w:tcPr>
            <w:tcW w:w="379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Six Months Ended June 30, 2012</w:t>
            </w:r>
            <w:r>
              <w:rPr/>
              <w:t> </w:t>
            </w:r>
          </w:p>
        </w:tc>
        <w:tc>
          <w:tcPr>
            <w:tcW w:w="162" w:type="dxa"/>
            <w:tcBorders/>
            <w:shd w:fill="auto" w:val="clear"/>
            <w:vAlign w:val="bottom"/>
          </w:tcPr>
          <w:p>
            <w:pPr>
              <w:pStyle w:val="TableContents"/>
              <w:spacing w:before="0" w:after="0"/>
              <w:ind w:left="0" w:right="0" w:hanging="0"/>
              <w:rPr/>
            </w:pPr>
            <w:r>
              <w:rPr/>
              <w:t> </w:t>
            </w:r>
          </w:p>
        </w:tc>
        <w:tc>
          <w:tcPr>
            <w:tcW w:w="371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 June 30, 2011</w:t>
            </w:r>
          </w:p>
        </w:tc>
        <w:tc>
          <w:tcPr>
            <w:tcW w:w="461" w:type="dxa"/>
            <w:tcBorders/>
            <w:shd w:fill="auto" w:val="clear"/>
            <w:vAlign w:val="bottom"/>
          </w:tcPr>
          <w:p>
            <w:pPr>
              <w:pStyle w:val="TableContents"/>
              <w:spacing w:before="0" w:after="0"/>
              <w:ind w:left="0" w:right="0" w:hanging="0"/>
              <w:jc w:val="center"/>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2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96" w:type="dxa"/>
            <w:tcBorders/>
            <w:shd w:fill="auto" w:val="clear"/>
            <w:vAlign w:val="bottom"/>
          </w:tcPr>
          <w:p>
            <w:pPr>
              <w:pStyle w:val="TableContents"/>
              <w:spacing w:before="0" w:after="0"/>
              <w:ind w:left="0" w:right="0" w:hanging="0"/>
              <w:jc w:val="center"/>
              <w:rPr/>
            </w:pPr>
            <w:r>
              <w:rPr/>
              <w:t> </w:t>
            </w:r>
          </w:p>
        </w:tc>
        <w:tc>
          <w:tcPr>
            <w:tcW w:w="8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07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88" w:type="dxa"/>
            <w:tcBorders/>
            <w:shd w:fill="auto" w:val="clear"/>
            <w:vAlign w:val="bottom"/>
          </w:tcPr>
          <w:p>
            <w:pPr>
              <w:pStyle w:val="TableContents"/>
              <w:spacing w:before="0" w:after="0"/>
              <w:ind w:left="0" w:right="0" w:hanging="0"/>
              <w:jc w:val="center"/>
              <w:rPr/>
            </w:pPr>
            <w:r>
              <w:rPr/>
              <w:t> </w:t>
            </w:r>
          </w:p>
        </w:tc>
        <w:tc>
          <w:tcPr>
            <w:tcW w:w="87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61" w:type="dxa"/>
            <w:tcBorders/>
            <w:shd w:fill="auto" w:val="clear"/>
            <w:vAlign w:val="bottom"/>
          </w:tcPr>
          <w:p>
            <w:pPr>
              <w:pStyle w:val="TableContents"/>
              <w:spacing w:before="0" w:after="0"/>
              <w:ind w:left="0" w:right="0" w:hanging="0"/>
              <w:jc w:val="center"/>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w:t>
            </w:r>
          </w:p>
        </w:tc>
        <w:tc>
          <w:tcPr>
            <w:tcW w:w="196" w:type="dxa"/>
            <w:tcBorders/>
            <w:shd w:fill="auto" w:val="clear"/>
            <w:vAlign w:val="bottom"/>
          </w:tcPr>
          <w:p>
            <w:pPr>
              <w:pStyle w:val="TableContents"/>
              <w:spacing w:before="0" w:after="0"/>
              <w:ind w:left="0" w:right="0" w:hanging="0"/>
              <w:jc w:val="center"/>
              <w:rPr/>
            </w:pPr>
            <w:r>
              <w:rPr/>
              <w:t> </w:t>
            </w:r>
          </w:p>
        </w:tc>
        <w:tc>
          <w:tcPr>
            <w:tcW w:w="112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 </w:t>
            </w:r>
          </w:p>
        </w:tc>
        <w:tc>
          <w:tcPr>
            <w:tcW w:w="196" w:type="dxa"/>
            <w:tcBorders/>
            <w:shd w:fill="auto" w:val="clear"/>
            <w:vAlign w:val="bottom"/>
          </w:tcPr>
          <w:p>
            <w:pPr>
              <w:pStyle w:val="TableContents"/>
              <w:spacing w:before="0" w:after="0"/>
              <w:ind w:left="0" w:right="0" w:hanging="0"/>
              <w:jc w:val="center"/>
              <w:rPr/>
            </w:pPr>
            <w:r>
              <w:rPr/>
              <w:t> </w:t>
            </w:r>
          </w:p>
        </w:tc>
        <w:tc>
          <w:tcPr>
            <w:tcW w:w="890" w:type="dxa"/>
            <w:gridSpan w:val="2"/>
            <w:tcBorders/>
            <w:shd w:fill="auto" w:val="clear"/>
            <w:vAlign w:val="bottom"/>
          </w:tcPr>
          <w:p>
            <w:pPr>
              <w:pStyle w:val="TableContents"/>
              <w:spacing w:before="0" w:after="0"/>
              <w:ind w:left="0" w:right="0" w:hanging="0"/>
              <w:jc w:val="center"/>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w:t>
            </w:r>
          </w:p>
        </w:tc>
        <w:tc>
          <w:tcPr>
            <w:tcW w:w="188" w:type="dxa"/>
            <w:tcBorders/>
            <w:shd w:fill="auto" w:val="clear"/>
            <w:vAlign w:val="bottom"/>
          </w:tcPr>
          <w:p>
            <w:pPr>
              <w:pStyle w:val="TableContents"/>
              <w:spacing w:before="0" w:after="0"/>
              <w:ind w:left="0" w:right="0" w:hanging="0"/>
              <w:jc w:val="center"/>
              <w:rPr/>
            </w:pPr>
            <w:r>
              <w:rPr/>
              <w:t> </w:t>
            </w:r>
          </w:p>
        </w:tc>
        <w:tc>
          <w:tcPr>
            <w:tcW w:w="10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88" w:type="dxa"/>
            <w:tcBorders/>
            <w:shd w:fill="auto" w:val="clear"/>
            <w:vAlign w:val="bottom"/>
          </w:tcPr>
          <w:p>
            <w:pPr>
              <w:pStyle w:val="TableContents"/>
              <w:spacing w:before="0" w:after="0"/>
              <w:ind w:left="0" w:right="0" w:hanging="0"/>
              <w:jc w:val="center"/>
              <w:rPr/>
            </w:pPr>
            <w:r>
              <w:rPr/>
              <w:t> </w:t>
            </w:r>
          </w:p>
        </w:tc>
        <w:tc>
          <w:tcPr>
            <w:tcW w:w="876" w:type="dxa"/>
            <w:gridSpan w:val="2"/>
            <w:tcBorders/>
            <w:shd w:fill="auto" w:val="clear"/>
            <w:vAlign w:val="bottom"/>
          </w:tcPr>
          <w:p>
            <w:pPr>
              <w:pStyle w:val="TableContents"/>
              <w:spacing w:before="0" w:after="0"/>
              <w:ind w:left="0" w:right="0" w:hanging="0"/>
              <w:jc w:val="center"/>
              <w:rPr/>
            </w:pPr>
            <w:r>
              <w:rPr/>
              <w:t> </w:t>
            </w:r>
          </w:p>
        </w:tc>
        <w:tc>
          <w:tcPr>
            <w:tcW w:w="461" w:type="dxa"/>
            <w:tcBorders/>
            <w:shd w:fill="auto" w:val="clear"/>
            <w:vAlign w:val="bottom"/>
          </w:tcPr>
          <w:p>
            <w:pPr>
              <w:pStyle w:val="TableContents"/>
              <w:spacing w:before="0" w:after="0"/>
              <w:ind w:left="0" w:right="0" w:hanging="0"/>
              <w:jc w:val="center"/>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96" w:type="dxa"/>
            <w:tcBorders/>
            <w:shd w:fill="auto" w:val="clear"/>
            <w:vAlign w:val="bottom"/>
          </w:tcPr>
          <w:p>
            <w:pPr>
              <w:pStyle w:val="TableContents"/>
              <w:spacing w:before="0" w:after="0"/>
              <w:ind w:left="0" w:right="0" w:hanging="0"/>
              <w:jc w:val="center"/>
              <w:rPr/>
            </w:pPr>
            <w:r>
              <w:rPr/>
              <w:t> </w:t>
            </w:r>
          </w:p>
        </w:tc>
        <w:tc>
          <w:tcPr>
            <w:tcW w:w="112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96" w:type="dxa"/>
            <w:tcBorders/>
            <w:shd w:fill="auto" w:val="clear"/>
            <w:vAlign w:val="bottom"/>
          </w:tcPr>
          <w:p>
            <w:pPr>
              <w:pStyle w:val="TableContents"/>
              <w:spacing w:before="0" w:after="0"/>
              <w:ind w:left="0" w:right="0" w:hanging="0"/>
              <w:jc w:val="center"/>
              <w:rPr/>
            </w:pPr>
            <w:r>
              <w:rPr/>
              <w:t> </w:t>
            </w:r>
          </w:p>
        </w:tc>
        <w:tc>
          <w:tcPr>
            <w:tcW w:w="890" w:type="dxa"/>
            <w:gridSpan w:val="2"/>
            <w:tcBorders/>
            <w:shd w:fill="auto" w:val="clear"/>
            <w:vAlign w:val="bottom"/>
          </w:tcPr>
          <w:p>
            <w:pPr>
              <w:pStyle w:val="TableContents"/>
              <w:spacing w:before="0" w:after="0"/>
              <w:ind w:left="0" w:right="0" w:hanging="0"/>
              <w:jc w:val="center"/>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88" w:type="dxa"/>
            <w:tcBorders/>
            <w:shd w:fill="auto" w:val="clear"/>
            <w:vAlign w:val="bottom"/>
          </w:tcPr>
          <w:p>
            <w:pPr>
              <w:pStyle w:val="TableContents"/>
              <w:spacing w:before="0" w:after="0"/>
              <w:ind w:left="0" w:right="0" w:hanging="0"/>
              <w:jc w:val="center"/>
              <w:rPr/>
            </w:pPr>
            <w:r>
              <w:rPr/>
              <w:t> </w:t>
            </w:r>
          </w:p>
        </w:tc>
        <w:tc>
          <w:tcPr>
            <w:tcW w:w="10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88" w:type="dxa"/>
            <w:tcBorders/>
            <w:shd w:fill="auto" w:val="clear"/>
            <w:vAlign w:val="bottom"/>
          </w:tcPr>
          <w:p>
            <w:pPr>
              <w:pStyle w:val="TableContents"/>
              <w:spacing w:before="0" w:after="0"/>
              <w:ind w:left="0" w:right="0" w:hanging="0"/>
              <w:jc w:val="center"/>
              <w:rPr/>
            </w:pPr>
            <w:r>
              <w:rPr/>
              <w:t> </w:t>
            </w:r>
          </w:p>
        </w:tc>
        <w:tc>
          <w:tcPr>
            <w:tcW w:w="876" w:type="dxa"/>
            <w:gridSpan w:val="2"/>
            <w:tcBorders/>
            <w:shd w:fill="auto" w:val="clear"/>
            <w:vAlign w:val="bottom"/>
          </w:tcPr>
          <w:p>
            <w:pPr>
              <w:pStyle w:val="TableContents"/>
              <w:spacing w:before="0" w:after="0"/>
              <w:ind w:left="0" w:right="0" w:hanging="0"/>
              <w:jc w:val="center"/>
              <w:rPr/>
            </w:pPr>
            <w:r>
              <w:rPr/>
              <w:t> </w:t>
            </w:r>
          </w:p>
        </w:tc>
        <w:tc>
          <w:tcPr>
            <w:tcW w:w="461" w:type="dxa"/>
            <w:tcBorders/>
            <w:shd w:fill="auto" w:val="clear"/>
            <w:vAlign w:val="bottom"/>
          </w:tcPr>
          <w:p>
            <w:pPr>
              <w:pStyle w:val="TableContents"/>
              <w:spacing w:before="0" w:after="0"/>
              <w:ind w:left="0" w:right="0" w:hanging="0"/>
              <w:jc w:val="center"/>
              <w:rPr/>
            </w:pPr>
            <w:r>
              <w:rPr/>
              <w:t> </w:t>
            </w:r>
          </w:p>
        </w:tc>
      </w:tr>
      <w:tr>
        <w:trPr/>
        <w:tc>
          <w:tcPr>
            <w:tcW w:w="192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45" w:type="dxa"/>
            <w:tcBorders/>
            <w:shd w:fill="auto" w:val="clear"/>
            <w:vAlign w:val="bottom"/>
          </w:tcPr>
          <w:p>
            <w:pPr>
              <w:pStyle w:val="TableContents"/>
              <w:spacing w:before="0" w:after="0"/>
              <w:ind w:left="0" w:right="0" w:hanging="0"/>
              <w:jc w:val="center"/>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(1)(2)(3)</w:t>
            </w:r>
          </w:p>
        </w:tc>
        <w:tc>
          <w:tcPr>
            <w:tcW w:w="196" w:type="dxa"/>
            <w:tcBorders/>
            <w:shd w:fill="auto" w:val="clear"/>
            <w:vAlign w:val="bottom"/>
          </w:tcPr>
          <w:p>
            <w:pPr>
              <w:pStyle w:val="TableContents"/>
              <w:spacing w:before="0" w:after="0"/>
              <w:ind w:left="0" w:right="0" w:hanging="0"/>
              <w:jc w:val="center"/>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96" w:type="dxa"/>
            <w:tcBorders/>
            <w:shd w:fill="auto" w:val="clear"/>
            <w:vAlign w:val="bottom"/>
          </w:tcPr>
          <w:p>
            <w:pPr>
              <w:pStyle w:val="TableContents"/>
              <w:spacing w:before="0" w:after="0"/>
              <w:ind w:left="0" w:right="0" w:hanging="0"/>
              <w:jc w:val="center"/>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(1)(2)(3)</w:t>
            </w:r>
          </w:p>
        </w:tc>
        <w:tc>
          <w:tcPr>
            <w:tcW w:w="188" w:type="dxa"/>
            <w:tcBorders/>
            <w:shd w:fill="auto" w:val="clear"/>
            <w:vAlign w:val="bottom"/>
          </w:tcPr>
          <w:p>
            <w:pPr>
              <w:pStyle w:val="TableContents"/>
              <w:spacing w:before="0" w:after="0"/>
              <w:ind w:left="0" w:right="0" w:hanging="0"/>
              <w:jc w:val="center"/>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88" w:type="dxa"/>
            <w:tcBorders/>
            <w:shd w:fill="auto" w:val="clear"/>
            <w:vAlign w:val="bottom"/>
          </w:tcPr>
          <w:p>
            <w:pPr>
              <w:pStyle w:val="TableContents"/>
              <w:spacing w:before="0" w:after="0"/>
              <w:ind w:left="0" w:right="0" w:hanging="0"/>
              <w:jc w:val="center"/>
              <w:rPr/>
            </w:pPr>
            <w:r>
              <w:rPr/>
              <w:t> </w:t>
            </w:r>
          </w:p>
        </w:tc>
        <w:tc>
          <w:tcPr>
            <w:tcW w:w="8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461" w:type="dxa"/>
            <w:tcBorders/>
            <w:shd w:fill="auto" w:val="clear"/>
            <w:vAlign w:val="bottom"/>
          </w:tcPr>
          <w:p>
            <w:pPr>
              <w:pStyle w:val="TableContents"/>
              <w:spacing w:before="0" w:after="0"/>
              <w:ind w:left="0" w:right="0" w:hanging="0"/>
              <w:jc w:val="center"/>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pPr>
            <w:r>
              <w:rPr/>
              <w:t> </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5" w:type="dxa"/>
            <w:tcBorders/>
            <w:shd w:fill="CCEEFF" w:val="clear"/>
            <w:vAlign w:val="bottom"/>
          </w:tcPr>
          <w:p>
            <w:pPr>
              <w:pStyle w:val="TableContents"/>
              <w:spacing w:before="0" w:after="0"/>
              <w:ind w:left="0" w:right="0" w:hanging="0"/>
              <w:rPr/>
            </w:pPr>
            <w:r>
              <w:rPr/>
              <w:t> </w:t>
            </w:r>
          </w:p>
        </w:tc>
        <w:tc>
          <w:tcPr>
            <w:tcW w:w="2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96"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2"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8"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4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4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pPr>
            <w:r>
              <w:rPr/>
              <w:t> </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pPr>
            <w:r>
              <w:rPr/>
              <w:t> </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45" w:type="dxa"/>
            <w:tcBorders/>
            <w:shd w:fill="CCEEFF" w:val="clear"/>
            <w:vAlign w:val="bottom"/>
          </w:tcPr>
          <w:p>
            <w:pPr>
              <w:pStyle w:val="TableContents"/>
              <w:spacing w:before="0" w:after="0"/>
              <w:ind w:left="0" w:right="0" w:hanging="0"/>
              <w:rPr/>
            </w:pPr>
            <w:r>
              <w:rPr/>
              <w:t> </w:t>
            </w:r>
          </w:p>
        </w:tc>
        <w:tc>
          <w:tcPr>
            <w:tcW w:w="13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CCEEFF" w:val="clear"/>
            <w:vAlign w:val="bottom"/>
          </w:tcPr>
          <w:p>
            <w:pPr>
              <w:pStyle w:val="TableContents"/>
              <w:spacing w:before="0" w:after="0"/>
              <w:ind w:left="0" w:right="0" w:hanging="0"/>
              <w:rPr/>
            </w:pPr>
            <w:r>
              <w:rPr/>
              <w:t> </w:t>
            </w:r>
          </w:p>
        </w:tc>
        <w:tc>
          <w:tcPr>
            <w:tcW w:w="11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2" w:type="dxa"/>
            <w:tcBorders/>
            <w:shd w:fill="CCEEFF" w:val="clear"/>
            <w:vAlign w:val="bottom"/>
          </w:tcPr>
          <w:p>
            <w:pPr>
              <w:pStyle w:val="TableContents"/>
              <w:spacing w:before="0" w:after="0"/>
              <w:ind w:left="0" w:right="0" w:hanging="0"/>
              <w:rPr/>
            </w:pPr>
            <w:r>
              <w:rPr/>
              <w:t> </w:t>
            </w:r>
          </w:p>
        </w:tc>
        <w:tc>
          <w:tcPr>
            <w:tcW w:w="13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CCEEFF" w:val="clear"/>
            <w:vAlign w:val="bottom"/>
          </w:tcPr>
          <w:p>
            <w:pPr>
              <w:pStyle w:val="TableContents"/>
              <w:spacing w:before="0" w:after="0"/>
              <w:ind w:left="0" w:right="0" w:hanging="0"/>
              <w:rPr/>
            </w:pPr>
            <w:r>
              <w:rPr/>
              <w:t> </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8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61" w:type="dxa"/>
            <w:tcBorders/>
            <w:shd w:fill="CCEEFF" w:val="clear"/>
            <w:vAlign w:val="bottom"/>
          </w:tcPr>
          <w:p>
            <w:pPr>
              <w:pStyle w:val="TableContents"/>
              <w:spacing w:before="0" w:after="0"/>
              <w:ind w:left="0" w:right="0" w:hanging="0"/>
              <w:rPr/>
            </w:pPr>
            <w:r>
              <w:rPr/>
              <w:t> </w:t>
            </w:r>
          </w:p>
        </w:tc>
      </w:tr>
      <w:tr>
        <w:trPr/>
        <w:tc>
          <w:tcPr>
            <w:tcW w:w="19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0"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461" w:type="dxa"/>
            <w:tcBorders/>
            <w:shd w:fill="auto" w:val="clear"/>
            <w:vAlign w:val="bottom"/>
          </w:tcPr>
          <w:p>
            <w:pPr>
              <w:pStyle w:val="TableContents"/>
              <w:spacing w:before="0" w:after="0"/>
              <w:ind w:left="0" w:right="0" w:hanging="0"/>
              <w:rPr/>
            </w:pPr>
            <w:r>
              <w:rPr/>
              <w:t> </w:t>
            </w:r>
          </w:p>
        </w:tc>
      </w:tr>
      <w:tr>
        <w:trPr/>
        <w:tc>
          <w:tcPr>
            <w:tcW w:w="19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45" w:type="dxa"/>
            <w:tcBorders/>
            <w:shd w:fill="CCEEFF" w:val="clear"/>
            <w:vAlign w:val="bottom"/>
          </w:tcPr>
          <w:p>
            <w:pPr>
              <w:pStyle w:val="TableContents"/>
              <w:spacing w:before="0" w:after="0"/>
              <w:ind w:left="0" w:right="0" w:hanging="0"/>
              <w:rPr/>
            </w:pPr>
            <w:r>
              <w:rPr/>
              <w:t> </w:t>
            </w:r>
          </w:p>
        </w:tc>
        <w:tc>
          <w:tcPr>
            <w:tcW w:w="29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w:t>
            </w:r>
          </w:p>
        </w:tc>
        <w:tc>
          <w:tcPr>
            <w:tcW w:w="1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159</w:t>
            </w:r>
          </w:p>
        </w:tc>
        <w:tc>
          <w:tcPr>
            <w:tcW w:w="19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153</w:t>
            </w:r>
          </w:p>
        </w:tc>
        <w:tc>
          <w:tcPr>
            <w:tcW w:w="162"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(240</w:t>
            </w:r>
          </w:p>
        </w:tc>
        <w:tc>
          <w:tcPr>
            <w:tcW w:w="18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44</w:t>
            </w:r>
          </w:p>
        </w:tc>
        <w:tc>
          <w:tcPr>
            <w:tcW w:w="188"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(196</w:t>
            </w:r>
          </w:p>
        </w:tc>
        <w:tc>
          <w:tcPr>
            <w:tcW w:w="46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represent derivative gains and losses that were reclassified from AOCI to earnings during the period to coincide with the earnings impact of the respective hedged transaction.</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include gains of approximately $1 million for the three months ended June 30, 2012 and losses of approximately $2 million and $8 million for the six months ended June 30, 2012 and 2011, respectively. These amounts represent the ineffective portion of our commodity and interest rate derivatives that are designated as cash flow hedges.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Interest expense includes net gains of approximately $1 million for the three months ended June 30, 2012 and approximately $2 million and $1 million for the six months ended June 30, 2012 and 2011, respectively, associated with outstanding interest rate swaps, which are designated as a fair value hedge.</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realized and unrealized gains or losses for derivatives not designated for hedge accounting during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5" w:name="PB_24_005945_7056"/>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June 30,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37"/>
        <w:gridCol w:w="195"/>
        <w:gridCol w:w="2096"/>
        <w:gridCol w:w="195"/>
        <w:gridCol w:w="179"/>
        <w:gridCol w:w="993"/>
        <w:gridCol w:w="195"/>
        <w:gridCol w:w="2096"/>
        <w:gridCol w:w="195"/>
        <w:gridCol w:w="166"/>
        <w:gridCol w:w="924"/>
        <w:gridCol w:w="134"/>
      </w:tblGrid>
      <w:tr>
        <w:trPr/>
        <w:tc>
          <w:tcPr>
            <w:tcW w:w="283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346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5" w:type="dxa"/>
            <w:tcBorders/>
            <w:shd w:fill="auto" w:val="clear"/>
            <w:vAlign w:val="bottom"/>
          </w:tcPr>
          <w:p>
            <w:pPr>
              <w:pStyle w:val="TableContents"/>
              <w:spacing w:before="0" w:after="0"/>
              <w:ind w:left="0" w:right="0" w:hanging="0"/>
              <w:jc w:val="center"/>
              <w:rPr/>
            </w:pPr>
            <w:r>
              <w:rPr/>
              <w:t> </w:t>
            </w:r>
          </w:p>
        </w:tc>
        <w:tc>
          <w:tcPr>
            <w:tcW w:w="338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4" w:type="dxa"/>
            <w:tcBorders/>
            <w:shd w:fill="auto" w:val="clear"/>
            <w:vAlign w:val="bottom"/>
          </w:tcPr>
          <w:p>
            <w:pPr>
              <w:pStyle w:val="TableContents"/>
              <w:spacing w:before="0" w:after="0"/>
              <w:ind w:left="0" w:right="0" w:hanging="0"/>
              <w:jc w:val="center"/>
              <w:rPr/>
            </w:pPr>
            <w:r>
              <w:rPr/>
              <w:t> </w:t>
            </w:r>
          </w:p>
        </w:tc>
      </w:tr>
      <w:tr>
        <w:trPr/>
        <w:tc>
          <w:tcPr>
            <w:tcW w:w="283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09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7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09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83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09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5" w:type="dxa"/>
            <w:tcBorders/>
            <w:shd w:fill="auto" w:val="clear"/>
            <w:vAlign w:val="bottom"/>
          </w:tcPr>
          <w:p>
            <w:pPr>
              <w:pStyle w:val="TableContents"/>
              <w:spacing w:before="0" w:after="0"/>
              <w:ind w:left="0" w:right="0" w:hanging="0"/>
              <w:jc w:val="center"/>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5" w:type="dxa"/>
            <w:tcBorders/>
            <w:shd w:fill="auto" w:val="clear"/>
            <w:vAlign w:val="bottom"/>
          </w:tcPr>
          <w:p>
            <w:pPr>
              <w:pStyle w:val="TableContents"/>
              <w:spacing w:before="0" w:after="0"/>
              <w:ind w:left="0" w:right="0" w:hanging="0"/>
              <w:jc w:val="center"/>
              <w:rPr/>
            </w:pPr>
            <w:r>
              <w:rPr/>
              <w:t> </w:t>
            </w:r>
          </w:p>
        </w:tc>
        <w:tc>
          <w:tcPr>
            <w:tcW w:w="209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5" w:type="dxa"/>
            <w:tcBorders/>
            <w:shd w:fill="auto" w:val="clear"/>
            <w:vAlign w:val="bottom"/>
          </w:tcPr>
          <w:p>
            <w:pPr>
              <w:pStyle w:val="TableContents"/>
              <w:spacing w:before="0" w:after="0"/>
              <w:ind w:left="0" w:right="0" w:hanging="0"/>
              <w:jc w:val="center"/>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4" w:type="dxa"/>
            <w:tcBorders/>
            <w:shd w:fill="auto" w:val="clear"/>
            <w:vAlign w:val="bottom"/>
          </w:tcPr>
          <w:p>
            <w:pPr>
              <w:pStyle w:val="TableContents"/>
              <w:spacing w:before="0" w:after="0"/>
              <w:ind w:left="0" w:right="0" w:hanging="0"/>
              <w:jc w:val="center"/>
              <w:rPr/>
            </w:pPr>
            <w:r>
              <w:rPr/>
              <w:t> </w:t>
            </w:r>
          </w:p>
        </w:tc>
      </w:tr>
      <w:tr>
        <w:trPr/>
        <w:tc>
          <w:tcPr>
            <w:tcW w:w="283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8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5" w:type="dxa"/>
            <w:tcBorders/>
            <w:shd w:fill="auto" w:val="clear"/>
            <w:vAlign w:val="bottom"/>
          </w:tcPr>
          <w:p>
            <w:pPr>
              <w:pStyle w:val="TableContents"/>
              <w:spacing w:before="0" w:after="0"/>
              <w:ind w:left="0" w:right="0" w:hanging="0"/>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8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83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8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auto" w:val="clear"/>
            <w:vAlign w:val="bottom"/>
          </w:tcPr>
          <w:p>
            <w:pPr>
              <w:pStyle w:val="TableContents"/>
              <w:spacing w:before="0" w:after="0"/>
              <w:ind w:left="0" w:right="0" w:hanging="0"/>
              <w:rPr/>
            </w:pPr>
            <w:r>
              <w:rPr/>
              <w:t> </w:t>
            </w:r>
          </w:p>
        </w:tc>
        <w:tc>
          <w:tcPr>
            <w:tcW w:w="10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2096" w:type="dxa"/>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09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8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195" w:type="dxa"/>
            <w:tcBorders/>
            <w:shd w:fill="auto" w:val="clear"/>
            <w:vAlign w:val="bottom"/>
          </w:tcPr>
          <w:p>
            <w:pPr>
              <w:pStyle w:val="TableContents"/>
              <w:spacing w:before="0" w:after="0"/>
              <w:ind w:left="0" w:right="0" w:hanging="0"/>
              <w:rPr/>
            </w:pPr>
            <w:r>
              <w:rPr/>
              <w:t> </w:t>
            </w:r>
          </w:p>
        </w:tc>
        <w:tc>
          <w:tcPr>
            <w:tcW w:w="2096"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December 31, 2011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64"/>
        <w:gridCol w:w="197"/>
        <w:gridCol w:w="2113"/>
        <w:gridCol w:w="197"/>
        <w:gridCol w:w="179"/>
        <w:gridCol w:w="1000"/>
        <w:gridCol w:w="197"/>
        <w:gridCol w:w="2030"/>
        <w:gridCol w:w="197"/>
        <w:gridCol w:w="166"/>
        <w:gridCol w:w="930"/>
        <w:gridCol w:w="135"/>
      </w:tblGrid>
      <w:tr>
        <w:trPr/>
        <w:tc>
          <w:tcPr>
            <w:tcW w:w="28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348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7" w:type="dxa"/>
            <w:tcBorders/>
            <w:shd w:fill="auto" w:val="clear"/>
            <w:vAlign w:val="bottom"/>
          </w:tcPr>
          <w:p>
            <w:pPr>
              <w:pStyle w:val="TableContents"/>
              <w:spacing w:before="0" w:after="0"/>
              <w:ind w:left="0" w:right="0" w:hanging="0"/>
              <w:jc w:val="center"/>
              <w:rPr/>
            </w:pPr>
            <w:r>
              <w:rPr/>
              <w:t> </w:t>
            </w:r>
          </w:p>
        </w:tc>
        <w:tc>
          <w:tcPr>
            <w:tcW w:w="332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5" w:type="dxa"/>
            <w:tcBorders/>
            <w:shd w:fill="auto" w:val="clear"/>
            <w:vAlign w:val="bottom"/>
          </w:tcPr>
          <w:p>
            <w:pPr>
              <w:pStyle w:val="TableContents"/>
              <w:spacing w:before="0" w:after="0"/>
              <w:ind w:left="0" w:right="0" w:hanging="0"/>
              <w:jc w:val="center"/>
              <w:rPr/>
            </w:pPr>
            <w:r>
              <w:rPr/>
              <w:t> </w:t>
            </w:r>
          </w:p>
        </w:tc>
      </w:tr>
      <w:tr>
        <w:trPr/>
        <w:tc>
          <w:tcPr>
            <w:tcW w:w="28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shd w:fill="auto" w:val="clear"/>
            <w:vAlign w:val="bottom"/>
          </w:tcPr>
          <w:p>
            <w:pPr>
              <w:pStyle w:val="TableContents"/>
              <w:spacing w:before="0" w:after="0"/>
              <w:ind w:left="0" w:right="0" w:hanging="0"/>
              <w:jc w:val="center"/>
              <w:rPr/>
            </w:pPr>
            <w:r>
              <w:rPr/>
              <w:t> </w:t>
            </w:r>
          </w:p>
        </w:tc>
        <w:tc>
          <w:tcPr>
            <w:tcW w:w="117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03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shd w:fill="auto" w:val="clear"/>
            <w:vAlign w:val="bottom"/>
          </w:tcPr>
          <w:p>
            <w:pPr>
              <w:pStyle w:val="TableContents"/>
              <w:spacing w:before="0" w:after="0"/>
              <w:ind w:left="0" w:right="0" w:hanging="0"/>
              <w:jc w:val="center"/>
              <w:rPr/>
            </w:pPr>
            <w:r>
              <w:rPr/>
              <w:t> </w:t>
            </w:r>
          </w:p>
        </w:tc>
        <w:tc>
          <w:tcPr>
            <w:tcW w:w="10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5" w:type="dxa"/>
            <w:tcBorders/>
            <w:shd w:fill="auto" w:val="clear"/>
            <w:vAlign w:val="bottom"/>
          </w:tcPr>
          <w:p>
            <w:pPr>
              <w:pStyle w:val="TableContents"/>
              <w:spacing w:before="0" w:after="0"/>
              <w:ind w:left="0" w:right="0" w:hanging="0"/>
              <w:jc w:val="center"/>
              <w:rPr/>
            </w:pPr>
            <w:r>
              <w:rPr/>
              <w:t> </w:t>
            </w:r>
          </w:p>
        </w:tc>
      </w:tr>
      <w:tr>
        <w:trPr/>
        <w:tc>
          <w:tcPr>
            <w:tcW w:w="28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7" w:type="dxa"/>
            <w:tcBorders/>
            <w:shd w:fill="auto" w:val="clear"/>
            <w:vAlign w:val="bottom"/>
          </w:tcPr>
          <w:p>
            <w:pPr>
              <w:pStyle w:val="TableContents"/>
              <w:spacing w:before="0" w:after="0"/>
              <w:ind w:left="0" w:right="0" w:hanging="0"/>
              <w:jc w:val="center"/>
              <w:rPr/>
            </w:pPr>
            <w:r>
              <w:rPr/>
              <w:t> </w:t>
            </w:r>
          </w:p>
        </w:tc>
        <w:tc>
          <w:tcPr>
            <w:tcW w:w="203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0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5" w:type="dxa"/>
            <w:tcBorders/>
            <w:shd w:fill="auto" w:val="clear"/>
            <w:vAlign w:val="bottom"/>
          </w:tcPr>
          <w:p>
            <w:pPr>
              <w:pStyle w:val="TableContents"/>
              <w:spacing w:before="0" w:after="0"/>
              <w:ind w:left="0" w:right="0" w:hanging="0"/>
              <w:jc w:val="center"/>
              <w:rPr/>
            </w:pPr>
            <w:r>
              <w:rPr/>
              <w:t> </w:t>
            </w:r>
          </w:p>
        </w:tc>
      </w:tr>
      <w:tr>
        <w:trPr/>
        <w:tc>
          <w:tcPr>
            <w:tcW w:w="28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8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auto" w:val="clear"/>
            <w:vAlign w:val="bottom"/>
          </w:tcPr>
          <w:p>
            <w:pPr>
              <w:pStyle w:val="TableContents"/>
              <w:spacing w:before="0" w:after="0"/>
              <w:ind w:left="0" w:right="0" w:hanging="0"/>
              <w:rPr/>
            </w:pPr>
            <w:r>
              <w:rPr/>
              <w:t> </w:t>
            </w:r>
          </w:p>
        </w:tc>
        <w:tc>
          <w:tcPr>
            <w:tcW w:w="10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28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8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8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96"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28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0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030"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96"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8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97" w:type="dxa"/>
            <w:tcBorders/>
            <w:shd w:fill="auto" w:val="clear"/>
            <w:vAlign w:val="bottom"/>
          </w:tcPr>
          <w:p>
            <w:pPr>
              <w:pStyle w:val="TableContents"/>
              <w:spacing w:before="0" w:after="0"/>
              <w:ind w:left="0" w:right="0" w:hanging="0"/>
              <w:rPr/>
            </w:pPr>
            <w:r>
              <w:rPr/>
              <w:t> </w:t>
            </w:r>
          </w:p>
        </w:tc>
        <w:tc>
          <w:tcPr>
            <w:tcW w:w="2030"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6" w:name="PB_25_011250_5335"/>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2012, there was a net loss of approximately $124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June 30, 2012, we expect to reclassify a net gain of approximately $26 million to earnings in the next twelve months.  Of the remaining deferred loss in AOCI, a net gain of approximately $9 million is expected to be reclassified to earnings prior to 2015 with the remaining deferred loss of $159 million being reclassified to earnings through 2045.  These amounts are predominantly based on market prices at the current period end, thus actual amounts to be reclassified will differ and could vary materially as a result of changes in market conditions.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six months ended June 30, 2012, all of our hedged transactions were probable of occurring.  During the three and six months ended June 30, 2011, we reclassified a gain of approximately $1 million from AOCI to facilities segment revenues as a result of anticipated hedged transactions that are no longer considered to be probable of occurring.  The net deferred gain/(loss), including tax effects, recognized in AOCI for derivatives during the three and six months ended June 30, 2012 and 2011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80"/>
        <w:gridCol w:w="196"/>
        <w:gridCol w:w="222"/>
        <w:gridCol w:w="1243"/>
        <w:gridCol w:w="261"/>
        <w:gridCol w:w="222"/>
        <w:gridCol w:w="1048"/>
        <w:gridCol w:w="196"/>
        <w:gridCol w:w="213"/>
        <w:gridCol w:w="1107"/>
        <w:gridCol w:w="255"/>
        <w:gridCol w:w="212"/>
        <w:gridCol w:w="1109"/>
        <w:gridCol w:w="141"/>
      </w:tblGrid>
      <w:tr>
        <w:trPr/>
        <w:tc>
          <w:tcPr>
            <w:tcW w:w="3780"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29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 Ended</w:t>
            </w:r>
          </w:p>
        </w:tc>
        <w:tc>
          <w:tcPr>
            <w:tcW w:w="196" w:type="dxa"/>
            <w:tcBorders/>
            <w:shd w:fill="auto" w:val="clear"/>
            <w:vAlign w:val="bottom"/>
          </w:tcPr>
          <w:p>
            <w:pPr>
              <w:pStyle w:val="TableContents"/>
              <w:spacing w:before="0" w:after="0"/>
              <w:ind w:left="0" w:right="0" w:hanging="0"/>
              <w:jc w:val="center"/>
              <w:rPr/>
            </w:pPr>
            <w:r>
              <w:rPr/>
              <w:t> </w:t>
            </w:r>
          </w:p>
        </w:tc>
        <w:tc>
          <w:tcPr>
            <w:tcW w:w="28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Six Months Ended</w:t>
            </w:r>
          </w:p>
        </w:tc>
        <w:tc>
          <w:tcPr>
            <w:tcW w:w="141" w:type="dxa"/>
            <w:tcBorders/>
            <w:shd w:fill="auto" w:val="clear"/>
            <w:vAlign w:val="bottom"/>
          </w:tcPr>
          <w:p>
            <w:pPr>
              <w:pStyle w:val="TableContents"/>
              <w:spacing w:before="0" w:after="0"/>
              <w:ind w:left="0" w:right="0" w:hanging="0"/>
              <w:jc w:val="center"/>
              <w:rPr/>
            </w:pPr>
            <w:r>
              <w:rPr/>
              <w:t> </w:t>
            </w:r>
          </w:p>
        </w:tc>
      </w:tr>
      <w:tr>
        <w:trPr/>
        <w:tc>
          <w:tcPr>
            <w:tcW w:w="3780"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29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96" w:type="dxa"/>
            <w:tcBorders/>
            <w:shd w:fill="auto" w:val="clear"/>
            <w:vAlign w:val="bottom"/>
          </w:tcPr>
          <w:p>
            <w:pPr>
              <w:pStyle w:val="TableContents"/>
              <w:spacing w:before="0" w:after="0"/>
              <w:ind w:left="0" w:right="0" w:hanging="0"/>
              <w:jc w:val="center"/>
              <w:rPr/>
            </w:pPr>
            <w:r>
              <w:rPr/>
              <w:t> </w:t>
            </w:r>
          </w:p>
        </w:tc>
        <w:tc>
          <w:tcPr>
            <w:tcW w:w="28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41" w:type="dxa"/>
            <w:tcBorders/>
            <w:shd w:fill="auto" w:val="clear"/>
            <w:vAlign w:val="bottom"/>
          </w:tcPr>
          <w:p>
            <w:pPr>
              <w:pStyle w:val="TableContents"/>
              <w:spacing w:before="0" w:after="0"/>
              <w:ind w:left="0" w:right="0" w:hanging="0"/>
              <w:jc w:val="center"/>
              <w:rPr/>
            </w:pPr>
            <w:r>
              <w:rPr/>
              <w:t> </w:t>
            </w:r>
          </w:p>
        </w:tc>
      </w:tr>
      <w:tr>
        <w:trPr/>
        <w:tc>
          <w:tcPr>
            <w:tcW w:w="3780"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61" w:type="dxa"/>
            <w:tcBorders/>
            <w:shd w:fill="auto" w:val="clear"/>
            <w:vAlign w:val="bottom"/>
          </w:tcPr>
          <w:p>
            <w:pPr>
              <w:pStyle w:val="TableContents"/>
              <w:spacing w:before="0" w:after="0"/>
              <w:ind w:left="0" w:right="0" w:hanging="0"/>
              <w:jc w:val="center"/>
              <w:rPr/>
            </w:pPr>
            <w:r>
              <w:rPr/>
              <w:t> </w:t>
            </w:r>
          </w:p>
        </w:tc>
        <w:tc>
          <w:tcPr>
            <w:tcW w:w="12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6" w:type="dxa"/>
            <w:tcBorders/>
            <w:shd w:fill="auto" w:val="clear"/>
            <w:vAlign w:val="bottom"/>
          </w:tcPr>
          <w:p>
            <w:pPr>
              <w:pStyle w:val="TableContents"/>
              <w:spacing w:before="0" w:after="0"/>
              <w:ind w:left="0" w:right="0" w:hanging="0"/>
              <w:jc w:val="center"/>
              <w:rPr/>
            </w:pPr>
            <w:r>
              <w:rPr/>
              <w:t> </w:t>
            </w:r>
          </w:p>
        </w:tc>
        <w:tc>
          <w:tcPr>
            <w:tcW w:w="13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5" w:type="dxa"/>
            <w:tcBorders/>
            <w:shd w:fill="auto" w:val="clear"/>
            <w:vAlign w:val="bottom"/>
          </w:tcPr>
          <w:p>
            <w:pPr>
              <w:pStyle w:val="TableContents"/>
              <w:spacing w:before="0" w:after="0"/>
              <w:ind w:left="0" w:right="0" w:hanging="0"/>
              <w:jc w:val="center"/>
              <w:rPr/>
            </w:pPr>
            <w:r>
              <w:rPr/>
              <w:t> </w:t>
            </w:r>
          </w:p>
        </w:tc>
        <w:tc>
          <w:tcPr>
            <w:tcW w:w="132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41" w:type="dxa"/>
            <w:tcBorders/>
            <w:shd w:fill="auto" w:val="clear"/>
            <w:vAlign w:val="bottom"/>
          </w:tcPr>
          <w:p>
            <w:pPr>
              <w:pStyle w:val="TableContents"/>
              <w:spacing w:before="0" w:after="0"/>
              <w:ind w:left="0" w:right="0" w:hanging="0"/>
              <w:jc w:val="center"/>
              <w:rPr/>
            </w:pPr>
            <w:r>
              <w:rPr/>
              <w:t> </w:t>
            </w:r>
          </w:p>
        </w:tc>
      </w:tr>
      <w:tr>
        <w:trPr/>
        <w:tc>
          <w:tcPr>
            <w:tcW w:w="37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 net</w:t>
            </w:r>
          </w:p>
        </w:tc>
        <w:tc>
          <w:tcPr>
            <w:tcW w:w="196" w:type="dxa"/>
            <w:tcBorders/>
            <w:shd w:fill="CCEEFF" w:val="cle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96"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 net</w:t>
            </w:r>
          </w:p>
        </w:tc>
        <w:tc>
          <w:tcPr>
            <w:tcW w:w="196" w:type="dxa"/>
            <w:tcBorders/>
            <w:shd w:fill="auto" w:val="clear"/>
            <w:vAlign w:val="bottom"/>
          </w:tcPr>
          <w:p>
            <w:pPr>
              <w:pStyle w:val="TableContents"/>
              <w:spacing w:before="0" w:after="0"/>
              <w:ind w:left="0" w:right="0" w:hanging="0"/>
              <w:rPr/>
            </w:pPr>
            <w:r>
              <w:rPr/>
              <w:t> </w:t>
            </w:r>
          </w:p>
        </w:tc>
        <w:tc>
          <w:tcPr>
            <w:tcW w:w="14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61" w:type="dxa"/>
            <w:tcBorders/>
            <w:shd w:fill="auto" w:val="clear"/>
            <w:vAlign w:val="bottom"/>
          </w:tcPr>
          <w:p>
            <w:pPr>
              <w:pStyle w:val="TableContents"/>
              <w:spacing w:before="0" w:after="0"/>
              <w:ind w:left="0" w:right="0" w:hanging="0"/>
              <w:rPr/>
            </w:pPr>
            <w:r>
              <w:rPr/>
              <w:t> </w:t>
            </w:r>
          </w:p>
        </w:tc>
        <w:tc>
          <w:tcPr>
            <w:tcW w:w="12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3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5"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 net</w:t>
            </w:r>
          </w:p>
        </w:tc>
        <w:tc>
          <w:tcPr>
            <w:tcW w:w="196" w:type="dxa"/>
            <w:tcBorders/>
            <w:shd w:fill="CCEEFF" w:val="clear"/>
            <w:vAlign w:val="bottom"/>
          </w:tcPr>
          <w:p>
            <w:pPr>
              <w:pStyle w:val="TableContents"/>
              <w:spacing w:before="0" w:after="0"/>
              <w:ind w:left="0" w:right="0" w:hanging="0"/>
              <w:rPr/>
            </w:pPr>
            <w:r>
              <w:rPr/>
              <w:t> </w:t>
            </w:r>
          </w:p>
        </w:tc>
        <w:tc>
          <w:tcPr>
            <w:tcW w:w="14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6" w:type="dxa"/>
            <w:tcBorders/>
            <w:shd w:fill="CCEEFF" w:val="clear"/>
            <w:vAlign w:val="bottom"/>
          </w:tcPr>
          <w:p>
            <w:pPr>
              <w:pStyle w:val="TableContents"/>
              <w:spacing w:before="0" w:after="0"/>
              <w:ind w:left="0" w:right="0" w:hanging="0"/>
              <w:rPr/>
            </w:pPr>
            <w:r>
              <w:rPr/>
              <w:t> </w:t>
            </w:r>
          </w:p>
        </w:tc>
        <w:tc>
          <w:tcPr>
            <w:tcW w:w="13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41" w:type="dxa"/>
            <w:tcBorders/>
            <w:shd w:fill="CCEEFF" w:val="clear"/>
            <w:vAlign w:val="bottom"/>
          </w:tcPr>
          <w:p>
            <w:pPr>
              <w:pStyle w:val="TableContents"/>
              <w:spacing w:before="0" w:after="0"/>
              <w:ind w:left="0" w:right="0" w:hanging="0"/>
              <w:rPr/>
            </w:pPr>
            <w:r>
              <w:rPr/>
              <w:t> </w:t>
            </w:r>
          </w:p>
        </w:tc>
      </w:tr>
      <w:tr>
        <w:trPr/>
        <w:tc>
          <w:tcPr>
            <w:tcW w:w="37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96"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96"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2012, we had a net broker payable of approximately $137 million (consisting of initial margin of $59 million reduced by $196 million of variation margin that had been returned to us).  As of December 31, 2011, we had a net broker payable of approximately $7 million (consisting of initial margin of $52 million reduced by $59 million of variation margin that had been returned to us).  At June 30, 2012 and December 31, 2011,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June 30, 2012 and December 31, 2011.  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98"/>
        <w:gridCol w:w="168"/>
        <w:gridCol w:w="161"/>
        <w:gridCol w:w="572"/>
        <w:gridCol w:w="172"/>
        <w:gridCol w:w="145"/>
        <w:gridCol w:w="588"/>
        <w:gridCol w:w="186"/>
        <w:gridCol w:w="161"/>
        <w:gridCol w:w="572"/>
        <w:gridCol w:w="172"/>
        <w:gridCol w:w="140"/>
        <w:gridCol w:w="598"/>
        <w:gridCol w:w="179"/>
        <w:gridCol w:w="161"/>
        <w:gridCol w:w="572"/>
        <w:gridCol w:w="177"/>
        <w:gridCol w:w="149"/>
        <w:gridCol w:w="661"/>
        <w:gridCol w:w="192"/>
        <w:gridCol w:w="161"/>
        <w:gridCol w:w="572"/>
        <w:gridCol w:w="176"/>
        <w:gridCol w:w="149"/>
        <w:gridCol w:w="596"/>
        <w:gridCol w:w="127"/>
      </w:tblGrid>
      <w:tr>
        <w:trPr/>
        <w:tc>
          <w:tcPr>
            <w:tcW w:w="269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467"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June 30, 2012</w:t>
              <w:br/>
              <w:t>(in millions)</w:t>
            </w:r>
          </w:p>
        </w:tc>
        <w:tc>
          <w:tcPr>
            <w:tcW w:w="179" w:type="dxa"/>
            <w:tcBorders/>
            <w:shd w:fill="auto" w:val="clear"/>
            <w:vAlign w:val="bottom"/>
          </w:tcPr>
          <w:p>
            <w:pPr>
              <w:pStyle w:val="TableContents"/>
              <w:spacing w:before="0" w:after="0"/>
              <w:ind w:left="0" w:right="0" w:hanging="0"/>
              <w:jc w:val="center"/>
              <w:rPr/>
            </w:pPr>
            <w:r>
              <w:rPr/>
              <w:t> </w:t>
            </w:r>
          </w:p>
        </w:tc>
        <w:tc>
          <w:tcPr>
            <w:tcW w:w="356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2011</w:t>
              <w:br/>
              <w:t>(in millions)</w:t>
            </w:r>
          </w:p>
        </w:tc>
        <w:tc>
          <w:tcPr>
            <w:tcW w:w="127" w:type="dxa"/>
            <w:tcBorders/>
            <w:shd w:fill="auto" w:val="clear"/>
            <w:vAlign w:val="bottom"/>
          </w:tcPr>
          <w:p>
            <w:pPr>
              <w:pStyle w:val="TableContents"/>
              <w:spacing w:before="0" w:after="0"/>
              <w:ind w:left="0" w:right="0" w:hanging="0"/>
              <w:jc w:val="center"/>
              <w:rPr/>
            </w:pPr>
            <w:r>
              <w:rPr/>
              <w:t> </w:t>
            </w:r>
          </w:p>
        </w:tc>
      </w:tr>
      <w:tr>
        <w:trPr/>
        <w:tc>
          <w:tcPr>
            <w:tcW w:w="2698"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168" w:type="dxa"/>
            <w:tcBorders/>
            <w:shd w:fill="auto" w:val="clear"/>
            <w:vAlign w:val="bottom"/>
          </w:tcPr>
          <w:p>
            <w:pPr>
              <w:pStyle w:val="TableContents"/>
              <w:spacing w:before="0" w:after="0"/>
              <w:ind w:left="0" w:right="0" w:hanging="0"/>
              <w:jc w:val="center"/>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72" w:type="dxa"/>
            <w:tcBorders/>
            <w:shd w:fill="auto" w:val="clear"/>
            <w:vAlign w:val="bottom"/>
          </w:tcPr>
          <w:p>
            <w:pPr>
              <w:pStyle w:val="TableContents"/>
              <w:spacing w:before="0" w:after="0"/>
              <w:ind w:left="0" w:right="0" w:hanging="0"/>
              <w:jc w:val="center"/>
              <w:rPr/>
            </w:pPr>
            <w:r>
              <w:rPr/>
              <w:t> </w:t>
            </w:r>
          </w:p>
        </w:tc>
        <w:tc>
          <w:tcPr>
            <w:tcW w:w="7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6" w:type="dxa"/>
            <w:tcBorders/>
            <w:shd w:fill="auto" w:val="clear"/>
            <w:vAlign w:val="bottom"/>
          </w:tcPr>
          <w:p>
            <w:pPr>
              <w:pStyle w:val="TableContents"/>
              <w:spacing w:before="0" w:after="0"/>
              <w:ind w:left="0" w:right="0" w:hanging="0"/>
              <w:jc w:val="center"/>
              <w:rPr/>
            </w:pPr>
            <w:r>
              <w:rPr/>
              <w:t> </w:t>
            </w:r>
          </w:p>
        </w:tc>
        <w:tc>
          <w:tcPr>
            <w:tcW w:w="7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2" w:type="dxa"/>
            <w:tcBorders/>
            <w:shd w:fill="auto" w:val="clear"/>
            <w:vAlign w:val="bottom"/>
          </w:tcPr>
          <w:p>
            <w:pPr>
              <w:pStyle w:val="TableContents"/>
              <w:spacing w:before="0" w:after="0"/>
              <w:ind w:left="0" w:right="0" w:hanging="0"/>
              <w:jc w:val="center"/>
              <w:rPr/>
            </w:pPr>
            <w:r>
              <w:rPr/>
              <w:t> </w:t>
            </w:r>
          </w:p>
        </w:tc>
        <w:tc>
          <w:tcPr>
            <w:tcW w:w="7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9" w:type="dxa"/>
            <w:tcBorders/>
            <w:shd w:fill="auto" w:val="clear"/>
            <w:vAlign w:val="bottom"/>
          </w:tcPr>
          <w:p>
            <w:pPr>
              <w:pStyle w:val="TableContents"/>
              <w:spacing w:before="0" w:after="0"/>
              <w:ind w:left="0" w:right="0" w:hanging="0"/>
              <w:jc w:val="center"/>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77" w:type="dxa"/>
            <w:tcBorders/>
            <w:shd w:fill="auto" w:val="clear"/>
            <w:vAlign w:val="bottom"/>
          </w:tcPr>
          <w:p>
            <w:pPr>
              <w:pStyle w:val="TableContents"/>
              <w:spacing w:before="0" w:after="0"/>
              <w:ind w:left="0" w:right="0" w:hanging="0"/>
              <w:jc w:val="center"/>
              <w:rPr/>
            </w:pPr>
            <w:r>
              <w:rPr/>
              <w:t> </w:t>
            </w:r>
          </w:p>
        </w:tc>
        <w:tc>
          <w:tcPr>
            <w:tcW w:w="8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92" w:type="dxa"/>
            <w:tcBorders/>
            <w:shd w:fill="auto" w:val="clear"/>
            <w:vAlign w:val="bottom"/>
          </w:tcPr>
          <w:p>
            <w:pPr>
              <w:pStyle w:val="TableContents"/>
              <w:spacing w:before="0" w:after="0"/>
              <w:ind w:left="0" w:right="0" w:hanging="0"/>
              <w:jc w:val="center"/>
              <w:rPr/>
            </w:pPr>
            <w:r>
              <w:rPr/>
              <w:t> </w:t>
            </w:r>
          </w:p>
        </w:tc>
        <w:tc>
          <w:tcPr>
            <w:tcW w:w="7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6" w:type="dxa"/>
            <w:tcBorders/>
            <w:shd w:fill="auto" w:val="clear"/>
            <w:vAlign w:val="bottom"/>
          </w:tcPr>
          <w:p>
            <w:pPr>
              <w:pStyle w:val="TableContents"/>
              <w:spacing w:before="0" w:after="0"/>
              <w:ind w:left="0" w:right="0" w:hanging="0"/>
              <w:jc w:val="center"/>
              <w:rPr/>
            </w:pPr>
            <w:r>
              <w:rPr/>
              <w:t> </w:t>
            </w:r>
          </w:p>
        </w:tc>
        <w:tc>
          <w:tcPr>
            <w:tcW w:w="7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26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68"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72"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86"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7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79"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77"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6"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27" w:type="dxa"/>
            <w:tcBorders/>
            <w:shd w:fill="CCEEFF" w:val="clear"/>
            <w:vAlign w:val="bottom"/>
          </w:tcPr>
          <w:p>
            <w:pPr>
              <w:pStyle w:val="TableContents"/>
              <w:spacing w:before="0" w:after="0"/>
              <w:ind w:left="0" w:right="0" w:hanging="0"/>
              <w:rPr/>
            </w:pPr>
            <w:r>
              <w:rPr/>
              <w:t> </w:t>
            </w:r>
          </w:p>
        </w:tc>
      </w:tr>
      <w:tr>
        <w:trPr/>
        <w:tc>
          <w:tcPr>
            <w:tcW w:w="26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68"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auto" w:val="clear"/>
            <w:vAlign w:val="bottom"/>
          </w:tcPr>
          <w:p>
            <w:pPr>
              <w:pStyle w:val="TableContents"/>
              <w:spacing w:before="0" w:after="0"/>
              <w:ind w:left="0" w:right="0" w:hanging="0"/>
              <w:rPr/>
            </w:pPr>
            <w:r>
              <w:rPr/>
              <w:t> </w:t>
            </w:r>
          </w:p>
        </w:tc>
        <w:tc>
          <w:tcPr>
            <w:tcW w:w="7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68"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7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pPr>
            <w:r>
              <w:rPr/>
              <w:t> </w:t>
            </w:r>
          </w:p>
        </w:tc>
      </w:tr>
      <w:tr>
        <w:trPr/>
        <w:tc>
          <w:tcPr>
            <w:tcW w:w="26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68"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72"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72"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79"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77"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6"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7" w:name="PB_26_011718_5796"/>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Our credit adjustment methodology uses market observable inputs and requires judgment.  There were no changes to any of our valuation techniques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1 of the fair value hierarchy includes exchange-traded commodity derivatives such as futures, options and swaps.  The fair value of exchange-traded commodity derivatives is based on unadjusted quoted prices in active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Asset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45"/>
        <w:gridCol w:w="207"/>
        <w:gridCol w:w="198"/>
        <w:gridCol w:w="895"/>
        <w:gridCol w:w="253"/>
        <w:gridCol w:w="198"/>
        <w:gridCol w:w="896"/>
        <w:gridCol w:w="218"/>
        <w:gridCol w:w="177"/>
        <w:gridCol w:w="856"/>
        <w:gridCol w:w="238"/>
        <w:gridCol w:w="176"/>
        <w:gridCol w:w="907"/>
        <w:gridCol w:w="141"/>
      </w:tblGrid>
      <w:tr>
        <w:trPr/>
        <w:tc>
          <w:tcPr>
            <w:tcW w:w="484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44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35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41" w:type="dxa"/>
            <w:tcBorders/>
            <w:shd w:fill="auto" w:val="clear"/>
            <w:vAlign w:val="bottom"/>
          </w:tcPr>
          <w:p>
            <w:pPr>
              <w:pStyle w:val="TableContents"/>
              <w:spacing w:before="0" w:after="0"/>
              <w:ind w:left="0" w:right="0" w:hanging="0"/>
              <w:jc w:val="center"/>
              <w:rPr/>
            </w:pPr>
            <w:r>
              <w:rPr/>
              <w:t> </w:t>
            </w:r>
          </w:p>
        </w:tc>
      </w:tr>
      <w:tr>
        <w:trPr/>
        <w:tc>
          <w:tcPr>
            <w:tcW w:w="484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44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235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41" w:type="dxa"/>
            <w:tcBorders/>
            <w:shd w:fill="auto" w:val="clear"/>
            <w:vAlign w:val="bottom"/>
          </w:tcPr>
          <w:p>
            <w:pPr>
              <w:pStyle w:val="TableContents"/>
              <w:spacing w:before="0" w:after="0"/>
              <w:ind w:left="0" w:right="0" w:hanging="0"/>
              <w:jc w:val="center"/>
              <w:rPr/>
            </w:pPr>
            <w:r>
              <w:rPr/>
              <w:t> </w:t>
            </w:r>
          </w:p>
        </w:tc>
      </w:tr>
      <w:tr>
        <w:trPr/>
        <w:tc>
          <w:tcPr>
            <w:tcW w:w="484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3" w:type="dxa"/>
            <w:tcBorders/>
            <w:shd w:fill="auto" w:val="clear"/>
            <w:vAlign w:val="bottom"/>
          </w:tcPr>
          <w:p>
            <w:pPr>
              <w:pStyle w:val="TableContents"/>
              <w:spacing w:before="0" w:after="0"/>
              <w:ind w:left="0" w:right="0" w:hanging="0"/>
              <w:jc w:val="center"/>
              <w:rPr/>
            </w:pPr>
            <w:r>
              <w:rPr/>
              <w:t> </w:t>
            </w:r>
          </w:p>
        </w:tc>
        <w:tc>
          <w:tcPr>
            <w:tcW w:w="109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8" w:type="dxa"/>
            <w:tcBorders/>
            <w:shd w:fill="auto" w:val="clear"/>
            <w:vAlign w:val="bottom"/>
          </w:tcPr>
          <w:p>
            <w:pPr>
              <w:pStyle w:val="TableContents"/>
              <w:spacing w:before="0" w:after="0"/>
              <w:ind w:left="0" w:right="0" w:hanging="0"/>
              <w:jc w:val="center"/>
              <w:rPr/>
            </w:pPr>
            <w:r>
              <w:rPr/>
              <w:t> </w:t>
            </w:r>
          </w:p>
        </w:tc>
        <w:tc>
          <w:tcPr>
            <w:tcW w:w="10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41" w:type="dxa"/>
            <w:tcBorders/>
            <w:shd w:fill="auto" w:val="clear"/>
            <w:vAlign w:val="bottom"/>
          </w:tcPr>
          <w:p>
            <w:pPr>
              <w:pStyle w:val="TableContents"/>
              <w:spacing w:before="0" w:after="0"/>
              <w:ind w:left="0" w:right="0" w:hanging="0"/>
              <w:jc w:val="center"/>
              <w:rPr/>
            </w:pPr>
            <w:r>
              <w:rPr/>
              <w:t> </w:t>
            </w:r>
          </w:p>
        </w:tc>
      </w:tr>
      <w:tr>
        <w:trPr/>
        <w:tc>
          <w:tcPr>
            <w:tcW w:w="4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53"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8"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07"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253"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141" w:type="dxa"/>
            <w:tcBorders/>
            <w:shd w:fill="auto" w:val="clear"/>
            <w:vAlign w:val="bottom"/>
          </w:tcPr>
          <w:p>
            <w:pPr>
              <w:pStyle w:val="TableContents"/>
              <w:spacing w:before="0" w:after="0"/>
              <w:ind w:left="0" w:right="0" w:hanging="0"/>
              <w:rPr/>
            </w:pPr>
            <w:r>
              <w:rPr/>
              <w:t> </w:t>
            </w:r>
          </w:p>
        </w:tc>
      </w:tr>
      <w:tr>
        <w:trPr/>
        <w:tc>
          <w:tcPr>
            <w:tcW w:w="4845"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53" w:type="dxa"/>
            <w:tcBorders/>
            <w:shd w:fill="CCEEFF" w:val="clear"/>
            <w:vAlign w:val="bottom"/>
          </w:tcPr>
          <w:p>
            <w:pPr>
              <w:pStyle w:val="TableContents"/>
              <w:spacing w:before="0" w:after="0"/>
              <w:ind w:left="0" w:right="0" w:hanging="0"/>
              <w:rPr/>
            </w:pPr>
            <w:r>
              <w:rPr/>
              <w:t> </w:t>
            </w:r>
          </w:p>
        </w:tc>
        <w:tc>
          <w:tcPr>
            <w:tcW w:w="10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8"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8"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41" w:type="dxa"/>
            <w:tcBorders/>
            <w:shd w:fill="CCEEFF" w:val="clear"/>
            <w:vAlign w:val="bottom"/>
          </w:tcPr>
          <w:p>
            <w:pPr>
              <w:pStyle w:val="TableContents"/>
              <w:spacing w:before="0" w:after="0"/>
              <w:ind w:left="0" w:right="0" w:hanging="0"/>
              <w:rPr/>
            </w:pPr>
            <w:r>
              <w:rPr/>
              <w:t> </w:t>
            </w:r>
          </w:p>
        </w:tc>
      </w:tr>
      <w:tr>
        <w:trPr/>
        <w:tc>
          <w:tcPr>
            <w:tcW w:w="4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07"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3"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8"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07"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41" w:type="dxa"/>
            <w:tcBorders/>
            <w:shd w:fill="CCEEFF" w:val="clear"/>
            <w:vAlign w:val="bottom"/>
          </w:tcPr>
          <w:p>
            <w:pPr>
              <w:pStyle w:val="TableContents"/>
              <w:spacing w:before="0" w:after="0"/>
              <w:ind w:left="0" w:right="0" w:hanging="0"/>
              <w:rPr/>
            </w:pPr>
            <w:r>
              <w:rPr/>
              <w:t> </w:t>
            </w:r>
          </w:p>
        </w:tc>
      </w:tr>
      <w:tr>
        <w:trPr/>
        <w:tc>
          <w:tcPr>
            <w:tcW w:w="4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07"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53"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8"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07"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3" w:type="dxa"/>
            <w:tcBorders/>
            <w:shd w:fill="CCEEFF" w:val="clear"/>
            <w:vAlign w:val="bottom"/>
          </w:tcPr>
          <w:p>
            <w:pPr>
              <w:pStyle w:val="TableContents"/>
              <w:spacing w:before="0" w:after="0"/>
              <w:ind w:left="0" w:right="0" w:hanging="0"/>
              <w:rPr/>
            </w:pPr>
            <w:r>
              <w:rPr/>
              <w:t> </w:t>
            </w:r>
          </w:p>
        </w:tc>
        <w:tc>
          <w:tcPr>
            <w:tcW w:w="10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8" w:type="dxa"/>
            <w:tcBorders/>
            <w:shd w:fill="CCEEFF"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07" w:type="dxa"/>
            <w:tcBorders/>
            <w:shd w:fill="auto" w:val="clear"/>
            <w:vAlign w:val="bottom"/>
          </w:tcPr>
          <w:p>
            <w:pPr>
              <w:pStyle w:val="TableContents"/>
              <w:spacing w:before="0" w:after="0"/>
              <w:ind w:left="0" w:right="0" w:hanging="0"/>
              <w:rPr/>
            </w:pPr>
            <w:r>
              <w:rPr/>
              <w:t> </w:t>
            </w:r>
          </w:p>
        </w:tc>
        <w:tc>
          <w:tcPr>
            <w:tcW w:w="19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53" w:type="dxa"/>
            <w:tcBorders/>
            <w:shd w:fill="auto" w:val="clear"/>
            <w:vAlign w:val="bottom"/>
          </w:tcPr>
          <w:p>
            <w:pPr>
              <w:pStyle w:val="TableContents"/>
              <w:spacing w:before="0" w:after="0"/>
              <w:ind w:left="0" w:right="0" w:hanging="0"/>
              <w:rPr/>
            </w:pPr>
            <w:r>
              <w:rPr/>
              <w:t> </w:t>
            </w:r>
          </w:p>
        </w:tc>
        <w:tc>
          <w:tcPr>
            <w:tcW w:w="19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8" w:type="dxa"/>
            <w:tcBorders/>
            <w:shd w:fill="auto" w:val="clear"/>
            <w:vAlign w:val="bottom"/>
          </w:tcPr>
          <w:p>
            <w:pPr>
              <w:pStyle w:val="TableContents"/>
              <w:spacing w:before="0" w:after="0"/>
              <w:ind w:left="0" w:right="0" w:hanging="0"/>
              <w:rPr/>
            </w:pPr>
            <w:r>
              <w:rPr/>
              <w:t> </w:t>
            </w:r>
          </w:p>
        </w:tc>
        <w:tc>
          <w:tcPr>
            <w:tcW w:w="17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8" w:type="dxa"/>
            <w:tcBorders/>
            <w:shd w:fill="auto" w:val="clear"/>
            <w:vAlign w:val="bottom"/>
          </w:tcPr>
          <w:p>
            <w:pPr>
              <w:pStyle w:val="TableContents"/>
              <w:spacing w:before="0" w:after="0"/>
              <w:ind w:left="0" w:right="0" w:hanging="0"/>
              <w:rPr/>
            </w:pPr>
            <w:r>
              <w:rPr/>
              <w:t> </w:t>
            </w:r>
          </w:p>
        </w:tc>
        <w:tc>
          <w:tcPr>
            <w:tcW w:w="17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1" w:type="dxa"/>
            <w:tcBorders/>
            <w:shd w:fill="auto" w:val="clear"/>
            <w:vAlign w:val="bottom"/>
          </w:tcPr>
          <w:p>
            <w:pPr>
              <w:pStyle w:val="TableContents"/>
              <w:spacing w:before="0" w:after="0"/>
              <w:ind w:left="0" w:right="0" w:hanging="0"/>
              <w:rPr/>
            </w:pPr>
            <w:r>
              <w:rPr/>
              <w:t> </w:t>
            </w:r>
          </w:p>
        </w:tc>
      </w:tr>
      <w:tr>
        <w:trPr/>
        <w:tc>
          <w:tcPr>
            <w:tcW w:w="4845"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253" w:type="dxa"/>
            <w:tcBorders/>
            <w:shd w:fill="CCEEFF" w:val="clear"/>
            <w:vAlign w:val="bottom"/>
          </w:tcPr>
          <w:p>
            <w:pPr>
              <w:pStyle w:val="TableContents"/>
              <w:spacing w:before="0" w:after="0"/>
              <w:ind w:left="0" w:right="0" w:hanging="0"/>
              <w:rPr/>
            </w:pPr>
            <w:r>
              <w:rPr/>
              <w:t> </w:t>
            </w:r>
          </w:p>
        </w:tc>
        <w:tc>
          <w:tcPr>
            <w:tcW w:w="1094"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pPr>
            <w:r>
              <w:rPr/>
              <w:t> </w:t>
            </w:r>
          </w:p>
        </w:tc>
        <w:tc>
          <w:tcPr>
            <w:tcW w:w="141" w:type="dxa"/>
            <w:tcBorders/>
            <w:shd w:fill="CCEEFF" w:val="clear"/>
            <w:vAlign w:val="bottom"/>
          </w:tcPr>
          <w:p>
            <w:pPr>
              <w:pStyle w:val="TableContents"/>
              <w:spacing w:before="0" w:after="0"/>
              <w:ind w:left="0" w:right="0" w:hanging="0"/>
              <w:rPr/>
            </w:pPr>
            <w:r>
              <w:rPr/>
              <w:t> </w:t>
            </w:r>
          </w:p>
        </w:tc>
      </w:tr>
      <w:tr>
        <w:trPr/>
        <w:tc>
          <w:tcPr>
            <w:tcW w:w="4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53"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8"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4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condensed consolidated statements of operations as Supply and Logistics segment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2011, we transferred interest rate and commodity derivatives with an aggregate fair value of $17 million from level 3 to level 2. This transfer resulted from the implementation of additional valuation procedures, using market observable inputs, to validate the broker or dealer price quotations used for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48" w:name="PB_27_011849_2897"/>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12Commitments and Contingencies</w:t>
      </w:r>
      <w:bookmarkStart w:id="49" w:name="Note12commitmentsAndContingencies_025036"/>
      <w:bookmarkEnd w:id="49"/>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Environmental Protection Agency (EPA) or other governmental entities may seek to impose fines, penalties or performance obligations on us (or on a portion of our operations) as a result of any past noncompliance whether such noncompliance initially developed before or after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New Jersey Department of Environmental Protection v. ExxonMobil Corp. et al.</w:t>
      </w:r>
      <w:r>
        <w:rPr>
          <w:rFonts w:ascii="Times New Roman" w:hAnsi="Times New Roman"/>
        </w:rPr>
        <w:t xml:space="preserve"> </w:t>
      </w:r>
      <w:r>
        <w:rPr>
          <w:rFonts w:ascii="Times New Roman" w:hAnsi="Times New Roman"/>
          <w:sz w:val="17"/>
        </w:rPr>
        <w:t>In June 2007, the New Jersey Department of Environmental Protection (NJDEP) brought suit in the Superior Court of New Jersey against GATX Corporation (GATX), ExxonMobil and our subsidiary, Plains Products Terminals LLC (PPT), to recover natural resources damages associated with, and to require remediation of, contamination at our Paulsboro terminal facility.  ExxonMobil and GATX filed third-party demands against PPT, seeking indemnity and contribution.  The natural resources damages were settled with the State of New Jersey.  The Settlement Agreement was approved by the court in September 2011.  PPTs allocated share of this liability was $550,000, which was paid in November 2011.  We remain in dispute with ExxonMobil regarding future remediation responsibility as well as responsibility for prior remediation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As we expand our pipeline assets through acquisitions, we typically improve on (reduce) the releases from such assets (in terms of frequency or volume) as we implement our integrity management procedures, remove selected assets from service and invest capital to upgrade the assets.  However, the inclusion of additional miles of pipe in our operations may result in an increase in the absolute number of releases company-wide compared to prior periods.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June 30, 2012, our estimated undiscounted reserve for environmental liabilities, including the reserve related to our Rangeland Pipeline release discussed further below, totaled approximately $134 million, of which approximately $56 million was classified as short-term and approximately $78 million was classified as long-term.  At December 31, 2011, our reserve for environmental liabilities totaled approximately $74 million, of which approximately $12 million was classified as short-term and approximately $62 million was classified as long-term.  At June 30, 2012 and December 31, 2011, we had recorded receivables totaling approximately $57 million and $47 million, respectively, for amounts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0" w:name="PB_28_011907_3020"/>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Rangeland Pipeline Release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June 7, 2012, we experienced a crude oil release on a section of our Rangeland Pipeline located near Sundre, Alberta, Canada.  The release, the size of which we currently estimate to be less than 1,000 barrels, was into the Red Deer River and was contained downstream in the Gleniffer reservoir. The pipeline, while pressurized, was shut in at the time of the incident and emergency response personnel were mobilized to begin containment, clean-up and remediation procedures in cooperation with the applicable regulatory agencies.  Clean-up and remediation activities of the reservoir were completed by June 30, 2012, and such activities for the surrounding impacted area are expected to be completed during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the aggregate total clean-up and remediation costs, before insurance recoveries, will be approximately $53 million.  This estimate considers our prior experience in environmental investigation and remediation matters, as well as available data from, and in consultation with, our environmental specialists.  Although actual remediation costs may be more than amounts accrued, we believe we have established adequate reserves for all probable and reasonably estimable costs. We have accrued the total estimated costs to operating expense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2012, we had a remaining undiscounted gross environmental remediation liability related to this release of approximately $48 million, substantially all of which is presented as a current liability in Accounts payable and accrued liabilities on our condensed consolidated balance sheet. We maintain insurance coverage, which is subject to certain exclusions and deductibles, to protect us against such environmental liabilities. This coverage is adequate to cover the current estimated total remediation costs, and management believes that this coverage is also adequate to cover any potential remediation costs that may be in excess of amounts currently identified.  As of June 30, 2012, we had a remaining receivable of approximately $42 million for the portion of this liability that we believe is probable of recovery from insurance, net of deductibles. This receivable has been recognized as a current asset in Trade accounts receivable and other receivables, net on our condensed consolidated balance sheet with the offset reducing operating expense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hurricane-or windstorm-related property damage coverage has remained difficult the last few years.  The amount of coverage available has been limited, and costs have increased substantially with the combination of premiums and deductibles.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2011, we elected not to renew our hurricane insurance, and, instead, to self-insure this risk.  This decision does not affect our third-party liability insurance, which still covers hurricane-related liability claims and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1" w:name="PB_29_011918_7748"/>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13Operating Segments</w:t>
      </w:r>
      <w:bookmarkStart w:id="52" w:name="Note13operatingSegments_025052"/>
      <w:bookmarkEnd w:id="52"/>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The following table reflects certain financial data for each segment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58"/>
        <w:gridCol w:w="186"/>
        <w:gridCol w:w="262"/>
        <w:gridCol w:w="1216"/>
        <w:gridCol w:w="186"/>
        <w:gridCol w:w="186"/>
        <w:gridCol w:w="1016"/>
        <w:gridCol w:w="186"/>
        <w:gridCol w:w="235"/>
        <w:gridCol w:w="1627"/>
        <w:gridCol w:w="186"/>
        <w:gridCol w:w="151"/>
        <w:gridCol w:w="1087"/>
        <w:gridCol w:w="123"/>
      </w:tblGrid>
      <w:tr>
        <w:trPr/>
        <w:tc>
          <w:tcPr>
            <w:tcW w:w="3558"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6"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6" w:type="dxa"/>
            <w:tcBorders/>
            <w:shd w:fill="auto" w:val="clear"/>
            <w:vAlign w:val="bottom"/>
          </w:tcPr>
          <w:p>
            <w:pPr>
              <w:pStyle w:val="TableContents"/>
              <w:spacing w:before="0" w:after="0"/>
              <w:ind w:left="0" w:right="0" w:hanging="0"/>
              <w:jc w:val="center"/>
              <w:rPr/>
            </w:pPr>
            <w:r>
              <w:rPr/>
              <w:t> </w:t>
            </w:r>
          </w:p>
        </w:tc>
        <w:tc>
          <w:tcPr>
            <w:tcW w:w="1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86" w:type="dxa"/>
            <w:tcBorders/>
            <w:shd w:fill="auto" w:val="clear"/>
            <w:vAlign w:val="bottom"/>
          </w:tcPr>
          <w:p>
            <w:pPr>
              <w:pStyle w:val="TableContents"/>
              <w:spacing w:before="0" w:after="0"/>
              <w:ind w:left="0" w:right="0" w:hanging="0"/>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3" w:type="dxa"/>
            <w:tcBorders/>
            <w:shd w:fill="auto" w:val="clear"/>
            <w:vAlign w:val="bottom"/>
          </w:tcPr>
          <w:p>
            <w:pPr>
              <w:pStyle w:val="TableContents"/>
              <w:spacing w:before="0" w:after="0"/>
              <w:ind w:left="0" w:right="0" w:hanging="0"/>
              <w:jc w:val="center"/>
              <w:rPr/>
            </w:pPr>
            <w:r>
              <w:rPr/>
              <w:t> </w:t>
            </w:r>
          </w:p>
        </w:tc>
      </w:tr>
      <w:tr>
        <w:trPr/>
        <w:tc>
          <w:tcPr>
            <w:tcW w:w="35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2012</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6"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86"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86"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86"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10,090</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2011</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6"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86"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86"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8,586</w:t>
            </w:r>
          </w:p>
        </w:tc>
        <w:tc>
          <w:tcPr>
            <w:tcW w:w="18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8,859</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8,586</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9,040</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2012</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6"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186"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86"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86"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19,004</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19,520</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2011</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86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6"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86"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186"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16,021</w:t>
            </w:r>
          </w:p>
        </w:tc>
        <w:tc>
          <w:tcPr>
            <w:tcW w:w="18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16,553</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86" w:type="dxa"/>
            <w:tcBorders/>
            <w:shd w:fill="CCEEFF" w:val="clear"/>
            <w:vAlign w:val="bottom"/>
          </w:tcPr>
          <w:p>
            <w:pPr>
              <w:pStyle w:val="TableContents"/>
              <w:spacing w:before="0" w:after="0"/>
              <w:ind w:left="0" w:right="0" w:hanging="0"/>
              <w:rPr/>
            </w:pPr>
            <w:r>
              <w:rPr/>
              <w:t> </w:t>
            </w:r>
          </w:p>
        </w:tc>
        <w:tc>
          <w:tcPr>
            <w:tcW w:w="18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16,022</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16,911</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3" w:type="dxa"/>
            <w:tcBorders/>
            <w:shd w:fill="CCEEFF" w:val="clear"/>
            <w:vAlign w:val="bottom"/>
          </w:tcPr>
          <w:p>
            <w:pPr>
              <w:pStyle w:val="TableContents"/>
              <w:spacing w:before="0" w:after="0"/>
              <w:ind w:left="0" w:right="0" w:hanging="0"/>
              <w:rPr/>
            </w:pPr>
            <w:r>
              <w:rPr/>
              <w:t> </w:t>
            </w:r>
          </w:p>
        </w:tc>
      </w:tr>
      <w:tr>
        <w:trPr/>
        <w:tc>
          <w:tcPr>
            <w:tcW w:w="3558"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23" w:type="dxa"/>
            <w:tcBorders/>
            <w:shd w:fill="auto" w:val="clear"/>
            <w:vAlign w:val="bottom"/>
          </w:tcPr>
          <w:p>
            <w:pPr>
              <w:pStyle w:val="TableContents"/>
              <w:spacing w:before="0" w:after="0"/>
              <w:ind w:left="0" w:right="0" w:hanging="0"/>
              <w:rPr/>
            </w:pPr>
            <w:r>
              <w:rPr/>
              <w:t> </w:t>
            </w:r>
          </w:p>
        </w:tc>
      </w:tr>
      <w:tr>
        <w:trPr/>
        <w:tc>
          <w:tcPr>
            <w:tcW w:w="35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purchases) of approximately $4 million and $7 million for the three months ended June 30, 2012 and 2011, respectively, and approximately $6 million and $12 million for the six months ended June 30, 2012 and 2011,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3" w:name="PB_30_012141_141"/>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712"/>
        <w:gridCol w:w="197"/>
        <w:gridCol w:w="161"/>
        <w:gridCol w:w="1132"/>
        <w:gridCol w:w="224"/>
        <w:gridCol w:w="161"/>
        <w:gridCol w:w="1134"/>
        <w:gridCol w:w="207"/>
        <w:gridCol w:w="152"/>
        <w:gridCol w:w="1108"/>
        <w:gridCol w:w="218"/>
        <w:gridCol w:w="152"/>
        <w:gridCol w:w="1109"/>
        <w:gridCol w:w="129"/>
      </w:tblGrid>
      <w:tr>
        <w:trPr/>
        <w:tc>
          <w:tcPr>
            <w:tcW w:w="371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81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w:t>
            </w:r>
          </w:p>
        </w:tc>
        <w:tc>
          <w:tcPr>
            <w:tcW w:w="207" w:type="dxa"/>
            <w:tcBorders/>
            <w:shd w:fill="auto" w:val="clear"/>
            <w:vAlign w:val="bottom"/>
          </w:tcPr>
          <w:p>
            <w:pPr>
              <w:pStyle w:val="TableContents"/>
              <w:spacing w:before="0" w:after="0"/>
              <w:ind w:left="0" w:right="0" w:hanging="0"/>
              <w:jc w:val="center"/>
              <w:rPr/>
            </w:pPr>
            <w:r>
              <w:rPr/>
              <w:t> </w:t>
            </w:r>
          </w:p>
        </w:tc>
        <w:tc>
          <w:tcPr>
            <w:tcW w:w="27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Six Months</w:t>
            </w:r>
          </w:p>
        </w:tc>
        <w:tc>
          <w:tcPr>
            <w:tcW w:w="129" w:type="dxa"/>
            <w:tcBorders/>
            <w:shd w:fill="auto" w:val="clear"/>
            <w:vAlign w:val="bottom"/>
          </w:tcPr>
          <w:p>
            <w:pPr>
              <w:pStyle w:val="TableContents"/>
              <w:spacing w:before="0" w:after="0"/>
              <w:ind w:left="0" w:right="0" w:hanging="0"/>
              <w:jc w:val="center"/>
              <w:rPr/>
            </w:pPr>
            <w:r>
              <w:rPr/>
              <w:t> </w:t>
            </w:r>
          </w:p>
        </w:tc>
      </w:tr>
      <w:tr>
        <w:trPr/>
        <w:tc>
          <w:tcPr>
            <w:tcW w:w="371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8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07" w:type="dxa"/>
            <w:tcBorders/>
            <w:shd w:fill="auto" w:val="clear"/>
            <w:vAlign w:val="bottom"/>
          </w:tcPr>
          <w:p>
            <w:pPr>
              <w:pStyle w:val="TableContents"/>
              <w:spacing w:before="0" w:after="0"/>
              <w:ind w:left="0" w:right="0" w:hanging="0"/>
              <w:jc w:val="center"/>
              <w:rPr/>
            </w:pPr>
            <w:r>
              <w:rPr/>
              <w:t> </w:t>
            </w:r>
          </w:p>
        </w:tc>
        <w:tc>
          <w:tcPr>
            <w:tcW w:w="27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29" w:type="dxa"/>
            <w:tcBorders/>
            <w:shd w:fill="auto" w:val="clear"/>
            <w:vAlign w:val="bottom"/>
          </w:tcPr>
          <w:p>
            <w:pPr>
              <w:pStyle w:val="TableContents"/>
              <w:spacing w:before="0" w:after="0"/>
              <w:ind w:left="0" w:right="0" w:hanging="0"/>
              <w:jc w:val="center"/>
              <w:rPr/>
            </w:pPr>
            <w:r>
              <w:rPr/>
              <w:t> </w:t>
            </w:r>
          </w:p>
        </w:tc>
      </w:tr>
      <w:tr>
        <w:trPr/>
        <w:tc>
          <w:tcPr>
            <w:tcW w:w="371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2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4" w:type="dxa"/>
            <w:tcBorders/>
            <w:shd w:fill="auto" w:val="clear"/>
            <w:vAlign w:val="bottom"/>
          </w:tcPr>
          <w:p>
            <w:pPr>
              <w:pStyle w:val="TableContents"/>
              <w:spacing w:before="0" w:after="0"/>
              <w:ind w:left="0" w:right="0" w:hanging="0"/>
              <w:jc w:val="center"/>
              <w:rPr/>
            </w:pPr>
            <w:r>
              <w:rPr/>
              <w:t> </w:t>
            </w:r>
          </w:p>
        </w:tc>
        <w:tc>
          <w:tcPr>
            <w:tcW w:w="12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2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9" w:type="dxa"/>
            <w:tcBorders/>
            <w:shd w:fill="auto" w:val="clear"/>
            <w:vAlign w:val="bottom"/>
          </w:tcPr>
          <w:p>
            <w:pPr>
              <w:pStyle w:val="TableContents"/>
              <w:spacing w:before="0" w:after="0"/>
              <w:ind w:left="0" w:right="0" w:hanging="0"/>
              <w:jc w:val="center"/>
              <w:rPr/>
            </w:pPr>
            <w:r>
              <w:rPr/>
              <w:t> </w:t>
            </w:r>
          </w:p>
        </w:tc>
      </w:tr>
      <w:tr>
        <w:trPr/>
        <w:tc>
          <w:tcPr>
            <w:tcW w:w="3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7"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24"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07"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218"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29" w:type="dxa"/>
            <w:tcBorders/>
            <w:shd w:fill="CCEEFF" w:val="clear"/>
            <w:vAlign w:val="bottom"/>
          </w:tcPr>
          <w:p>
            <w:pPr>
              <w:pStyle w:val="TableContents"/>
              <w:spacing w:before="0" w:after="0"/>
              <w:ind w:left="0" w:right="0" w:hanging="0"/>
              <w:rPr/>
            </w:pPr>
            <w:r>
              <w:rPr/>
              <w:t> </w:t>
            </w:r>
          </w:p>
        </w:tc>
      </w:tr>
      <w:tr>
        <w:trPr/>
        <w:tc>
          <w:tcPr>
            <w:tcW w:w="3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7" w:type="dxa"/>
            <w:tcBorders/>
            <w:shd w:fill="auto" w:val="clear"/>
            <w:vAlign w:val="bottom"/>
          </w:tcPr>
          <w:p>
            <w:pPr>
              <w:pStyle w:val="TableContents"/>
              <w:spacing w:before="0" w:after="0"/>
              <w:ind w:left="0" w:right="0" w:hanging="0"/>
              <w:rPr/>
            </w:pPr>
            <w:r>
              <w:rPr/>
              <w:t> </w:t>
            </w:r>
          </w:p>
        </w:tc>
        <w:tc>
          <w:tcPr>
            <w:tcW w:w="12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7" w:type="dxa"/>
            <w:tcBorders/>
            <w:shd w:fill="CCEEFF" w:val="clear"/>
            <w:vAlign w:val="bottom"/>
          </w:tcPr>
          <w:p>
            <w:pPr>
              <w:pStyle w:val="TableContents"/>
              <w:spacing w:before="0" w:after="0"/>
              <w:ind w:left="0" w:right="0" w:hanging="0"/>
              <w:rPr/>
            </w:pPr>
            <w:r>
              <w:rPr/>
              <w:t> </w:t>
            </w:r>
          </w:p>
        </w:tc>
        <w:tc>
          <w:tcPr>
            <w:tcW w:w="12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97" w:type="dxa"/>
            <w:tcBorders/>
            <w:shd w:fill="auto" w:val="clear"/>
            <w:vAlign w:val="bottom"/>
          </w:tcPr>
          <w:p>
            <w:pPr>
              <w:pStyle w:val="TableContents"/>
              <w:spacing w:before="0" w:after="0"/>
              <w:ind w:left="0" w:right="0" w:hanging="0"/>
              <w:rPr/>
            </w:pPr>
            <w:r>
              <w:rPr/>
              <w:t> </w:t>
            </w:r>
          </w:p>
        </w:tc>
        <w:tc>
          <w:tcPr>
            <w:tcW w:w="12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97" w:type="dxa"/>
            <w:tcBorders/>
            <w:shd w:fill="CCEEFF" w:val="clear"/>
            <w:vAlign w:val="bottom"/>
          </w:tcPr>
          <w:p>
            <w:pPr>
              <w:pStyle w:val="TableContents"/>
              <w:spacing w:before="0" w:after="0"/>
              <w:ind w:left="0" w:right="0" w:hanging="0"/>
              <w:rPr/>
            </w:pPr>
            <w:r>
              <w:rPr/>
              <w:t> </w:t>
            </w:r>
          </w:p>
        </w:tc>
        <w:tc>
          <w:tcPr>
            <w:tcW w:w="12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97" w:type="dxa"/>
            <w:tcBorders/>
            <w:shd w:fill="auto" w:val="clear"/>
            <w:vAlign w:val="bottom"/>
          </w:tcPr>
          <w:p>
            <w:pPr>
              <w:pStyle w:val="TableContents"/>
              <w:spacing w:before="0" w:after="0"/>
              <w:ind w:left="0" w:right="0" w:hanging="0"/>
              <w:rPr/>
            </w:pPr>
            <w:r>
              <w:rPr/>
              <w:t> </w:t>
            </w:r>
          </w:p>
        </w:tc>
        <w:tc>
          <w:tcPr>
            <w:tcW w:w="12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24"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07"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18"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29" w:type="dxa"/>
            <w:tcBorders/>
            <w:shd w:fill="auto" w:val="clear"/>
            <w:vAlign w:val="bottom"/>
          </w:tcPr>
          <w:p>
            <w:pPr>
              <w:pStyle w:val="TableContents"/>
              <w:spacing w:before="0" w:after="0"/>
              <w:ind w:left="0" w:right="0" w:hanging="0"/>
              <w:rPr/>
            </w:pPr>
            <w:r>
              <w:rPr/>
              <w:t> </w:t>
            </w:r>
          </w:p>
        </w:tc>
      </w:tr>
      <w:tr>
        <w:trPr/>
        <w:tc>
          <w:tcPr>
            <w:tcW w:w="3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97" w:type="dxa"/>
            <w:tcBorders/>
            <w:shd w:fill="CCEEFF" w:val="clear"/>
            <w:vAlign w:val="bottom"/>
          </w:tcPr>
          <w:p>
            <w:pPr>
              <w:pStyle w:val="TableContents"/>
              <w:spacing w:before="0" w:after="0"/>
              <w:ind w:left="0" w:right="0" w:hanging="0"/>
              <w:rPr/>
            </w:pPr>
            <w:r>
              <w:rPr/>
              <w:t> </w:t>
            </w:r>
          </w:p>
        </w:tc>
        <w:tc>
          <w:tcPr>
            <w:tcW w:w="12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7"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4"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0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18"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14Related Party Transactions</w:t>
      </w:r>
      <w:bookmarkStart w:id="54" w:name="Note14relatedPartyTransactions_025145"/>
      <w:bookmarkEnd w:id="5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9 to our Consolidated Financial Statements included in Part IV of our 2011 Annual Report on Form 10-K for a complete discussion of our 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2012, a subsidiary of Occidental Petroleum Corporation (Oxy) owned approximately 35% of our general partner interest and had a representative on the board of directors of Plains All American GP LLC.  During the three and six months ended June 30, 2012 and 2011, we recognized sales and transportation storage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4027"/>
        <w:gridCol w:w="214"/>
        <w:gridCol w:w="140"/>
        <w:gridCol w:w="1090"/>
        <w:gridCol w:w="218"/>
        <w:gridCol w:w="140"/>
        <w:gridCol w:w="1143"/>
        <w:gridCol w:w="214"/>
        <w:gridCol w:w="131"/>
        <w:gridCol w:w="1109"/>
        <w:gridCol w:w="214"/>
        <w:gridCol w:w="131"/>
        <w:gridCol w:w="1109"/>
        <w:gridCol w:w="120"/>
      </w:tblGrid>
      <w:tr>
        <w:trPr/>
        <w:tc>
          <w:tcPr>
            <w:tcW w:w="40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4" w:type="dxa"/>
            <w:tcBorders/>
            <w:shd w:fill="auto" w:val="clear"/>
            <w:vAlign w:val="bottom"/>
          </w:tcPr>
          <w:p>
            <w:pPr>
              <w:pStyle w:val="TableContents"/>
              <w:spacing w:before="0" w:after="0"/>
              <w:ind w:left="0" w:right="0" w:hanging="0"/>
              <w:jc w:val="center"/>
              <w:rPr/>
            </w:pPr>
            <w:r>
              <w:rPr/>
              <w:t> </w:t>
            </w:r>
          </w:p>
        </w:tc>
        <w:tc>
          <w:tcPr>
            <w:tcW w:w="26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40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4" w:type="dxa"/>
            <w:tcBorders/>
            <w:shd w:fill="auto" w:val="clear"/>
            <w:vAlign w:val="bottom"/>
          </w:tcPr>
          <w:p>
            <w:pPr>
              <w:pStyle w:val="TableContents"/>
              <w:spacing w:before="0" w:after="0"/>
              <w:ind w:left="0" w:right="0" w:hanging="0"/>
              <w:jc w:val="center"/>
              <w:rPr/>
            </w:pPr>
            <w:r>
              <w:rPr/>
              <w:t> </w:t>
            </w:r>
          </w:p>
        </w:tc>
        <w:tc>
          <w:tcPr>
            <w:tcW w:w="26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0" w:type="dxa"/>
            <w:tcBorders/>
            <w:shd w:fill="auto" w:val="clear"/>
            <w:vAlign w:val="bottom"/>
          </w:tcPr>
          <w:p>
            <w:pPr>
              <w:pStyle w:val="TableContents"/>
              <w:spacing w:before="0" w:after="0"/>
              <w:ind w:left="0" w:right="0" w:hanging="0"/>
              <w:jc w:val="center"/>
              <w:rPr/>
            </w:pPr>
            <w:r>
              <w:rPr/>
              <w:t> </w:t>
            </w:r>
          </w:p>
        </w:tc>
      </w:tr>
      <w:tr>
        <w:trPr/>
        <w:tc>
          <w:tcPr>
            <w:tcW w:w="40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2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12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0" w:type="dxa"/>
            <w:tcBorders/>
            <w:shd w:fill="auto" w:val="clear"/>
            <w:vAlign w:val="bottom"/>
          </w:tcPr>
          <w:p>
            <w:pPr>
              <w:pStyle w:val="TableContents"/>
              <w:spacing w:before="0" w:after="0"/>
              <w:ind w:left="0" w:right="0" w:hanging="0"/>
              <w:jc w:val="center"/>
              <w:rPr/>
            </w:pPr>
            <w:r>
              <w:rPr/>
              <w:t> </w:t>
            </w:r>
          </w:p>
        </w:tc>
      </w:tr>
      <w:tr>
        <w:trPr/>
        <w:tc>
          <w:tcPr>
            <w:tcW w:w="40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4"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218"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1,079</w:t>
            </w:r>
          </w:p>
        </w:tc>
        <w:tc>
          <w:tcPr>
            <w:tcW w:w="214"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1,051</w:t>
            </w:r>
          </w:p>
        </w:tc>
        <w:tc>
          <w:tcPr>
            <w:tcW w:w="214"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1,781</w:t>
            </w:r>
          </w:p>
        </w:tc>
        <w:tc>
          <w:tcPr>
            <w:tcW w:w="120" w:type="dxa"/>
            <w:tcBorders/>
            <w:shd w:fill="CCEEFF" w:val="clear"/>
            <w:vAlign w:val="bottom"/>
          </w:tcPr>
          <w:p>
            <w:pPr>
              <w:pStyle w:val="TableContents"/>
              <w:spacing w:before="0" w:after="0"/>
              <w:ind w:left="0" w:right="0" w:hanging="0"/>
              <w:rPr/>
            </w:pPr>
            <w:r>
              <w:rPr/>
              <w:t> </w:t>
            </w:r>
          </w:p>
        </w:tc>
      </w:tr>
      <w:tr>
        <w:trPr/>
        <w:tc>
          <w:tcPr>
            <w:tcW w:w="40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8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0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4"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8"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4"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4"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84"/>
        <w:gridCol w:w="218"/>
        <w:gridCol w:w="169"/>
        <w:gridCol w:w="1124"/>
        <w:gridCol w:w="218"/>
        <w:gridCol w:w="215"/>
        <w:gridCol w:w="1245"/>
        <w:gridCol w:w="132"/>
      </w:tblGrid>
      <w:tr>
        <w:trPr/>
        <w:tc>
          <w:tcPr>
            <w:tcW w:w="688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14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2" w:type="dxa"/>
            <w:tcBorders/>
            <w:shd w:fill="auto" w:val="clear"/>
            <w:vAlign w:val="bottom"/>
          </w:tcPr>
          <w:p>
            <w:pPr>
              <w:pStyle w:val="TableContents"/>
              <w:spacing w:before="0" w:after="0"/>
              <w:ind w:left="0" w:right="0" w:hanging="0"/>
              <w:jc w:val="center"/>
              <w:rPr/>
            </w:pPr>
            <w:r>
              <w:rPr/>
              <w:t> </w:t>
            </w:r>
          </w:p>
        </w:tc>
      </w:tr>
      <w:tr>
        <w:trPr/>
        <w:tc>
          <w:tcPr>
            <w:tcW w:w="688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2" w:type="dxa"/>
            <w:tcBorders/>
            <w:shd w:fill="auto" w:val="clear"/>
            <w:vAlign w:val="bottom"/>
          </w:tcPr>
          <w:p>
            <w:pPr>
              <w:pStyle w:val="TableContents"/>
              <w:spacing w:before="0" w:after="0"/>
              <w:ind w:left="0" w:right="0" w:hanging="0"/>
              <w:jc w:val="center"/>
              <w:rPr/>
            </w:pPr>
            <w:r>
              <w:rPr/>
              <w:t> </w:t>
            </w:r>
          </w:p>
        </w:tc>
      </w:tr>
      <w:tr>
        <w:trPr/>
        <w:tc>
          <w:tcPr>
            <w:tcW w:w="6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8"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8"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32" w:type="dxa"/>
            <w:tcBorders/>
            <w:shd w:fill="CCEEFF" w:val="clear"/>
            <w:vAlign w:val="bottom"/>
          </w:tcPr>
          <w:p>
            <w:pPr>
              <w:pStyle w:val="TableContents"/>
              <w:spacing w:before="0" w:after="0"/>
              <w:ind w:left="0" w:right="0" w:hanging="0"/>
              <w:rPr/>
            </w:pPr>
            <w:r>
              <w:rPr/>
              <w:t> </w:t>
            </w:r>
          </w:p>
        </w:tc>
      </w:tr>
      <w:tr>
        <w:trPr/>
        <w:tc>
          <w:tcPr>
            <w:tcW w:w="688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129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6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8"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18"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5" w:name="PB_31_012907_7091"/>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w:t>
      </w:r>
      <w:bookmarkStart w:id="56" w:name="Item2_025154"/>
      <w:bookmarkEnd w:id="56"/>
      <w:r>
        <w:rPr>
          <w:rFonts w:ascii="Times New Roman" w:hAnsi="Times New Roman"/>
          <w:b/>
          <w:sz w:val="17"/>
        </w:rPr>
        <w:t>.   </w:t>
      </w:r>
      <w:r>
        <w:rPr>
          <w:rFonts w:ascii="Times New Roman" w:hAnsi="Times New Roman"/>
          <w:b/>
          <w:i/>
          <w:sz w:val="17"/>
        </w:rPr>
        <w:t>Managements Discussion and Analysis of Financial Condition and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the processing, transportation, fractionation, storage and marketing of NGL.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six months of 2012, our net income attributable to Plains was approximately $609 million, or $2.88 per diluted limited partner unit, representing increases of 49% and 42%, respectively, as compared to net income attributable to Plains of approximately $408 million, or $2.03 per diluted limited partner unit, recognized during the first six months of 2011.  The major items impacting the favorable performance between periods include increased utilization of certain existing transportation assets, incremental fee-based contributions associated with acquisition and expansion capital invested in our transportation and facilities segments and increased lease-gathering volumes and improved unit margins in our supply and logistics segment.  The majority of the incremental volumes and a portion of the enhanced unit margins are attributable to the increased production from the development of North American crude oil and liquids-rich resource plays.  Favorable basis and quality differentials and the mark-to-market impact for derivative instruments (partially offset by related write downs of inventory) also contributed substantially to margins in our supply and logistics segment. These favorable contributions to our supply and logistics segment were partially offset by lower margins on our NGL sales due to lower NGL prices and less favorable market conditions during the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significant items during the period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completion of our acquisition of all of the outstanding shares of BP Canada Energy Company for total consideration of $1.68 billion, subject to working capital and other adjustments (see Note 4 to our condensed consolidated financial statements for further discussion of this acquisition);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7" w:name="PB_32_012912_455"/>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Net proceeds of approximately $1.69 billion from (i) the issuance of two indentures of senior notes and (ii) the sale of 5,750,000 common units through our March equity offering.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07"/>
        <w:gridCol w:w="211"/>
        <w:gridCol w:w="112"/>
        <w:gridCol w:w="1070"/>
        <w:gridCol w:w="211"/>
        <w:gridCol w:w="112"/>
        <w:gridCol w:w="1070"/>
        <w:gridCol w:w="112"/>
      </w:tblGrid>
      <w:tr>
        <w:trPr/>
        <w:tc>
          <w:tcPr>
            <w:tcW w:w="73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7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2" w:type="dxa"/>
            <w:tcBorders/>
            <w:shd w:fill="auto" w:val="clear"/>
            <w:vAlign w:val="bottom"/>
          </w:tcPr>
          <w:p>
            <w:pPr>
              <w:pStyle w:val="TableContents"/>
              <w:spacing w:before="0" w:after="0"/>
              <w:ind w:left="0" w:right="0" w:hanging="0"/>
              <w:jc w:val="center"/>
              <w:rPr/>
            </w:pPr>
            <w:r>
              <w:rPr/>
              <w:t> </w:t>
            </w:r>
          </w:p>
        </w:tc>
      </w:tr>
      <w:tr>
        <w:trPr/>
        <w:tc>
          <w:tcPr>
            <w:tcW w:w="73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2" w:type="dxa"/>
            <w:tcBorders/>
            <w:shd w:fill="auto" w:val="clear"/>
            <w:vAlign w:val="bottom"/>
          </w:tcPr>
          <w:p>
            <w:pPr>
              <w:pStyle w:val="TableContents"/>
              <w:spacing w:before="0" w:after="0"/>
              <w:ind w:left="0" w:right="0" w:hanging="0"/>
              <w:jc w:val="center"/>
              <w:rPr/>
            </w:pPr>
            <w:r>
              <w:rPr/>
              <w:t> </w:t>
            </w:r>
          </w:p>
        </w:tc>
      </w:tr>
      <w:tr>
        <w:trPr/>
        <w:tc>
          <w:tcPr>
            <w:tcW w:w="73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1" w:type="dxa"/>
            <w:tcBorders/>
            <w:shd w:fill="auto" w:val="clear"/>
            <w:vAlign w:val="bottom"/>
          </w:tcPr>
          <w:p>
            <w:pPr>
              <w:pStyle w:val="TableContents"/>
              <w:spacing w:before="0" w:after="0"/>
              <w:ind w:left="0" w:right="0" w:hanging="0"/>
              <w:jc w:val="center"/>
              <w:rPr/>
            </w:pPr>
            <w:r>
              <w:rPr/>
              <w:t> </w:t>
            </w:r>
          </w:p>
        </w:tc>
        <w:tc>
          <w:tcPr>
            <w:tcW w:w="11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2" w:type="dxa"/>
            <w:tcBorders/>
            <w:shd w:fill="auto" w:val="clear"/>
            <w:vAlign w:val="bottom"/>
          </w:tcPr>
          <w:p>
            <w:pPr>
              <w:pStyle w:val="TableContents"/>
              <w:spacing w:before="0" w:after="0"/>
              <w:ind w:left="0" w:right="0" w:hanging="0"/>
              <w:jc w:val="center"/>
              <w:rPr/>
            </w:pPr>
            <w:r>
              <w:rPr/>
              <w:t> </w:t>
            </w:r>
          </w:p>
        </w:tc>
      </w:tr>
      <w:tr>
        <w:trPr/>
        <w:tc>
          <w:tcPr>
            <w:tcW w:w="7307" w:type="dxa"/>
            <w:tcBorders/>
            <w:shd w:fill="CCEEFF" w:val="clear"/>
          </w:tcPr>
          <w:p>
            <w:pPr>
              <w:pStyle w:val="TableContents"/>
              <w:spacing w:before="0" w:after="0"/>
              <w:ind w:left="0" w:right="0" w:hanging="0"/>
              <w:rPr/>
            </w:pPr>
            <w:r>
              <w:rPr>
                <w:rFonts w:ascii="Times New Roman" w:hAnsi="Times New Roman"/>
                <w:sz w:val="17"/>
              </w:rPr>
              <w:t xml:space="preserve">Acquisition capital </w:t>
            </w:r>
            <w:r>
              <w:rPr>
                <w:sz w:val="11"/>
              </w:rPr>
              <w:t>(1) </w:t>
            </w:r>
          </w:p>
        </w:tc>
        <w:tc>
          <w:tcPr>
            <w:tcW w:w="211"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1,656</w:t>
            </w:r>
          </w:p>
        </w:tc>
        <w:tc>
          <w:tcPr>
            <w:tcW w:w="211"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112" w:type="dxa"/>
            <w:tcBorders/>
            <w:shd w:fill="CCEEFF" w:val="clear"/>
            <w:vAlign w:val="bottom"/>
          </w:tcPr>
          <w:p>
            <w:pPr>
              <w:pStyle w:val="TableContents"/>
              <w:spacing w:before="0" w:after="0"/>
              <w:ind w:left="0" w:right="0" w:hanging="0"/>
              <w:rPr/>
            </w:pPr>
            <w:r>
              <w:rPr/>
              <w:t> </w:t>
            </w:r>
          </w:p>
        </w:tc>
      </w:tr>
      <w:tr>
        <w:trPr/>
        <w:tc>
          <w:tcPr>
            <w:tcW w:w="7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1"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w:t>
            </w:r>
          </w:p>
        </w:tc>
        <w:tc>
          <w:tcPr>
            <w:tcW w:w="211"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112" w:type="dxa"/>
            <w:tcBorders/>
            <w:shd w:fill="auto" w:val="clear"/>
            <w:vAlign w:val="bottom"/>
          </w:tcPr>
          <w:p>
            <w:pPr>
              <w:pStyle w:val="TableContents"/>
              <w:spacing w:before="0" w:after="0"/>
              <w:ind w:left="0" w:right="0" w:hanging="0"/>
              <w:rPr/>
            </w:pPr>
            <w:r>
              <w:rPr/>
              <w:t> </w:t>
            </w:r>
          </w:p>
        </w:tc>
      </w:tr>
      <w:tr>
        <w:trPr/>
        <w:tc>
          <w:tcPr>
            <w:tcW w:w="7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1" w:type="dxa"/>
            <w:tcBorders/>
            <w:shd w:fill="CCEEFF" w:val="clear"/>
            <w:vAlign w:val="bottom"/>
          </w:tcPr>
          <w:p>
            <w:pPr>
              <w:pStyle w:val="TableContents"/>
              <w:spacing w:before="0" w:after="0"/>
              <w:ind w:left="0" w:right="0" w:hanging="0"/>
              <w:rPr/>
            </w:pPr>
            <w:r>
              <w:rPr/>
              <w:t> </w:t>
            </w:r>
          </w:p>
        </w:tc>
        <w:tc>
          <w:tcPr>
            <w:tcW w:w="11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1" w:type="dxa"/>
            <w:tcBorders/>
            <w:shd w:fill="CCEEFF" w:val="clear"/>
            <w:vAlign w:val="bottom"/>
          </w:tcPr>
          <w:p>
            <w:pPr>
              <w:pStyle w:val="TableContents"/>
              <w:spacing w:before="0" w:after="0"/>
              <w:ind w:left="0" w:right="0" w:hanging="0"/>
              <w:rPr/>
            </w:pPr>
            <w:r>
              <w:rPr/>
              <w:t> </w:t>
            </w:r>
          </w:p>
        </w:tc>
        <w:tc>
          <w:tcPr>
            <w:tcW w:w="11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12" w:type="dxa"/>
            <w:tcBorders/>
            <w:shd w:fill="CCEEFF" w:val="clear"/>
            <w:vAlign w:val="bottom"/>
          </w:tcPr>
          <w:p>
            <w:pPr>
              <w:pStyle w:val="TableContents"/>
              <w:spacing w:before="0" w:after="0"/>
              <w:ind w:left="0" w:right="0" w:hanging="0"/>
              <w:rPr/>
            </w:pPr>
            <w:r>
              <w:rPr/>
              <w:t> </w:t>
            </w:r>
          </w:p>
        </w:tc>
      </w:tr>
      <w:tr>
        <w:trPr/>
        <w:tc>
          <w:tcPr>
            <w:tcW w:w="7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2,243</w:t>
            </w:r>
          </w:p>
        </w:tc>
        <w:tc>
          <w:tcPr>
            <w:tcW w:w="21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Acquisition capital for the first six months of 2012 primarily relates to the BP NGL Acquisition. See Note 4 to our condensed consolidated financial statements for further discussion regarding our acquisition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more notable projects in progress during 2012 and the forecasted expenditures for the year ending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124"/>
        <w:gridCol w:w="207"/>
        <w:gridCol w:w="729"/>
        <w:gridCol w:w="312"/>
        <w:gridCol w:w="729"/>
        <w:gridCol w:w="104"/>
      </w:tblGrid>
      <w:tr>
        <w:trPr/>
        <w:tc>
          <w:tcPr>
            <w:tcW w:w="812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770" w:type="dxa"/>
            <w:gridSpan w:val="3"/>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4" w:type="dxa"/>
            <w:tcBorders/>
            <w:shd w:fill="auto" w:val="clear"/>
            <w:tcMar>
              <w:bottom w:w="0" w:type="dxa"/>
            </w:tcMar>
            <w:vAlign w:val="bottom"/>
          </w:tcPr>
          <w:p>
            <w:pPr>
              <w:pStyle w:val="TableContents"/>
              <w:spacing w:before="0" w:after="0"/>
              <w:ind w:left="0" w:right="0" w:hanging="0"/>
              <w:jc w:val="center"/>
              <w:rPr/>
            </w:pPr>
            <w:r>
              <w:rPr/>
              <w:t> </w:t>
            </w:r>
          </w:p>
        </w:tc>
      </w:tr>
      <w:tr>
        <w:trPr/>
        <w:tc>
          <w:tcPr>
            <w:tcW w:w="812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Project</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Spraberry Area Pipeline Projects</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Gardendale Gathering System </w:t>
            </w:r>
            <w:r>
              <w:rPr>
                <w:sz w:val="11"/>
              </w:rPr>
              <w:t>(1)</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Mississippian Lime Project</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58</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Rail Projects </w:t>
            </w:r>
            <w:r>
              <w:rPr>
                <w:sz w:val="11"/>
              </w:rPr>
              <w:t>(2)</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Bakken North</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 James Phase IV</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Yorktown Terminal Project</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BP NGL Acquisition Related Projects</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Cushing Terminal Expansion </w:t>
            </w:r>
            <w:r>
              <w:rPr>
                <w:sz w:val="11"/>
              </w:rPr>
              <w:t>(3)</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Shafter Expansion</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Patoka Terminal Expansion </w:t>
            </w:r>
            <w:r>
              <w:rPr>
                <w:sz w:val="11"/>
              </w:rPr>
              <w:t>(3)</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Other Projects </w:t>
            </w:r>
            <w:r>
              <w:rPr>
                <w:sz w:val="11"/>
              </w:rPr>
              <w:t>(4)</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1770" w:type="dxa"/>
            <w:gridSpan w:val="3"/>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312</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177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$1,150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(5)</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729" w:type="dxa"/>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w:t>
            </w:r>
          </w:p>
        </w:tc>
        <w:tc>
          <w:tcPr>
            <w:tcW w:w="312" w:type="dxa"/>
            <w:tcBorders>
              <w:bottom w:val="single" w:sz="8" w:space="0" w:color="000000"/>
            </w:tcBorders>
            <w:shd w:fill="CCEEFF" w:val="clear"/>
            <w:vAlign w:val="bottom"/>
          </w:tcPr>
          <w:p>
            <w:pPr>
              <w:pStyle w:val="TableContents"/>
              <w:spacing w:before="0" w:after="0"/>
              <w:ind w:left="0" w:right="0" w:hanging="0"/>
              <w:jc w:val="center"/>
              <w:rPr/>
            </w:pPr>
            <w:r>
              <w:rPr/>
              <w:t> </w:t>
            </w:r>
          </w:p>
        </w:tc>
        <w:tc>
          <w:tcPr>
            <w:tcW w:w="729" w:type="dxa"/>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$100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729" w:type="dxa"/>
            <w:tcBorders>
              <w:bottom w:val="double" w:sz="6"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$1,100</w:t>
            </w:r>
          </w:p>
        </w:tc>
        <w:tc>
          <w:tcPr>
            <w:tcW w:w="312" w:type="dxa"/>
            <w:tcBorders>
              <w:bottom w:val="double" w:sz="6" w:space="0" w:color="000000"/>
            </w:tcBorders>
            <w:shd w:fill="auto" w:val="clear"/>
            <w:vAlign w:val="bottom"/>
          </w:tcPr>
          <w:p>
            <w:pPr>
              <w:pStyle w:val="TableContents"/>
              <w:spacing w:before="0" w:after="0"/>
              <w:ind w:left="0" w:right="0" w:hanging="0"/>
              <w:jc w:val="center"/>
              <w:rPr/>
            </w:pPr>
            <w:r>
              <w:rPr/>
              <w:t> </w:t>
            </w:r>
            <w:r>
              <w:rPr>
                <w:rFonts w:ascii="Times New Roman" w:hAnsi="Times New Roman"/>
                <w:sz w:val="17"/>
              </w:rPr>
              <w:t xml:space="preserve">- </w:t>
            </w:r>
          </w:p>
        </w:tc>
        <w:tc>
          <w:tcPr>
            <w:tcW w:w="729" w:type="dxa"/>
            <w:tcBorders>
              <w:bottom w:val="double" w:sz="6"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$1,250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8124" w:type="dxa"/>
            <w:tcBorders/>
            <w:shd w:fill="CCEEFF" w:val="clear"/>
            <w:tcMar>
              <w:bottom w:w="0" w:type="dxa"/>
            </w:tcMar>
            <w:vAlign w:val="bottom"/>
          </w:tcPr>
          <w:p>
            <w:pPr>
              <w:pStyle w:val="TableContents"/>
              <w:spacing w:before="0" w:after="0"/>
              <w:ind w:left="0" w:right="0" w:hanging="0"/>
              <w:rPr/>
            </w:pPr>
            <w:r>
              <w:rPr/>
              <w:t> </w:t>
            </w:r>
          </w:p>
        </w:tc>
        <w:tc>
          <w:tcPr>
            <w:tcW w:w="207" w:type="dxa"/>
            <w:tcBorders/>
            <w:shd w:fill="CCEEFF" w:val="clear"/>
            <w:tcMar>
              <w:bottom w:w="0" w:type="dxa"/>
            </w:tcMar>
            <w:vAlign w:val="bottom"/>
          </w:tcPr>
          <w:p>
            <w:pPr>
              <w:pStyle w:val="TableContents"/>
              <w:spacing w:before="0" w:after="0"/>
              <w:ind w:left="0" w:right="0" w:hanging="0"/>
              <w:rPr/>
            </w:pPr>
            <w:r>
              <w:rPr/>
              <w:t> </w:t>
            </w:r>
          </w:p>
        </w:tc>
        <w:tc>
          <w:tcPr>
            <w:tcW w:w="729" w:type="dxa"/>
            <w:tcBorders/>
            <w:shd w:fill="CCEEFF" w:val="clear"/>
            <w:tcMar>
              <w:bottom w:w="0" w:type="dxa"/>
            </w:tcMar>
            <w:vAlign w:val="bottom"/>
          </w:tcPr>
          <w:p>
            <w:pPr>
              <w:pStyle w:val="TableContents"/>
              <w:spacing w:before="0" w:after="0"/>
              <w:ind w:left="0" w:right="0" w:hanging="0"/>
              <w:jc w:val="center"/>
              <w:rPr/>
            </w:pPr>
            <w:r>
              <w:rPr/>
              <w:t> </w:t>
            </w:r>
          </w:p>
        </w:tc>
        <w:tc>
          <w:tcPr>
            <w:tcW w:w="312" w:type="dxa"/>
            <w:tcBorders/>
            <w:shd w:fill="CCEEFF" w:val="clear"/>
            <w:tcMar>
              <w:bottom w:w="0" w:type="dxa"/>
            </w:tcMar>
            <w:vAlign w:val="bottom"/>
          </w:tcPr>
          <w:p>
            <w:pPr>
              <w:pStyle w:val="TableContents"/>
              <w:spacing w:before="0" w:after="0"/>
              <w:ind w:left="0" w:right="0" w:hanging="0"/>
              <w:jc w:val="center"/>
              <w:rPr/>
            </w:pPr>
            <w:r>
              <w:rPr/>
              <w:t> </w:t>
            </w:r>
          </w:p>
        </w:tc>
        <w:tc>
          <w:tcPr>
            <w:tcW w:w="729" w:type="dxa"/>
            <w:tcBorders/>
            <w:shd w:fill="CCEEFF" w:val="clear"/>
            <w:tcMar>
              <w:bottom w:w="0" w:type="dxa"/>
            </w:tcMar>
            <w:vAlign w:val="bottom"/>
          </w:tcPr>
          <w:p>
            <w:pPr>
              <w:pStyle w:val="TableContents"/>
              <w:spacing w:before="0" w:after="0"/>
              <w:ind w:left="0" w:right="0" w:hanging="0"/>
              <w:jc w:val="center"/>
              <w:rPr/>
            </w:pPr>
            <w:r>
              <w:rPr/>
              <w:t> </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812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729"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$140</w:t>
            </w:r>
          </w:p>
        </w:tc>
        <w:tc>
          <w:tcPr>
            <w:tcW w:w="312" w:type="dxa"/>
            <w:tcBorders/>
            <w:shd w:fill="auto" w:val="clear"/>
            <w:tcMar>
              <w:bottom w:w="0" w:type="dxa"/>
            </w:tcMar>
            <w:vAlign w:val="bottom"/>
          </w:tcPr>
          <w:p>
            <w:pPr>
              <w:pStyle w:val="TableContents"/>
              <w:spacing w:before="0" w:after="0"/>
              <w:ind w:left="0" w:right="0" w:hanging="0"/>
              <w:jc w:val="center"/>
              <w:rPr/>
            </w:pPr>
            <w:r>
              <w:rPr/>
              <w:t> </w:t>
            </w:r>
            <w:r>
              <w:rPr>
                <w:rFonts w:ascii="Times New Roman" w:hAnsi="Times New Roman"/>
                <w:sz w:val="17"/>
              </w:rPr>
              <w:t xml:space="preserve">- </w:t>
            </w:r>
          </w:p>
        </w:tc>
        <w:tc>
          <w:tcPr>
            <w:tcW w:w="729" w:type="dxa"/>
            <w:tcBorders/>
            <w:shd w:fill="auto" w:val="clear"/>
            <w:tcMar>
              <w:bottom w:w="0" w:type="dxa"/>
            </w:tcMar>
            <w:vAlign w:val="bottom"/>
          </w:tcPr>
          <w:p>
            <w:pPr>
              <w:pStyle w:val="TableContents"/>
              <w:spacing w:before="0" w:after="0"/>
              <w:ind w:left="0" w:right="0" w:hanging="0"/>
              <w:jc w:val="center"/>
              <w:rPr/>
            </w:pPr>
            <w:r>
              <w:rPr/>
              <w:t> </w:t>
            </w:r>
            <w:r>
              <w:rPr>
                <w:rFonts w:ascii="Times New Roman" w:hAnsi="Times New Roman"/>
                <w:sz w:val="17"/>
              </w:rPr>
              <w:t>$160</w:t>
            </w:r>
          </w:p>
        </w:tc>
        <w:tc>
          <w:tcPr>
            <w:tcW w:w="104"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pipeline, tankage and condensate stabilization.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Excludes rail project associated with the Yorktown terminal project.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carryover capital from 2011 previously shown as Other as well as new expansions.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8" w:name="PB_33_013025_4141"/>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13 to our Consolidated Financial Statements included in Part IV of our 2011 Annual Report on Form 10-K for further discussion of how we evaluate segment performance.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34"/>
        <w:gridCol w:w="206"/>
        <w:gridCol w:w="115"/>
        <w:gridCol w:w="546"/>
        <w:gridCol w:w="209"/>
        <w:gridCol w:w="115"/>
        <w:gridCol w:w="546"/>
        <w:gridCol w:w="209"/>
        <w:gridCol w:w="115"/>
        <w:gridCol w:w="546"/>
        <w:gridCol w:w="209"/>
        <w:gridCol w:w="647"/>
        <w:gridCol w:w="221"/>
        <w:gridCol w:w="115"/>
        <w:gridCol w:w="546"/>
        <w:gridCol w:w="208"/>
        <w:gridCol w:w="115"/>
        <w:gridCol w:w="546"/>
        <w:gridCol w:w="209"/>
        <w:gridCol w:w="116"/>
        <w:gridCol w:w="549"/>
        <w:gridCol w:w="210"/>
        <w:gridCol w:w="641"/>
        <w:gridCol w:w="232"/>
      </w:tblGrid>
      <w:tr>
        <w:trPr/>
        <w:tc>
          <w:tcPr>
            <w:tcW w:w="303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5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br/>
              <w:t>Ended June 30,</w:t>
            </w:r>
          </w:p>
        </w:tc>
        <w:tc>
          <w:tcPr>
            <w:tcW w:w="209" w:type="dxa"/>
            <w:tcBorders/>
            <w:shd w:fill="auto" w:val="clear"/>
            <w:vAlign w:val="bottom"/>
          </w:tcPr>
          <w:p>
            <w:pPr>
              <w:pStyle w:val="TableContents"/>
              <w:spacing w:before="0" w:after="0"/>
              <w:ind w:left="0" w:right="0" w:hanging="0"/>
              <w:jc w:val="center"/>
              <w:rPr/>
            </w:pPr>
            <w:r>
              <w:rPr/>
              <w:t> </w:t>
            </w:r>
          </w:p>
        </w:tc>
        <w:tc>
          <w:tcPr>
            <w:tcW w:w="151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br/>
              <w:t>Variance</w:t>
            </w:r>
          </w:p>
        </w:tc>
        <w:tc>
          <w:tcPr>
            <w:tcW w:w="221" w:type="dxa"/>
            <w:tcBorders/>
            <w:shd w:fill="auto" w:val="clear"/>
            <w:vAlign w:val="bottom"/>
          </w:tcPr>
          <w:p>
            <w:pPr>
              <w:pStyle w:val="TableContents"/>
              <w:spacing w:before="0" w:after="0"/>
              <w:ind w:left="0" w:right="0" w:hanging="0"/>
              <w:jc w:val="center"/>
              <w:rPr/>
            </w:pPr>
            <w:r>
              <w:rPr/>
              <w:t> </w:t>
            </w:r>
          </w:p>
        </w:tc>
        <w:tc>
          <w:tcPr>
            <w:tcW w:w="15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br/>
              <w:t>Ended June 30,</w:t>
            </w:r>
          </w:p>
        </w:tc>
        <w:tc>
          <w:tcPr>
            <w:tcW w:w="209" w:type="dxa"/>
            <w:tcBorders/>
            <w:shd w:fill="auto" w:val="clear"/>
            <w:vAlign w:val="bottom"/>
          </w:tcPr>
          <w:p>
            <w:pPr>
              <w:pStyle w:val="TableContents"/>
              <w:spacing w:before="0" w:after="0"/>
              <w:ind w:left="0" w:right="0" w:hanging="0"/>
              <w:jc w:val="center"/>
              <w:rPr/>
            </w:pPr>
            <w:r>
              <w:rPr/>
              <w:t> </w:t>
            </w:r>
          </w:p>
        </w:tc>
        <w:tc>
          <w:tcPr>
            <w:tcW w:w="151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br/>
              <w:t>Variance</w:t>
            </w:r>
          </w:p>
        </w:tc>
        <w:tc>
          <w:tcPr>
            <w:tcW w:w="232" w:type="dxa"/>
            <w:tcBorders/>
            <w:shd w:fill="auto" w:val="clear"/>
            <w:vAlign w:val="bottom"/>
          </w:tcPr>
          <w:p>
            <w:pPr>
              <w:pStyle w:val="TableContents"/>
              <w:spacing w:before="0" w:after="0"/>
              <w:ind w:left="0" w:right="0" w:hanging="0"/>
              <w:jc w:val="center"/>
              <w:rPr/>
            </w:pPr>
            <w:r>
              <w:rPr/>
              <w:t> </w:t>
            </w:r>
          </w:p>
        </w:tc>
      </w:tr>
      <w:tr>
        <w:trPr/>
        <w:tc>
          <w:tcPr>
            <w:tcW w:w="303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9" w:type="dxa"/>
            <w:tcBorders/>
            <w:shd w:fill="auto" w:val="clear"/>
            <w:vAlign w:val="bottom"/>
          </w:tcPr>
          <w:p>
            <w:pPr>
              <w:pStyle w:val="TableContents"/>
              <w:spacing w:before="0" w:after="0"/>
              <w:ind w:left="0" w:right="0" w:hanging="0"/>
              <w:jc w:val="center"/>
              <w:rPr/>
            </w:pPr>
            <w:r>
              <w:rPr/>
              <w:t> </w:t>
            </w:r>
          </w:p>
        </w:tc>
        <w:tc>
          <w:tcPr>
            <w:tcW w:w="6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9" w:type="dxa"/>
            <w:tcBorders/>
            <w:shd w:fill="auto" w:val="clear"/>
            <w:vAlign w:val="bottom"/>
          </w:tcPr>
          <w:p>
            <w:pPr>
              <w:pStyle w:val="TableContents"/>
              <w:spacing w:before="0" w:after="0"/>
              <w:ind w:left="0" w:right="0" w:hanging="0"/>
              <w:jc w:val="center"/>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9" w:type="dxa"/>
            <w:tcBorders/>
            <w:shd w:fill="auto" w:val="clear"/>
            <w:vAlign w:val="bottom"/>
          </w:tcPr>
          <w:p>
            <w:pPr>
              <w:pStyle w:val="TableContents"/>
              <w:spacing w:before="0" w:after="0"/>
              <w:ind w:left="0" w:right="0" w:hanging="0"/>
              <w:jc w:val="center"/>
              <w:rPr/>
            </w:pPr>
            <w:r>
              <w:rPr/>
              <w:t> </w:t>
            </w:r>
          </w:p>
        </w:tc>
        <w:tc>
          <w:tcPr>
            <w:tcW w:w="64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1" w:type="dxa"/>
            <w:tcBorders/>
            <w:shd w:fill="auto" w:val="clear"/>
            <w:vAlign w:val="bottom"/>
          </w:tcPr>
          <w:p>
            <w:pPr>
              <w:pStyle w:val="TableContents"/>
              <w:spacing w:before="0" w:after="0"/>
              <w:ind w:left="0" w:right="0" w:hanging="0"/>
              <w:jc w:val="center"/>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9"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2" w:type="dxa"/>
            <w:tcBorders/>
            <w:shd w:fill="auto" w:val="clear"/>
            <w:vAlign w:val="bottom"/>
          </w:tcPr>
          <w:p>
            <w:pPr>
              <w:pStyle w:val="TableContents"/>
              <w:spacing w:before="0" w:after="0"/>
              <w:ind w:left="0" w:right="0" w:hanging="0"/>
              <w:jc w:val="center"/>
              <w:rPr/>
            </w:pPr>
            <w:r>
              <w:rPr/>
              <w:t> </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20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09"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9"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9" w:type="dxa"/>
            <w:tcBorders/>
            <w:shd w:fill="CCEEFF" w:val="clear"/>
            <w:vAlign w:val="bottom"/>
          </w:tcPr>
          <w:p>
            <w:pPr>
              <w:pStyle w:val="TableContents"/>
              <w:spacing w:before="0" w:after="0"/>
              <w:ind w:left="0" w:right="0" w:hanging="0"/>
              <w:rPr/>
            </w:pPr>
            <w:r>
              <w:rPr/>
              <w:t> </w:t>
            </w:r>
          </w:p>
        </w:tc>
        <w:tc>
          <w:tcPr>
            <w:tcW w:w="6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08"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09"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0"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9" w:type="dxa"/>
            <w:tcBorders/>
            <w:shd w:fill="auto" w:val="clear"/>
            <w:vAlign w:val="bottom"/>
          </w:tcPr>
          <w:p>
            <w:pPr>
              <w:pStyle w:val="TableContents"/>
              <w:spacing w:before="0" w:after="0"/>
              <w:ind w:left="0" w:right="0" w:hanging="0"/>
              <w:rPr/>
            </w:pPr>
            <w:r>
              <w:rPr/>
              <w:t> </w:t>
            </w:r>
          </w:p>
        </w:tc>
        <w:tc>
          <w:tcPr>
            <w:tcW w:w="6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08"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09"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0"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profit </w:t>
            </w:r>
          </w:p>
        </w:tc>
        <w:tc>
          <w:tcPr>
            <w:tcW w:w="206"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09" w:type="dxa"/>
            <w:tcBorders/>
            <w:shd w:fill="CCEEFF" w:val="clear"/>
            <w:vAlign w:val="bottom"/>
          </w:tcPr>
          <w:p>
            <w:pPr>
              <w:pStyle w:val="TableContents"/>
              <w:spacing w:before="0" w:after="0"/>
              <w:ind w:left="0" w:right="0" w:hanging="0"/>
              <w:rPr/>
            </w:pPr>
            <w:r>
              <w:rPr/>
              <w:t> </w:t>
            </w:r>
          </w:p>
        </w:tc>
        <w:tc>
          <w:tcPr>
            <w:tcW w:w="64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08"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209"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10" w:type="dxa"/>
            <w:tcBorders/>
            <w:shd w:fill="CCEEFF" w:val="clear"/>
            <w:vAlign w:val="bottom"/>
          </w:tcPr>
          <w:p>
            <w:pPr>
              <w:pStyle w:val="TableContents"/>
              <w:spacing w:before="0" w:after="0"/>
              <w:ind w:left="0" w:right="0" w:hanging="0"/>
              <w:rPr/>
            </w:pPr>
            <w:r>
              <w:rPr/>
              <w:t> </w:t>
            </w:r>
          </w:p>
        </w:tc>
        <w:tc>
          <w:tcPr>
            <w:tcW w:w="6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9" w:type="dxa"/>
            <w:tcBorders/>
            <w:shd w:fill="auto" w:val="clear"/>
            <w:vAlign w:val="bottom"/>
          </w:tcPr>
          <w:p>
            <w:pPr>
              <w:pStyle w:val="TableContents"/>
              <w:spacing w:before="0" w:after="0"/>
              <w:ind w:left="0" w:right="0" w:hanging="0"/>
              <w:rPr/>
            </w:pPr>
            <w:r>
              <w:rPr/>
              <w:t> </w:t>
            </w:r>
          </w:p>
        </w:tc>
        <w:tc>
          <w:tcPr>
            <w:tcW w:w="6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208"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209"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0"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06"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06"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0"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6"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9" w:type="dxa"/>
            <w:tcBorders/>
            <w:shd w:fill="CCEEFF" w:val="clear"/>
            <w:vAlign w:val="bottom"/>
          </w:tcPr>
          <w:p>
            <w:pPr>
              <w:pStyle w:val="TableContents"/>
              <w:spacing w:before="0" w:after="0"/>
              <w:ind w:left="0" w:right="0" w:hanging="0"/>
              <w:rPr/>
            </w:pPr>
            <w:r>
              <w:rPr/>
              <w:t> </w:t>
            </w:r>
          </w:p>
        </w:tc>
        <w:tc>
          <w:tcPr>
            <w:tcW w:w="6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08"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09"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10"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64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09"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09"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9" w:type="dxa"/>
            <w:tcBorders/>
            <w:shd w:fill="CCEEFF" w:val="clear"/>
            <w:vAlign w:val="bottom"/>
          </w:tcPr>
          <w:p>
            <w:pPr>
              <w:pStyle w:val="TableContents"/>
              <w:spacing w:before="0" w:after="0"/>
              <w:ind w:left="0" w:right="0" w:hanging="0"/>
              <w:rPr/>
            </w:pPr>
            <w:r>
              <w:rPr/>
              <w:t> </w:t>
            </w:r>
          </w:p>
        </w:tc>
        <w:tc>
          <w:tcPr>
            <w:tcW w:w="6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08"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09"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10" w:type="dxa"/>
            <w:tcBorders/>
            <w:shd w:fill="CCEEFF" w:val="clear"/>
            <w:vAlign w:val="bottom"/>
          </w:tcPr>
          <w:p>
            <w:pPr>
              <w:pStyle w:val="TableContents"/>
              <w:spacing w:before="0" w:after="0"/>
              <w:ind w:left="0" w:right="0" w:hanging="0"/>
              <w:rPr/>
            </w:pPr>
            <w:r>
              <w:rPr/>
              <w:t> </w:t>
            </w:r>
          </w:p>
        </w:tc>
        <w:tc>
          <w:tcPr>
            <w:tcW w:w="6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47" w:type="dxa"/>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6"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47"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pPr>
            <w:r>
              <w:rPr/>
              <w:t> </w:t>
            </w:r>
          </w:p>
        </w:tc>
        <w:tc>
          <w:tcPr>
            <w:tcW w:w="232" w:type="dxa"/>
            <w:tcBorders/>
            <w:shd w:fill="CCEEFF" w:val="clear"/>
            <w:vAlign w:val="bottom"/>
          </w:tcPr>
          <w:p>
            <w:pPr>
              <w:pStyle w:val="TableContents"/>
              <w:spacing w:before="0" w:after="0"/>
              <w:ind w:left="0" w:right="0" w:hanging="0"/>
              <w:rPr/>
            </w:pPr>
            <w:r>
              <w:rPr/>
              <w:t> </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20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09"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9"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209" w:type="dxa"/>
            <w:tcBorders/>
            <w:shd w:fill="auto" w:val="clear"/>
            <w:vAlign w:val="bottom"/>
          </w:tcPr>
          <w:p>
            <w:pPr>
              <w:pStyle w:val="TableContents"/>
              <w:spacing w:before="0" w:after="0"/>
              <w:ind w:left="0" w:right="0" w:hanging="0"/>
              <w:rPr/>
            </w:pPr>
            <w:r>
              <w:rPr/>
              <w:t> </w:t>
            </w:r>
          </w:p>
        </w:tc>
        <w:tc>
          <w:tcPr>
            <w:tcW w:w="6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08"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09"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210"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20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09"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9"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209" w:type="dxa"/>
            <w:tcBorders/>
            <w:shd w:fill="CCEEFF" w:val="clear"/>
            <w:vAlign w:val="bottom"/>
          </w:tcPr>
          <w:p>
            <w:pPr>
              <w:pStyle w:val="TableContents"/>
              <w:spacing w:before="0" w:after="0"/>
              <w:ind w:left="0" w:right="0" w:hanging="0"/>
              <w:rPr/>
            </w:pPr>
            <w:r>
              <w:rPr/>
              <w:t> </w:t>
            </w:r>
          </w:p>
        </w:tc>
        <w:tc>
          <w:tcPr>
            <w:tcW w:w="6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8"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209"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0.85</w:t>
            </w:r>
          </w:p>
        </w:tc>
        <w:tc>
          <w:tcPr>
            <w:tcW w:w="210"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06"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9"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9" w:type="dxa"/>
            <w:tcBorders/>
            <w:shd w:fill="auto" w:val="clear"/>
            <w:vAlign w:val="bottom"/>
          </w:tcPr>
          <w:p>
            <w:pPr>
              <w:pStyle w:val="TableContents"/>
              <w:spacing w:before="0" w:after="0"/>
              <w:ind w:left="0" w:right="0" w:hanging="0"/>
              <w:rPr/>
            </w:pPr>
            <w:r>
              <w:rPr/>
              <w:t> </w:t>
            </w:r>
          </w:p>
        </w:tc>
        <w:tc>
          <w:tcPr>
            <w:tcW w:w="6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8"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9"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0"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06"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9"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9" w:type="dxa"/>
            <w:tcBorders/>
            <w:shd w:fill="CCEEFF" w:val="clear"/>
            <w:vAlign w:val="bottom"/>
          </w:tcPr>
          <w:p>
            <w:pPr>
              <w:pStyle w:val="TableContents"/>
              <w:spacing w:before="0" w:after="0"/>
              <w:ind w:left="0" w:right="0" w:hanging="0"/>
              <w:rPr/>
            </w:pPr>
            <w:r>
              <w:rPr/>
              <w:t> </w:t>
            </w:r>
          </w:p>
        </w:tc>
        <w:tc>
          <w:tcPr>
            <w:tcW w:w="6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8"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9"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from the most directly comparable measures as reported in accordance with GAAP, and should be viewed in addition to, and not in lieu of, our condensed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59" w:name="PB_34_013924_8627"/>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non-GAAP financial measures that are reconciled to the most directly comparable GAAP measures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90"/>
        <w:gridCol w:w="936"/>
        <w:gridCol w:w="111"/>
        <w:gridCol w:w="514"/>
        <w:gridCol w:w="106"/>
        <w:gridCol w:w="111"/>
        <w:gridCol w:w="514"/>
        <w:gridCol w:w="106"/>
        <w:gridCol w:w="110"/>
        <w:gridCol w:w="513"/>
        <w:gridCol w:w="106"/>
        <w:gridCol w:w="641"/>
        <w:gridCol w:w="212"/>
        <w:gridCol w:w="111"/>
        <w:gridCol w:w="514"/>
        <w:gridCol w:w="106"/>
        <w:gridCol w:w="111"/>
        <w:gridCol w:w="514"/>
        <w:gridCol w:w="105"/>
        <w:gridCol w:w="111"/>
        <w:gridCol w:w="513"/>
        <w:gridCol w:w="106"/>
        <w:gridCol w:w="617"/>
        <w:gridCol w:w="227"/>
      </w:tblGrid>
      <w:tr>
        <w:trPr/>
        <w:tc>
          <w:tcPr>
            <w:tcW w:w="3190" w:type="dxa"/>
            <w:tcBorders/>
            <w:shd w:fill="auto" w:val="clear"/>
            <w:vAlign w:val="bottom"/>
          </w:tcPr>
          <w:p>
            <w:pPr>
              <w:pStyle w:val="TableContents"/>
              <w:spacing w:before="0" w:after="0"/>
              <w:ind w:left="0" w:right="0" w:hanging="0"/>
              <w:rPr/>
            </w:pPr>
            <w:r>
              <w:rPr/>
              <w:t> </w:t>
            </w:r>
          </w:p>
        </w:tc>
        <w:tc>
          <w:tcPr>
            <w:tcW w:w="936" w:type="dxa"/>
            <w:tcBorders/>
            <w:shd w:fill="auto" w:val="clear"/>
            <w:vAlign w:val="bottom"/>
          </w:tcPr>
          <w:p>
            <w:pPr>
              <w:pStyle w:val="TableContents"/>
              <w:spacing w:before="0" w:after="0"/>
              <w:ind w:left="0" w:right="0" w:hanging="0"/>
              <w:rPr/>
            </w:pPr>
            <w:r>
              <w:rPr/>
              <w:t> </w:t>
            </w:r>
          </w:p>
        </w:tc>
        <w:tc>
          <w:tcPr>
            <w:tcW w:w="135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06" w:type="dxa"/>
            <w:tcBorders/>
            <w:shd w:fill="auto" w:val="clear"/>
            <w:vAlign w:val="bottom"/>
          </w:tcPr>
          <w:p>
            <w:pPr>
              <w:pStyle w:val="TableContents"/>
              <w:spacing w:before="0" w:after="0"/>
              <w:ind w:left="0" w:right="0" w:hanging="0"/>
              <w:jc w:val="center"/>
              <w:rPr/>
            </w:pPr>
            <w:r>
              <w:rPr/>
              <w:t> </w:t>
            </w:r>
          </w:p>
        </w:tc>
        <w:tc>
          <w:tcPr>
            <w:tcW w:w="137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12" w:type="dxa"/>
            <w:tcBorders/>
            <w:shd w:fill="auto" w:val="clear"/>
            <w:vAlign w:val="bottom"/>
          </w:tcPr>
          <w:p>
            <w:pPr>
              <w:pStyle w:val="TableContents"/>
              <w:spacing w:before="0" w:after="0"/>
              <w:ind w:left="0" w:right="0" w:hanging="0"/>
              <w:jc w:val="center"/>
              <w:rPr/>
            </w:pPr>
            <w:r>
              <w:rPr/>
              <w:t> </w:t>
            </w:r>
          </w:p>
        </w:tc>
        <w:tc>
          <w:tcPr>
            <w:tcW w:w="135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05" w:type="dxa"/>
            <w:tcBorders/>
            <w:shd w:fill="auto" w:val="clear"/>
            <w:vAlign w:val="bottom"/>
          </w:tcPr>
          <w:p>
            <w:pPr>
              <w:pStyle w:val="TableContents"/>
              <w:spacing w:before="0" w:after="0"/>
              <w:ind w:left="0" w:right="0" w:hanging="0"/>
              <w:jc w:val="center"/>
              <w:rPr/>
            </w:pPr>
            <w:r>
              <w:rPr/>
              <w:t> </w:t>
            </w:r>
          </w:p>
        </w:tc>
        <w:tc>
          <w:tcPr>
            <w:tcW w:w="134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pPr>
            <w:r>
              <w:rPr/>
              <w:t> </w:t>
            </w:r>
          </w:p>
        </w:tc>
        <w:tc>
          <w:tcPr>
            <w:tcW w:w="936" w:type="dxa"/>
            <w:tcBorders/>
            <w:shd w:fill="auto" w:val="clear"/>
            <w:vAlign w:val="bottom"/>
          </w:tcPr>
          <w:p>
            <w:pPr>
              <w:pStyle w:val="TableContents"/>
              <w:spacing w:before="0" w:after="0"/>
              <w:ind w:left="0" w:right="0" w:hanging="0"/>
              <w:rPr/>
            </w:pPr>
            <w:r>
              <w:rPr/>
              <w:t> </w:t>
            </w:r>
          </w:p>
        </w:tc>
        <w:tc>
          <w:tcPr>
            <w:tcW w:w="135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06" w:type="dxa"/>
            <w:tcBorders/>
            <w:shd w:fill="auto" w:val="clear"/>
            <w:vAlign w:val="bottom"/>
          </w:tcPr>
          <w:p>
            <w:pPr>
              <w:pStyle w:val="TableContents"/>
              <w:spacing w:before="0" w:after="0"/>
              <w:ind w:left="0" w:right="0" w:hanging="0"/>
              <w:jc w:val="center"/>
              <w:rPr/>
            </w:pPr>
            <w:r>
              <w:rPr/>
              <w:t> </w:t>
            </w:r>
          </w:p>
        </w:tc>
        <w:tc>
          <w:tcPr>
            <w:tcW w:w="137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2" w:type="dxa"/>
            <w:tcBorders/>
            <w:shd w:fill="auto" w:val="clear"/>
            <w:vAlign w:val="bottom"/>
          </w:tcPr>
          <w:p>
            <w:pPr>
              <w:pStyle w:val="TableContents"/>
              <w:spacing w:before="0" w:after="0"/>
              <w:ind w:left="0" w:right="0" w:hanging="0"/>
              <w:jc w:val="center"/>
              <w:rPr/>
            </w:pPr>
            <w:r>
              <w:rPr/>
              <w:t> </w:t>
            </w:r>
          </w:p>
        </w:tc>
        <w:tc>
          <w:tcPr>
            <w:tcW w:w="135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05" w:type="dxa"/>
            <w:tcBorders/>
            <w:shd w:fill="auto" w:val="clear"/>
            <w:vAlign w:val="bottom"/>
          </w:tcPr>
          <w:p>
            <w:pPr>
              <w:pStyle w:val="TableContents"/>
              <w:spacing w:before="0" w:after="0"/>
              <w:ind w:left="0" w:right="0" w:hanging="0"/>
              <w:jc w:val="center"/>
              <w:rPr/>
            </w:pPr>
            <w:r>
              <w:rPr/>
              <w:t> </w:t>
            </w:r>
          </w:p>
        </w:tc>
        <w:tc>
          <w:tcPr>
            <w:tcW w:w="134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pPr>
            <w:r>
              <w:rPr/>
              <w:t> </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6" w:type="dxa"/>
            <w:tcBorders/>
            <w:shd w:fill="auto" w:val="clear"/>
            <w:vAlign w:val="bottom"/>
          </w:tcPr>
          <w:p>
            <w:pPr>
              <w:pStyle w:val="TableContents"/>
              <w:spacing w:before="0" w:after="0"/>
              <w:ind w:left="0" w:right="0" w:hanging="0"/>
              <w:jc w:val="center"/>
              <w:rPr/>
            </w:pPr>
            <w:r>
              <w:rPr/>
              <w:t> </w:t>
            </w:r>
          </w:p>
        </w:tc>
        <w:tc>
          <w:tcPr>
            <w:tcW w:w="6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2" w:type="dxa"/>
            <w:tcBorders/>
            <w:shd w:fill="auto" w:val="clear"/>
            <w:vAlign w:val="bottom"/>
          </w:tcPr>
          <w:p>
            <w:pPr>
              <w:pStyle w:val="TableContents"/>
              <w:spacing w:before="0" w:after="0"/>
              <w:ind w:left="0" w:right="0" w:hanging="0"/>
              <w:jc w:val="center"/>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5" w:type="dxa"/>
            <w:tcBorders/>
            <w:shd w:fill="auto" w:val="clear"/>
            <w:vAlign w:val="bottom"/>
          </w:tcPr>
          <w:p>
            <w:pPr>
              <w:pStyle w:val="TableContents"/>
              <w:spacing w:before="0" w:after="0"/>
              <w:ind w:left="0" w:right="0" w:hanging="0"/>
              <w:jc w:val="center"/>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93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10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0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06" w:type="dxa"/>
            <w:tcBorders/>
            <w:shd w:fill="CCEEFF" w:val="clear"/>
            <w:vAlign w:val="bottom"/>
          </w:tcPr>
          <w:p>
            <w:pPr>
              <w:pStyle w:val="TableContents"/>
              <w:spacing w:before="0" w:after="0"/>
              <w:ind w:left="0" w:right="0" w:hanging="0"/>
              <w:rPr/>
            </w:pPr>
            <w:r>
              <w:rPr/>
              <w:t> </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17" w:type="dxa"/>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6" w:type="dxa"/>
            <w:tcBorders/>
            <w:shd w:fill="CCEEFF" w:val="clear"/>
            <w:vAlign w:val="bottom"/>
          </w:tcPr>
          <w:p>
            <w:pPr>
              <w:pStyle w:val="TableContents"/>
              <w:spacing w:before="0" w:after="0"/>
              <w:ind w:left="0" w:right="0" w:hanging="0"/>
              <w:rPr/>
            </w:pPr>
            <w:r>
              <w:rPr/>
              <w:t> </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6" w:type="dxa"/>
            <w:tcBorders/>
            <w:shd w:fill="auto" w:val="clear"/>
            <w:vAlign w:val="bottom"/>
          </w:tcPr>
          <w:p>
            <w:pPr>
              <w:pStyle w:val="TableContents"/>
              <w:spacing w:before="0" w:after="0"/>
              <w:ind w:left="0" w:right="0" w:hanging="0"/>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6" w:type="dxa"/>
            <w:tcBorders/>
            <w:shd w:fill="CCEEFF" w:val="clear"/>
            <w:vAlign w:val="bottom"/>
          </w:tcPr>
          <w:p>
            <w:pPr>
              <w:pStyle w:val="TableContents"/>
              <w:spacing w:before="0" w:after="0"/>
              <w:ind w:left="0" w:right="0" w:hanging="0"/>
              <w:rPr/>
            </w:pPr>
            <w:r>
              <w:rPr/>
              <w:t> </w:t>
            </w:r>
          </w:p>
        </w:tc>
        <w:tc>
          <w:tcPr>
            <w:tcW w:w="6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6" w:type="dxa"/>
            <w:tcBorders/>
            <w:shd w:fill="CCEEFF" w:val="clear"/>
            <w:vAlign w:val="bottom"/>
          </w:tcPr>
          <w:p>
            <w:pPr>
              <w:pStyle w:val="TableContents"/>
              <w:spacing w:before="0" w:after="0"/>
              <w:ind w:left="0" w:right="0" w:hanging="0"/>
              <w:rPr/>
            </w:pPr>
            <w:r>
              <w:rPr/>
              <w:t> </w:t>
            </w:r>
          </w:p>
        </w:tc>
        <w:tc>
          <w:tcPr>
            <w:tcW w:w="6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93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0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10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06" w:type="dxa"/>
            <w:tcBorders/>
            <w:shd w:fill="auto" w:val="clear"/>
            <w:vAlign w:val="bottom"/>
          </w:tcPr>
          <w:p>
            <w:pPr>
              <w:pStyle w:val="TableContents"/>
              <w:spacing w:before="0" w:after="0"/>
              <w:ind w:left="0" w:right="0" w:hanging="0"/>
              <w:rPr/>
            </w:pPr>
            <w:r>
              <w:rPr/>
              <w:t> </w:t>
            </w:r>
          </w:p>
        </w:tc>
        <w:tc>
          <w:tcPr>
            <w:tcW w:w="6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10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w:t>
            </w:r>
          </w:p>
        </w:tc>
        <w:tc>
          <w:tcPr>
            <w:tcW w:w="105"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06" w:type="dxa"/>
            <w:tcBorders/>
            <w:shd w:fill="auto" w:val="clear"/>
            <w:vAlign w:val="bottom"/>
          </w:tcPr>
          <w:p>
            <w:pPr>
              <w:pStyle w:val="TableContents"/>
              <w:spacing w:before="0" w:after="0"/>
              <w:ind w:left="0" w:right="0" w:hanging="0"/>
              <w:rPr/>
            </w:pPr>
            <w:r>
              <w:rPr/>
              <w:t> </w:t>
            </w:r>
          </w:p>
        </w:tc>
        <w:tc>
          <w:tcPr>
            <w:tcW w:w="6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pPr>
            <w:r>
              <w:rPr/>
              <w:t> </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17" w:type="dxa"/>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of EBITDA</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617" w:type="dxa"/>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CCEEFF" w:val="clear"/>
            <w:vAlign w:val="bottom"/>
          </w:tcPr>
          <w:p>
            <w:pPr>
              <w:pStyle w:val="TableContents"/>
              <w:spacing w:before="0" w:after="0"/>
              <w:ind w:left="0" w:right="0" w:hanging="0"/>
              <w:rPr/>
            </w:pPr>
            <w:r>
              <w:rPr>
                <w:rFonts w:ascii="Times New Roman" w:hAnsi="Times New Roman"/>
                <w:sz w:val="17"/>
              </w:rPr>
              <w:t xml:space="preserve">Inventory valuation adjustments net of gains from related derivative activities </w:t>
            </w:r>
            <w:r>
              <w:rPr>
                <w:sz w:val="11"/>
              </w:rPr>
              <w:t>(1)</w:t>
            </w:r>
          </w:p>
        </w:tc>
        <w:tc>
          <w:tcPr>
            <w:tcW w:w="93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7" w:type="dxa"/>
            <w:tcBorders/>
            <w:shd w:fill="CCEEFF"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pPr>
            <w:r>
              <w:rPr>
                <w:rFonts w:ascii="Times New Roman" w:hAnsi="Times New Roman"/>
                <w:sz w:val="17"/>
              </w:rPr>
              <w:t xml:space="preserve">Gains from other derivative activities </w:t>
            </w:r>
            <w:r>
              <w:rPr>
                <w:sz w:val="11"/>
              </w:rPr>
              <w:t>(1)</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(2)</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pPr>
            <w:r>
              <w:rPr>
                <w:rFonts w:ascii="Times New Roman" w:hAnsi="Times New Roman"/>
                <w:sz w:val="17"/>
              </w:rPr>
              <w:t xml:space="preserve">Net loss on foreign currency revaluation </w:t>
            </w:r>
            <w:r>
              <w:rPr>
                <w:sz w:val="11"/>
              </w:rPr>
              <w:t>(3)</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2"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6" w:type="dxa"/>
            <w:tcBorders/>
            <w:shd w:fill="CCEEFF" w:val="clear"/>
            <w:vAlign w:val="bottom"/>
          </w:tcPr>
          <w:p>
            <w:pPr>
              <w:pStyle w:val="TableContents"/>
              <w:spacing w:before="0" w:after="0"/>
              <w:ind w:left="0" w:right="0" w:hanging="0"/>
              <w:rPr/>
            </w:pPr>
            <w:r>
              <w:rPr/>
              <w:t> </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7" w:type="dxa"/>
            <w:tcBorders/>
            <w:shd w:fill="CCEEFF"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2"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pPr>
            <w:r>
              <w:rPr>
                <w:rFonts w:ascii="Times New Roman" w:hAnsi="Times New Roman"/>
                <w:sz w:val="17"/>
              </w:rPr>
              <w:t>Other</w:t>
            </w:r>
            <w:r>
              <w:rPr/>
              <w:t xml:space="preserve"> </w:t>
            </w:r>
            <w:r>
              <w:rPr>
                <w:sz w:val="11"/>
              </w:rPr>
              <w:t>(4)</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6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93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06" w:type="dxa"/>
            <w:tcBorders/>
            <w:shd w:fill="auto" w:val="clear"/>
            <w:vAlign w:val="bottom"/>
          </w:tcPr>
          <w:p>
            <w:pPr>
              <w:pStyle w:val="TableContents"/>
              <w:spacing w:before="0" w:after="0"/>
              <w:ind w:left="0" w:right="0" w:hanging="0"/>
              <w:rPr/>
            </w:pPr>
            <w:r>
              <w:rPr/>
              <w:t> </w:t>
            </w:r>
          </w:p>
        </w:tc>
        <w:tc>
          <w:tcPr>
            <w:tcW w:w="6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3,400</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pPr>
            <w:r>
              <w:rPr/>
              <w:t> </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17" w:type="dxa"/>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93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10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1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w:t>
            </w:r>
          </w:p>
        </w:tc>
        <w:tc>
          <w:tcPr>
            <w:tcW w:w="105"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06" w:type="dxa"/>
            <w:tcBorders/>
            <w:shd w:fill="auto" w:val="clear"/>
            <w:vAlign w:val="bottom"/>
          </w:tcPr>
          <w:p>
            <w:pPr>
              <w:pStyle w:val="TableContents"/>
              <w:spacing w:before="0" w:after="0"/>
              <w:ind w:left="0" w:right="0" w:hanging="0"/>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(3,400</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6" w:type="dxa"/>
            <w:tcBorders/>
            <w:shd w:fill="CCEEFF" w:val="clear"/>
            <w:vAlign w:val="bottom"/>
          </w:tcPr>
          <w:p>
            <w:pPr>
              <w:pStyle w:val="TableContents"/>
              <w:spacing w:before="0" w:after="0"/>
              <w:ind w:left="0" w:right="0" w:hanging="0"/>
              <w:rPr/>
            </w:pPr>
            <w:r>
              <w:rPr/>
              <w:t> </w:t>
            </w:r>
          </w:p>
        </w:tc>
        <w:tc>
          <w:tcPr>
            <w:tcW w:w="6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93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0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10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06" w:type="dxa"/>
            <w:tcBorders/>
            <w:shd w:fill="auto" w:val="clear"/>
            <w:vAlign w:val="bottom"/>
          </w:tcPr>
          <w:p>
            <w:pPr>
              <w:pStyle w:val="TableContents"/>
              <w:spacing w:before="0" w:after="0"/>
              <w:ind w:left="0" w:right="0" w:hanging="0"/>
              <w:rPr/>
            </w:pPr>
            <w:r>
              <w:rPr/>
              <w:t> </w:t>
            </w:r>
          </w:p>
        </w:tc>
        <w:tc>
          <w:tcPr>
            <w:tcW w:w="6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10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05"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06" w:type="dxa"/>
            <w:tcBorders/>
            <w:shd w:fill="auto" w:val="clear"/>
            <w:vAlign w:val="bottom"/>
          </w:tcPr>
          <w:p>
            <w:pPr>
              <w:pStyle w:val="TableContents"/>
              <w:spacing w:before="0" w:after="0"/>
              <w:ind w:left="0" w:right="0" w:hanging="0"/>
              <w:rPr/>
            </w:pPr>
            <w:r>
              <w:rPr/>
              <w:t> </w:t>
            </w:r>
          </w:p>
        </w:tc>
        <w:tc>
          <w:tcPr>
            <w:tcW w:w="6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pPr>
            <w:r>
              <w:rPr/>
              <w:t> </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3"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617" w:type="dxa"/>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93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10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10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05"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06" w:type="dxa"/>
            <w:tcBorders/>
            <w:shd w:fill="auto" w:val="clear"/>
            <w:vAlign w:val="bottom"/>
          </w:tcPr>
          <w:p>
            <w:pPr>
              <w:pStyle w:val="TableContents"/>
              <w:spacing w:before="0" w:after="0"/>
              <w:ind w:left="0" w:right="0" w:hanging="0"/>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6"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CCEEFF"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936"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936" w:type="dxa"/>
            <w:tcBorders/>
            <w:shd w:fill="auto"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auto" w:val="clear"/>
            <w:vAlign w:val="bottom"/>
          </w:tcPr>
          <w:p>
            <w:pPr>
              <w:pStyle w:val="TableContents"/>
              <w:spacing w:before="0" w:after="0"/>
              <w:ind w:left="0" w:right="0" w:hanging="0"/>
              <w:rPr/>
            </w:pPr>
            <w:r>
              <w:rPr/>
              <w:t> </w:t>
            </w:r>
          </w:p>
        </w:tc>
        <w:tc>
          <w:tcPr>
            <w:tcW w:w="61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7" w:type="dxa"/>
            <w:tcBorders/>
            <w:shd w:fill="auto" w:val="clear"/>
            <w:vAlign w:val="bottom"/>
          </w:tcPr>
          <w:p>
            <w:pPr>
              <w:pStyle w:val="TableContents"/>
              <w:spacing w:before="0" w:after="0"/>
              <w:ind w:left="0" w:right="0" w:hanging="0"/>
              <w:rPr/>
            </w:pPr>
            <w:r>
              <w:rPr/>
              <w:t> </w:t>
            </w:r>
          </w:p>
        </w:tc>
      </w:tr>
      <w:tr>
        <w:trPr/>
        <w:tc>
          <w:tcPr>
            <w:tcW w:w="3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93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10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06" w:type="dxa"/>
            <w:tcBorders/>
            <w:shd w:fill="CCEEFF" w:val="clear"/>
            <w:vAlign w:val="bottom"/>
          </w:tcPr>
          <w:p>
            <w:pPr>
              <w:pStyle w:val="TableContents"/>
              <w:spacing w:before="0" w:after="0"/>
              <w:ind w:left="0" w:right="0" w:hanging="0"/>
              <w:rPr/>
            </w:pPr>
            <w:r>
              <w:rPr/>
              <w:t> </w:t>
            </w:r>
          </w:p>
        </w:tc>
        <w:tc>
          <w:tcPr>
            <w:tcW w:w="6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10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106" w:type="dxa"/>
            <w:tcBorders/>
            <w:shd w:fill="CCEEFF" w:val="clear"/>
            <w:vAlign w:val="bottom"/>
          </w:tcPr>
          <w:p>
            <w:pPr>
              <w:pStyle w:val="TableContents"/>
              <w:spacing w:before="0" w:after="0"/>
              <w:ind w:left="0" w:right="0" w:hanging="0"/>
              <w:rPr/>
            </w:pPr>
            <w:r>
              <w:rPr/>
              <w:t> </w:t>
            </w:r>
          </w:p>
        </w:tc>
        <w:tc>
          <w:tcPr>
            <w:tcW w:w="6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Gains from derivative activities related to revalued inventory are included in the line item Inventory valuation adjustments net of gains from related derivative activities. Gains from other derivative activities are not related to revalued inventory and include mark-to-market gains and losses resulting from derivative instruments that are related to underlying activities in future periods or the reversal of mark-to-market gains and losses from the prior period.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are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10 to our Consolidated Financial Statements included in Part IV of our 2011 Annual Report on Form 10-K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During the second quarter of 2012, there were significant fluctuations in the value of the Canadian dollar to the U.S dollar, resulting in losses that were not related to our core operating results and were thus classified as selected items impacting comparability. See Note 11 to our condensed consolidated financial statements for further discussion regarding our currency exchange rate risk hedging activities.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0" w:name="PB_35_014236_7906"/>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NGL and refined products on pipelines, gathering systems, trucks and barges.  The transportation segment generates revenue through a combination of tariffs, third-party leases of pipeline capacity and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92"/>
        <w:gridCol w:w="220"/>
        <w:gridCol w:w="110"/>
        <w:gridCol w:w="554"/>
        <w:gridCol w:w="220"/>
        <w:gridCol w:w="110"/>
        <w:gridCol w:w="554"/>
        <w:gridCol w:w="220"/>
        <w:gridCol w:w="110"/>
        <w:gridCol w:w="554"/>
        <w:gridCol w:w="219"/>
        <w:gridCol w:w="663"/>
        <w:gridCol w:w="221"/>
        <w:gridCol w:w="110"/>
        <w:gridCol w:w="554"/>
        <w:gridCol w:w="220"/>
        <w:gridCol w:w="110"/>
        <w:gridCol w:w="554"/>
        <w:gridCol w:w="220"/>
        <w:gridCol w:w="110"/>
        <w:gridCol w:w="554"/>
        <w:gridCol w:w="219"/>
        <w:gridCol w:w="664"/>
        <w:gridCol w:w="243"/>
      </w:tblGrid>
      <w:tr>
        <w:trPr/>
        <w:tc>
          <w:tcPr>
            <w:tcW w:w="2892"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4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1" w:type="dxa"/>
            <w:tcBorders/>
            <w:shd w:fill="auto" w:val="clear"/>
            <w:vAlign w:val="bottom"/>
          </w:tcPr>
          <w:p>
            <w:pPr>
              <w:pStyle w:val="TableContents"/>
              <w:spacing w:before="0" w:after="0"/>
              <w:ind w:left="0" w:right="0" w:hanging="0"/>
              <w:jc w:val="center"/>
              <w:rPr/>
            </w:pPr>
            <w:r>
              <w:rPr/>
              <w:t> </w:t>
            </w:r>
          </w:p>
        </w:tc>
        <w:tc>
          <w:tcPr>
            <w:tcW w:w="664"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4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43" w:type="dxa"/>
            <w:tcBorders/>
            <w:shd w:fill="auto" w:val="clear"/>
            <w:vAlign w:val="bottom"/>
          </w:tcPr>
          <w:p>
            <w:pPr>
              <w:pStyle w:val="TableContents"/>
              <w:spacing w:before="0" w:after="0"/>
              <w:ind w:left="0" w:right="0" w:hanging="0"/>
              <w:jc w:val="center"/>
              <w:rPr/>
            </w:pPr>
            <w:r>
              <w:rPr/>
              <w:t> </w:t>
            </w:r>
          </w:p>
        </w:tc>
      </w:tr>
      <w:tr>
        <w:trPr/>
        <w:tc>
          <w:tcPr>
            <w:tcW w:w="2892"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4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0" w:type="dxa"/>
            <w:tcBorders/>
            <w:shd w:fill="auto" w:val="clear"/>
            <w:vAlign w:val="bottom"/>
          </w:tcPr>
          <w:p>
            <w:pPr>
              <w:pStyle w:val="TableContents"/>
              <w:spacing w:before="0" w:after="0"/>
              <w:ind w:left="0" w:right="0" w:hanging="0"/>
              <w:jc w:val="center"/>
              <w:rPr/>
            </w:pPr>
            <w:r>
              <w:rPr/>
              <w:t> </w:t>
            </w:r>
          </w:p>
        </w:tc>
        <w:tc>
          <w:tcPr>
            <w:tcW w:w="154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1" w:type="dxa"/>
            <w:tcBorders/>
            <w:shd w:fill="auto" w:val="clear"/>
            <w:vAlign w:val="bottom"/>
          </w:tcPr>
          <w:p>
            <w:pPr>
              <w:pStyle w:val="TableContents"/>
              <w:spacing w:before="0" w:after="0"/>
              <w:ind w:left="0" w:right="0" w:hanging="0"/>
              <w:jc w:val="center"/>
              <w:rPr/>
            </w:pPr>
            <w:r>
              <w:rPr/>
              <w:t> </w:t>
            </w:r>
          </w:p>
        </w:tc>
        <w:tc>
          <w:tcPr>
            <w:tcW w:w="154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0" w:type="dxa"/>
            <w:tcBorders/>
            <w:shd w:fill="auto" w:val="clear"/>
            <w:vAlign w:val="bottom"/>
          </w:tcPr>
          <w:p>
            <w:pPr>
              <w:pStyle w:val="TableContents"/>
              <w:spacing w:before="0" w:after="0"/>
              <w:ind w:left="0" w:right="0" w:hanging="0"/>
              <w:jc w:val="center"/>
              <w:rPr/>
            </w:pPr>
            <w:r>
              <w:rPr/>
              <w:t> </w:t>
            </w:r>
          </w:p>
        </w:tc>
        <w:tc>
          <w:tcPr>
            <w:tcW w:w="154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43" w:type="dxa"/>
            <w:tcBorders/>
            <w:shd w:fill="auto" w:val="clear"/>
            <w:vAlign w:val="bottom"/>
          </w:tcPr>
          <w:p>
            <w:pPr>
              <w:pStyle w:val="TableContents"/>
              <w:spacing w:before="0" w:after="0"/>
              <w:ind w:left="0" w:right="0" w:hanging="0"/>
              <w:jc w:val="center"/>
              <w:rPr/>
            </w:pPr>
            <w:r>
              <w:rPr/>
              <w:t> </w:t>
            </w:r>
          </w:p>
        </w:tc>
      </w:tr>
      <w:tr>
        <w:trPr/>
        <w:tc>
          <w:tcPr>
            <w:tcW w:w="2892"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w:t>
            </w:r>
            <w:r>
              <w:rPr>
                <w:b/>
                <w:sz w:val="8"/>
              </w:rPr>
              <w:t>(1)  </w:t>
            </w:r>
          </w:p>
        </w:tc>
        <w:tc>
          <w:tcPr>
            <w:tcW w:w="220" w:type="dxa"/>
            <w:tcBorders/>
            <w:shd w:fill="auto" w:val="clear"/>
            <w:vAlign w:val="bottom"/>
          </w:tcPr>
          <w:p>
            <w:pPr>
              <w:pStyle w:val="TableContents"/>
              <w:spacing w:before="0" w:after="0"/>
              <w:ind w:left="0" w:right="0" w:hanging="0"/>
              <w:jc w:val="center"/>
              <w:rPr/>
            </w:pPr>
            <w:r>
              <w:rPr/>
              <w:t> </w:t>
            </w:r>
          </w:p>
        </w:tc>
        <w:tc>
          <w:tcPr>
            <w:tcW w:w="154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0" w:type="dxa"/>
            <w:tcBorders/>
            <w:shd w:fill="auto" w:val="clear"/>
            <w:vAlign w:val="bottom"/>
          </w:tcPr>
          <w:p>
            <w:pPr>
              <w:pStyle w:val="TableContents"/>
              <w:spacing w:before="0" w:after="0"/>
              <w:ind w:left="0" w:right="0" w:hanging="0"/>
              <w:jc w:val="center"/>
              <w:rPr/>
            </w:pPr>
            <w:r>
              <w:rPr/>
              <w:t> </w:t>
            </w:r>
          </w:p>
        </w:tc>
        <w:tc>
          <w:tcPr>
            <w:tcW w:w="154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1" w:type="dxa"/>
            <w:tcBorders/>
            <w:shd w:fill="auto" w:val="clear"/>
            <w:vAlign w:val="bottom"/>
          </w:tcPr>
          <w:p>
            <w:pPr>
              <w:pStyle w:val="TableContents"/>
              <w:spacing w:before="0" w:after="0"/>
              <w:ind w:left="0" w:right="0" w:hanging="0"/>
              <w:jc w:val="center"/>
              <w:rPr/>
            </w:pPr>
            <w:r>
              <w:rPr/>
              <w:t> </w:t>
            </w:r>
          </w:p>
        </w:tc>
        <w:tc>
          <w:tcPr>
            <w:tcW w:w="154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0" w:type="dxa"/>
            <w:tcBorders/>
            <w:shd w:fill="auto" w:val="clear"/>
            <w:vAlign w:val="bottom"/>
          </w:tcPr>
          <w:p>
            <w:pPr>
              <w:pStyle w:val="TableContents"/>
              <w:spacing w:before="0" w:after="0"/>
              <w:ind w:left="0" w:right="0" w:hanging="0"/>
              <w:jc w:val="center"/>
              <w:rPr/>
            </w:pPr>
            <w:r>
              <w:rPr/>
              <w:t> </w:t>
            </w:r>
          </w:p>
        </w:tc>
        <w:tc>
          <w:tcPr>
            <w:tcW w:w="154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3" w:type="dxa"/>
            <w:tcBorders/>
            <w:shd w:fill="auto" w:val="clear"/>
            <w:vAlign w:val="bottom"/>
          </w:tcPr>
          <w:p>
            <w:pPr>
              <w:pStyle w:val="TableContents"/>
              <w:spacing w:before="0" w:after="0"/>
              <w:ind w:left="0" w:right="0" w:hanging="0"/>
              <w:jc w:val="center"/>
              <w:rPr/>
            </w:pPr>
            <w:r>
              <w:rPr/>
              <w:t> </w:t>
            </w:r>
          </w:p>
        </w:tc>
      </w:tr>
      <w:tr>
        <w:trPr/>
        <w:tc>
          <w:tcPr>
            <w:tcW w:w="289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9" w:type="dxa"/>
            <w:tcBorders/>
            <w:shd w:fill="auto" w:val="clear"/>
            <w:vAlign w:val="bottom"/>
          </w:tcPr>
          <w:p>
            <w:pPr>
              <w:pStyle w:val="TableContents"/>
              <w:spacing w:before="0" w:after="0"/>
              <w:ind w:left="0" w:right="0" w:hanging="0"/>
              <w:jc w:val="center"/>
              <w:rPr/>
            </w:pPr>
            <w:r>
              <w:rPr/>
              <w:t> </w:t>
            </w:r>
          </w:p>
        </w:tc>
        <w:tc>
          <w:tcPr>
            <w:tcW w:w="66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1" w:type="dxa"/>
            <w:tcBorders/>
            <w:shd w:fill="auto" w:val="clear"/>
            <w:vAlign w:val="bottom"/>
          </w:tcPr>
          <w:p>
            <w:pPr>
              <w:pStyle w:val="TableContents"/>
              <w:spacing w:before="0" w:after="0"/>
              <w:ind w:left="0" w:right="0" w:hanging="0"/>
              <w:jc w:val="center"/>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0" w:type="dxa"/>
            <w:tcBorders/>
            <w:shd w:fill="auto" w:val="clear"/>
            <w:vAlign w:val="bottom"/>
          </w:tcPr>
          <w:p>
            <w:pPr>
              <w:pStyle w:val="TableContents"/>
              <w:spacing w:before="0" w:after="0"/>
              <w:ind w:left="0" w:right="0" w:hanging="0"/>
              <w:jc w:val="center"/>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9" w:type="dxa"/>
            <w:tcBorders/>
            <w:shd w:fill="auto" w:val="clear"/>
            <w:vAlign w:val="bottom"/>
          </w:tcPr>
          <w:p>
            <w:pPr>
              <w:pStyle w:val="TableContents"/>
              <w:spacing w:before="0" w:after="0"/>
              <w:ind w:left="0" w:right="0" w:hanging="0"/>
              <w:jc w:val="center"/>
              <w:rPr/>
            </w:pPr>
            <w:r>
              <w:rPr/>
              <w:t> </w:t>
            </w:r>
          </w:p>
        </w:tc>
        <w:tc>
          <w:tcPr>
            <w:tcW w:w="66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3" w:type="dxa"/>
            <w:tcBorders/>
            <w:shd w:fill="auto" w:val="clear"/>
            <w:vAlign w:val="bottom"/>
          </w:tcPr>
          <w:p>
            <w:pPr>
              <w:pStyle w:val="TableContents"/>
              <w:spacing w:before="0" w:after="0"/>
              <w:ind w:left="0" w:right="0" w:hanging="0"/>
              <w:jc w:val="center"/>
              <w:rPr/>
            </w:pPr>
            <w:r>
              <w:rPr/>
              <w:t> </w:t>
            </w:r>
          </w:p>
        </w:tc>
      </w:tr>
      <w:tr>
        <w:trPr/>
        <w:tc>
          <w:tcPr>
            <w:tcW w:w="289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 xml:space="preserve">(1)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663"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pPr>
            <w:r>
              <w:rPr/>
              <w:t> </w:t>
            </w:r>
          </w:p>
        </w:tc>
        <w:tc>
          <w:tcPr>
            <w:tcW w:w="243" w:type="dxa"/>
            <w:tcBorders/>
            <w:shd w:fill="CCEEFF" w:val="clear"/>
            <w:vAlign w:val="bottom"/>
          </w:tcPr>
          <w:p>
            <w:pPr>
              <w:pStyle w:val="TableContents"/>
              <w:spacing w:before="0" w:after="0"/>
              <w:ind w:left="0" w:right="0" w:hanging="0"/>
              <w:rPr/>
            </w:pPr>
            <w:r>
              <w:rPr/>
              <w:t> </w:t>
            </w:r>
          </w:p>
        </w:tc>
      </w:tr>
      <w:tr>
        <w:trPr/>
        <w:tc>
          <w:tcPr>
            <w:tcW w:w="2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2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22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9" w:type="dxa"/>
            <w:tcBorders/>
            <w:shd w:fill="auto" w:val="clear"/>
            <w:vAlign w:val="bottom"/>
          </w:tcPr>
          <w:p>
            <w:pPr>
              <w:pStyle w:val="TableContents"/>
              <w:spacing w:before="0" w:after="0"/>
              <w:ind w:left="0" w:right="0" w:hanging="0"/>
              <w:rPr/>
            </w:pPr>
            <w:r>
              <w:rPr/>
              <w:t> </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w:t>
            </w:r>
          </w:p>
        </w:tc>
        <w:tc>
          <w:tcPr>
            <w:tcW w:w="22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w:t>
            </w:r>
          </w:p>
        </w:tc>
        <w:tc>
          <w:tcPr>
            <w:tcW w:w="22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9"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CCEEFF" w:val="clear"/>
            <w:vAlign w:val="bottom"/>
          </w:tcPr>
          <w:p>
            <w:pPr>
              <w:pStyle w:val="TableContents"/>
              <w:spacing w:before="0" w:after="0"/>
              <w:ind w:left="0" w:right="0" w:hanging="0"/>
              <w:rPr/>
            </w:pPr>
            <w:r>
              <w:rPr/>
              <w:t> </w:t>
            </w:r>
          </w:p>
        </w:tc>
        <w:tc>
          <w:tcPr>
            <w:tcW w:w="6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CCEEFF" w:val="clear"/>
            <w:vAlign w:val="bottom"/>
          </w:tcPr>
          <w:p>
            <w:pPr>
              <w:pStyle w:val="TableContents"/>
              <w:spacing w:before="0" w:after="0"/>
              <w:ind w:left="0" w:right="0" w:hanging="0"/>
              <w:rPr/>
            </w:pPr>
            <w:r>
              <w:rPr/>
              <w:t> </w:t>
            </w:r>
          </w:p>
        </w:tc>
        <w:tc>
          <w:tcPr>
            <w:tcW w:w="6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9" w:type="dxa"/>
            <w:tcBorders/>
            <w:shd w:fill="auto" w:val="clear"/>
            <w:vAlign w:val="bottom"/>
          </w:tcPr>
          <w:p>
            <w:pPr>
              <w:pStyle w:val="TableContents"/>
              <w:spacing w:before="0" w:after="0"/>
              <w:ind w:left="0" w:right="0" w:hanging="0"/>
              <w:rPr/>
            </w:pPr>
            <w:r>
              <w:rPr/>
              <w:t> </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9"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663"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pPr>
            <w:r>
              <w:rPr/>
              <w:t> </w:t>
            </w:r>
          </w:p>
        </w:tc>
        <w:tc>
          <w:tcPr>
            <w:tcW w:w="243" w:type="dxa"/>
            <w:tcBorders/>
            <w:shd w:fill="CCEEFF" w:val="clear"/>
            <w:vAlign w:val="bottom"/>
          </w:tcPr>
          <w:p>
            <w:pPr>
              <w:pStyle w:val="TableContents"/>
              <w:spacing w:before="0" w:after="0"/>
              <w:ind w:left="0" w:right="0" w:hanging="0"/>
              <w:rPr/>
            </w:pPr>
            <w:r>
              <w:rPr/>
              <w:t> </w:t>
            </w:r>
          </w:p>
        </w:tc>
      </w:tr>
      <w:tr>
        <w:trPr/>
        <w:tc>
          <w:tcPr>
            <w:tcW w:w="2892"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 xml:space="preserve">(1)  </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663" w:type="dxa"/>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pPr>
            <w:r>
              <w:rPr/>
              <w:t> </w:t>
            </w:r>
          </w:p>
        </w:tc>
        <w:tc>
          <w:tcPr>
            <w:tcW w:w="243" w:type="dxa"/>
            <w:tcBorders/>
            <w:shd w:fill="auto" w:val="clear"/>
            <w:vAlign w:val="bottom"/>
          </w:tcPr>
          <w:p>
            <w:pPr>
              <w:pStyle w:val="TableContents"/>
              <w:spacing w:before="0" w:after="0"/>
              <w:ind w:left="0" w:right="0" w:hanging="0"/>
              <w:rPr/>
            </w:pPr>
            <w:r>
              <w:rPr/>
              <w:t> </w:t>
            </w:r>
          </w:p>
        </w:tc>
      </w:tr>
      <w:tr>
        <w:trPr/>
        <w:tc>
          <w:tcPr>
            <w:tcW w:w="2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CCEEFF" w:val="clear"/>
            <w:vAlign w:val="bottom"/>
          </w:tcPr>
          <w:p>
            <w:pPr>
              <w:pStyle w:val="TableContents"/>
              <w:spacing w:before="0" w:after="0"/>
              <w:ind w:left="0" w:right="0" w:hanging="0"/>
              <w:rPr/>
            </w:pPr>
            <w:r>
              <w:rPr>
                <w:rFonts w:ascii="Times New Roman" w:hAnsi="Times New Roman"/>
                <w:sz w:val="17"/>
              </w:rPr>
              <w:t>Equity compensation expense - operations</w:t>
            </w:r>
            <w:r>
              <w:rPr/>
              <w:t xml:space="preserve"> </w:t>
            </w:r>
            <w:r>
              <w:rPr>
                <w:sz w:val="11"/>
              </w:rPr>
              <w:t>(2)</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general and administrative expenses (excluding equity compensation expense) </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220"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CCEEFF" w:val="clear"/>
            <w:vAlign w:val="bottom"/>
          </w:tcPr>
          <w:p>
            <w:pPr>
              <w:pStyle w:val="TableContents"/>
              <w:spacing w:before="0" w:after="0"/>
              <w:ind w:left="0" w:right="0" w:hanging="0"/>
              <w:rPr/>
            </w:pPr>
            <w:r>
              <w:rPr/>
              <w:t> </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auto" w:val="clear"/>
            <w:vAlign w:val="bottom"/>
          </w:tcPr>
          <w:p>
            <w:pPr>
              <w:pStyle w:val="TableContents"/>
              <w:spacing w:before="0" w:after="0"/>
              <w:ind w:left="0" w:right="0" w:hanging="0"/>
              <w:rPr/>
            </w:pPr>
            <w:r>
              <w:rPr/>
              <w:t> </w:t>
            </w:r>
          </w:p>
        </w:tc>
        <w:tc>
          <w:tcPr>
            <w:tcW w:w="6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9" w:type="dxa"/>
            <w:tcBorders/>
            <w:shd w:fill="auto" w:val="clear"/>
            <w:vAlign w:val="bottom"/>
          </w:tcPr>
          <w:p>
            <w:pPr>
              <w:pStyle w:val="TableContents"/>
              <w:spacing w:before="0" w:after="0"/>
              <w:ind w:left="0" w:right="0" w:hanging="0"/>
              <w:rPr/>
            </w:pPr>
            <w:r>
              <w:rPr/>
              <w:t> </w:t>
            </w:r>
          </w:p>
        </w:tc>
        <w:tc>
          <w:tcPr>
            <w:tcW w:w="66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9" w:type="dxa"/>
            <w:tcBorders/>
            <w:shd w:fill="CCEEFF" w:val="clear"/>
            <w:vAlign w:val="bottom"/>
          </w:tcPr>
          <w:p>
            <w:pPr>
              <w:pStyle w:val="TableContents"/>
              <w:spacing w:before="0" w:after="0"/>
              <w:ind w:left="0" w:right="0" w:hanging="0"/>
              <w:rPr/>
            </w:pPr>
            <w:r>
              <w:rPr/>
              <w:t> </w:t>
            </w:r>
          </w:p>
        </w:tc>
        <w:tc>
          <w:tcPr>
            <w:tcW w:w="6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9" w:type="dxa"/>
            <w:tcBorders/>
            <w:shd w:fill="CCEEFF" w:val="clear"/>
            <w:vAlign w:val="bottom"/>
          </w:tcPr>
          <w:p>
            <w:pPr>
              <w:pStyle w:val="TableContents"/>
              <w:spacing w:before="0" w:after="0"/>
              <w:ind w:left="0" w:right="0" w:hanging="0"/>
              <w:rPr/>
            </w:pPr>
            <w:r>
              <w:rPr/>
              <w:t> </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2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0.46</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219" w:type="dxa"/>
            <w:tcBorders/>
            <w:shd w:fill="CCEEFF" w:val="clear"/>
            <w:vAlign w:val="bottom"/>
          </w:tcPr>
          <w:p>
            <w:pPr>
              <w:pStyle w:val="TableContents"/>
              <w:spacing w:before="0" w:after="0"/>
              <w:ind w:left="0" w:right="0" w:hanging="0"/>
              <w:rPr/>
            </w:pPr>
            <w:r>
              <w:rPr/>
              <w:t> </w:t>
            </w:r>
          </w:p>
        </w:tc>
        <w:tc>
          <w:tcPr>
            <w:tcW w:w="6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2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219" w:type="dxa"/>
            <w:tcBorders/>
            <w:shd w:fill="CCEEFF" w:val="clear"/>
            <w:vAlign w:val="bottom"/>
          </w:tcPr>
          <w:p>
            <w:pPr>
              <w:pStyle w:val="TableContents"/>
              <w:spacing w:before="0" w:after="0"/>
              <w:ind w:left="0" w:right="0" w:hanging="0"/>
              <w:rPr/>
            </w:pPr>
            <w:r>
              <w:rPr/>
              <w:t> </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85"/>
        <w:gridCol w:w="222"/>
        <w:gridCol w:w="666"/>
        <w:gridCol w:w="221"/>
        <w:gridCol w:w="666"/>
        <w:gridCol w:w="221"/>
        <w:gridCol w:w="666"/>
        <w:gridCol w:w="221"/>
        <w:gridCol w:w="666"/>
        <w:gridCol w:w="222"/>
        <w:gridCol w:w="665"/>
        <w:gridCol w:w="222"/>
        <w:gridCol w:w="666"/>
        <w:gridCol w:w="221"/>
        <w:gridCol w:w="666"/>
        <w:gridCol w:w="221"/>
        <w:gridCol w:w="666"/>
        <w:gridCol w:w="222"/>
      </w:tblGrid>
      <w:tr>
        <w:trPr/>
        <w:tc>
          <w:tcPr>
            <w:tcW w:w="2885"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shd w:fill="auto" w:val="clear"/>
            <w:vAlign w:val="bottom"/>
          </w:tcPr>
          <w:p>
            <w:pPr>
              <w:pStyle w:val="TableContents"/>
              <w:spacing w:before="0" w:after="0"/>
              <w:ind w:left="0" w:right="0" w:hanging="0"/>
              <w:jc w:val="center"/>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w:t>
            </w:r>
            <w:r>
              <w:rPr/>
              <w:t> </w:t>
            </w:r>
            <w:r>
              <w:rPr>
                <w:b/>
                <w:sz w:val="8"/>
              </w:rPr>
              <w:t>(3)</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Basin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63/Line 2000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pPr>
            <w:r>
              <w:rPr>
                <w:rFonts w:ascii="Times New Roman" w:hAnsi="Times New Roman"/>
                <w:sz w:val="17"/>
              </w:rPr>
              <w:t>Permian Basin Area Systems</w:t>
            </w:r>
            <w:r>
              <w:rPr/>
              <w:t xml:space="preserve">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404</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2" w:type="dxa"/>
            <w:tcBorders/>
            <w:shd w:fill="auto" w:val="clear"/>
            <w:vAlign w:val="bottom"/>
          </w:tcPr>
          <w:p>
            <w:pPr>
              <w:pStyle w:val="TableContents"/>
              <w:spacing w:before="0" w:after="0"/>
              <w:ind w:left="0" w:right="0" w:hanging="0"/>
              <w:rPr/>
            </w:pPr>
            <w:r>
              <w:rPr/>
              <w:t> </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2" w:type="dxa"/>
            <w:tcBorders/>
            <w:shd w:fill="auto" w:val="clear"/>
            <w:vAlign w:val="bottom"/>
          </w:tcPr>
          <w:p>
            <w:pPr>
              <w:pStyle w:val="TableContents"/>
              <w:spacing w:before="0" w:after="0"/>
              <w:ind w:left="0" w:right="0" w:hanging="0"/>
              <w:rPr/>
            </w:pPr>
            <w:r>
              <w:rPr/>
              <w:t> </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1,073</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1,147</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1,047</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3,467</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2,945</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2,925</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3,049</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3,365</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1" w:name="PB_36_014729_3736"/>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shown in the table above includes that portion of equity compensation expense represented by outstanding awards under the LTIP Plans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 above, our total transportation segment revenues, net of trucking costs, and volumes increased for both the three and six months ended June 30, 2012 compared to the three and six months ended June 30, 2011.  The primary drivers of the significant variances in revenues and volumes between the comparative periods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AcquisitionThe pipelines acquired through the BP NGL Acquisition on April 1, 2012 generated revenues of approximately $30 million and increased volumes by approximately 223,000 barrels per day and 111,000 barrels per day for the three and six months ended June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ProductionIncreased producer drilling activities, primarily in the Bakken, Eagle Ford, Permian Basin, Western Oklahoma and Texas Panhandle producing regions, combined with our phased-in expansion projects, resulted in favorable volume and revenue variances for the three and six months ended June 30, 2012 over the comparative 2011 periods, most notably on our Basin, Mesa, Permian Basin and Mid-Continent Area Systems.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favorable variances were partially offset by decreased volumes and revenues on (i) our Capline Pipeline System, primarily related to shifts in refinery supply and (ii) our All American System related to field production declines and maintenance activities at the production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 Revenues were favorably impacted by increases in rates on our FERC-regulated pipelines due to upward indexing effective July 1, 2011, as well as increasing tariff rates on certain of our Canadian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$4 million and $15 million for the three and six months ended June 30, 2012 compared to the three and six months ended June 30, 2011. The increase was primarily due to higher volumes during the comparative 2012 periods, as well as the impact of gains from derivative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Rainbow Pipeline System Revenues were favorable for both the three and six months ended June 30, 2012 compared to the 2011 periods due to (i) higher volumes in second quarter of 2012 compared to the second quarter of 2011 due to the impact of the pipeline release in the 2011 period and (ii) higher revenue in 2012 as a result of rate increases (as discussed above), partially offset by decreased volumes related to a third-party competitor pipeline that was placed into service in the third quarter of 2011.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as discussed further below) increased during the three and six months ended June 30, 2012 compared to the three and six months ended June 30, 2011 consistent with the overall growth in segment volumes and remained relatively constant on a per barrel basis during each of those periods.  Operating costs for the three months ended June 30, 2012 and June 30, 2011 were also impacted by approximately $11 million of environmental remediation expenses associated with the Rangeland Pipeline release in second quarter of 2012 and approximately $13 million of environmental remediation expenses associated with the Rainbow Pipeline release in the second quarter of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2" w:name="PB_37_014744_9621"/>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rPr>
        <w:t xml:space="preserve">  </w:t>
      </w:r>
      <w:r>
        <w:rPr>
          <w:rFonts w:ascii="Times New Roman" w:hAnsi="Times New Roman"/>
          <w:sz w:val="17"/>
        </w:rPr>
        <w:t>General and administrative expenses (excluding equity compensation as discussed below) increased during the three and six months ended June 30, 2012 compared to the three and six months ended June 30, 2011 due to the overall growth of the segment as well as certain one-time costs associated with closing and integrating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Expense.</w:t>
      </w:r>
      <w:r>
        <w:rPr>
          <w:rFonts w:ascii="Times New Roman" w:hAnsi="Times New Roman"/>
        </w:rPr>
        <w:t xml:space="preserve"> </w:t>
      </w:r>
      <w:r>
        <w:rPr>
          <w:rFonts w:ascii="Times New Roman" w:hAnsi="Times New Roman"/>
          <w:sz w:val="17"/>
        </w:rPr>
        <w:t>A majority of our equity compensation awards (including the Class B units) contain 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June 30, 2012, we determined that a PAA distribution level of $4.70 was probable of occurring, and we incurred additional expense as a result of such determination.  Furthermore, a change in unit price impacts the fair value of our liability-classified awards. See Note 10 to our Consolidated Financial Statements included in Part IV of our 2011 Annual Report on Form 10-K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Equity compensation expense decreased for the three months ended June 30, 2012 compared to the three months ended June 30, 2011, primarily due to a less significant impact of the change in probability assessment during the second quarter of 2012 compared to 2011, partially offset by an increase in unit price of $2 during the second quarter of 2012 compared to a less than $1 increase during the second quarter of 2011. Equity compensation expense increased for the six months ended June 30, 2012 compared to the six months ended June 30, 2011, primarily due to (i) an increase in unit price of $7 for the first six months of 2012 compared to a $2 increase for the first six months of 2011 and (ii) additional awards that have been deemed probable of occurring, partially offset by a decrease in expense related to a less significant impact of the change in probability assessment during the first six months of 2012 compared to the first six months of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in the three and six months ended June 30, 2012 compared to the three and six months ended June 30, 2011 is primarily due to increased investment in pipeline integrity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The favorable variance in equity earnings in unconsolidated entities for the three and six months ended June 30, 2012 compared to the three and six months ended June 30, 2011 was primarily related to increased earnings in our equity investments due to increased volumes and expansions.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3" w:name="PB_38_014751_8715"/>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NGL, as well as NGL fractionation and isomerization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81"/>
        <w:gridCol w:w="206"/>
        <w:gridCol w:w="118"/>
        <w:gridCol w:w="551"/>
        <w:gridCol w:w="210"/>
        <w:gridCol w:w="118"/>
        <w:gridCol w:w="551"/>
        <w:gridCol w:w="210"/>
        <w:gridCol w:w="121"/>
        <w:gridCol w:w="529"/>
        <w:gridCol w:w="211"/>
        <w:gridCol w:w="659"/>
        <w:gridCol w:w="224"/>
        <w:gridCol w:w="117"/>
        <w:gridCol w:w="551"/>
        <w:gridCol w:w="210"/>
        <w:gridCol w:w="118"/>
        <w:gridCol w:w="551"/>
        <w:gridCol w:w="210"/>
        <w:gridCol w:w="121"/>
        <w:gridCol w:w="529"/>
        <w:gridCol w:w="211"/>
        <w:gridCol w:w="659"/>
        <w:gridCol w:w="239"/>
      </w:tblGrid>
      <w:tr>
        <w:trPr/>
        <w:tc>
          <w:tcPr>
            <w:tcW w:w="298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5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4" w:type="dxa"/>
            <w:tcBorders/>
            <w:shd w:fill="auto" w:val="clear"/>
            <w:vAlign w:val="bottom"/>
          </w:tcPr>
          <w:p>
            <w:pPr>
              <w:pStyle w:val="TableContents"/>
              <w:spacing w:before="0" w:after="0"/>
              <w:ind w:left="0" w:right="0" w:hanging="0"/>
              <w:jc w:val="center"/>
              <w:rPr/>
            </w:pPr>
            <w:r>
              <w:rPr/>
              <w:t> </w:t>
            </w:r>
          </w:p>
        </w:tc>
        <w:tc>
          <w:tcPr>
            <w:tcW w:w="668"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5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9" w:type="dxa"/>
            <w:tcBorders/>
            <w:shd w:fill="auto" w:val="clear"/>
            <w:vAlign w:val="bottom"/>
          </w:tcPr>
          <w:p>
            <w:pPr>
              <w:pStyle w:val="TableContents"/>
              <w:spacing w:before="0" w:after="0"/>
              <w:ind w:left="0" w:right="0" w:hanging="0"/>
              <w:jc w:val="center"/>
              <w:rPr/>
            </w:pPr>
            <w:r>
              <w:rPr/>
              <w:t> </w:t>
            </w:r>
          </w:p>
        </w:tc>
      </w:tr>
      <w:tr>
        <w:trPr/>
        <w:tc>
          <w:tcPr>
            <w:tcW w:w="298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54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0" w:type="dxa"/>
            <w:tcBorders/>
            <w:shd w:fill="auto" w:val="clear"/>
            <w:vAlign w:val="bottom"/>
          </w:tcPr>
          <w:p>
            <w:pPr>
              <w:pStyle w:val="TableContents"/>
              <w:spacing w:before="0" w:after="0"/>
              <w:ind w:left="0" w:right="0" w:hanging="0"/>
              <w:jc w:val="center"/>
              <w:rPr/>
            </w:pPr>
            <w:r>
              <w:rPr/>
              <w:t> </w:t>
            </w:r>
          </w:p>
        </w:tc>
        <w:tc>
          <w:tcPr>
            <w:tcW w:w="15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4" w:type="dxa"/>
            <w:tcBorders/>
            <w:shd w:fill="auto" w:val="clear"/>
            <w:vAlign w:val="bottom"/>
          </w:tcPr>
          <w:p>
            <w:pPr>
              <w:pStyle w:val="TableContents"/>
              <w:spacing w:before="0" w:after="0"/>
              <w:ind w:left="0" w:right="0" w:hanging="0"/>
              <w:jc w:val="center"/>
              <w:rPr/>
            </w:pPr>
            <w:r>
              <w:rPr/>
              <w:t> </w:t>
            </w:r>
          </w:p>
        </w:tc>
        <w:tc>
          <w:tcPr>
            <w:tcW w:w="15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10" w:type="dxa"/>
            <w:tcBorders/>
            <w:shd w:fill="auto" w:val="clear"/>
            <w:vAlign w:val="bottom"/>
          </w:tcPr>
          <w:p>
            <w:pPr>
              <w:pStyle w:val="TableContents"/>
              <w:spacing w:before="0" w:after="0"/>
              <w:ind w:left="0" w:right="0" w:hanging="0"/>
              <w:jc w:val="center"/>
              <w:rPr/>
            </w:pPr>
            <w:r>
              <w:rPr/>
              <w:t> </w:t>
            </w:r>
          </w:p>
        </w:tc>
        <w:tc>
          <w:tcPr>
            <w:tcW w:w="15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9" w:type="dxa"/>
            <w:tcBorders/>
            <w:shd w:fill="auto" w:val="clear"/>
            <w:vAlign w:val="bottom"/>
          </w:tcPr>
          <w:p>
            <w:pPr>
              <w:pStyle w:val="TableContents"/>
              <w:spacing w:before="0" w:after="0"/>
              <w:ind w:left="0" w:right="0" w:hanging="0"/>
              <w:jc w:val="center"/>
              <w:rPr/>
            </w:pPr>
            <w:r>
              <w:rPr/>
              <w:t> </w:t>
            </w:r>
          </w:p>
        </w:tc>
      </w:tr>
      <w:tr>
        <w:trPr/>
        <w:tc>
          <w:tcPr>
            <w:tcW w:w="2981"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206" w:type="dxa"/>
            <w:tcBorders/>
            <w:shd w:fill="auto" w:val="clear"/>
            <w:vAlign w:val="bottom"/>
          </w:tcPr>
          <w:p>
            <w:pPr>
              <w:pStyle w:val="TableContents"/>
              <w:spacing w:before="0" w:after="0"/>
              <w:ind w:left="0" w:right="0" w:hanging="0"/>
              <w:jc w:val="center"/>
              <w:rPr/>
            </w:pPr>
            <w:r>
              <w:rPr/>
              <w:t> </w:t>
            </w:r>
          </w:p>
        </w:tc>
        <w:tc>
          <w:tcPr>
            <w:tcW w:w="154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10" w:type="dxa"/>
            <w:tcBorders/>
            <w:shd w:fill="auto" w:val="clear"/>
            <w:vAlign w:val="bottom"/>
          </w:tcPr>
          <w:p>
            <w:pPr>
              <w:pStyle w:val="TableContents"/>
              <w:spacing w:before="0" w:after="0"/>
              <w:ind w:left="0" w:right="0" w:hanging="0"/>
              <w:jc w:val="center"/>
              <w:rPr/>
            </w:pPr>
            <w:r>
              <w:rPr/>
              <w:t> </w:t>
            </w:r>
          </w:p>
        </w:tc>
        <w:tc>
          <w:tcPr>
            <w:tcW w:w="152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4" w:type="dxa"/>
            <w:tcBorders/>
            <w:shd w:fill="auto" w:val="clear"/>
            <w:vAlign w:val="bottom"/>
          </w:tcPr>
          <w:p>
            <w:pPr>
              <w:pStyle w:val="TableContents"/>
              <w:spacing w:before="0" w:after="0"/>
              <w:ind w:left="0" w:right="0" w:hanging="0"/>
              <w:jc w:val="center"/>
              <w:rPr/>
            </w:pPr>
            <w:r>
              <w:rPr/>
              <w:t> </w:t>
            </w:r>
          </w:p>
        </w:tc>
        <w:tc>
          <w:tcPr>
            <w:tcW w:w="15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10" w:type="dxa"/>
            <w:tcBorders/>
            <w:shd w:fill="auto" w:val="clear"/>
            <w:vAlign w:val="bottom"/>
          </w:tcPr>
          <w:p>
            <w:pPr>
              <w:pStyle w:val="TableContents"/>
              <w:spacing w:before="0" w:after="0"/>
              <w:ind w:left="0" w:right="0" w:hanging="0"/>
              <w:jc w:val="center"/>
              <w:rPr/>
            </w:pPr>
            <w:r>
              <w:rPr/>
              <w:t> </w:t>
            </w:r>
          </w:p>
        </w:tc>
        <w:tc>
          <w:tcPr>
            <w:tcW w:w="152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9" w:type="dxa"/>
            <w:tcBorders/>
            <w:shd w:fill="auto" w:val="clear"/>
            <w:vAlign w:val="bottom"/>
          </w:tcPr>
          <w:p>
            <w:pPr>
              <w:pStyle w:val="TableContents"/>
              <w:spacing w:before="0" w:after="0"/>
              <w:ind w:left="0" w:right="0" w:hanging="0"/>
              <w:jc w:val="center"/>
              <w:rPr/>
            </w:pPr>
            <w:r>
              <w:rPr/>
              <w:t> </w:t>
            </w:r>
          </w:p>
        </w:tc>
      </w:tr>
      <w:tr>
        <w:trPr/>
        <w:tc>
          <w:tcPr>
            <w:tcW w:w="29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06" w:type="dxa"/>
            <w:tcBorders/>
            <w:shd w:fill="auto" w:val="clear"/>
            <w:vAlign w:val="bottom"/>
          </w:tcPr>
          <w:p>
            <w:pPr>
              <w:pStyle w:val="TableContents"/>
              <w:spacing w:before="0" w:after="0"/>
              <w:ind w:left="0" w:right="0" w:hanging="0"/>
              <w:jc w:val="center"/>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shd w:fill="auto" w:val="clear"/>
            <w:vAlign w:val="bottom"/>
          </w:tcPr>
          <w:p>
            <w:pPr>
              <w:pStyle w:val="TableContents"/>
              <w:spacing w:before="0" w:after="0"/>
              <w:ind w:left="0" w:right="0" w:hanging="0"/>
              <w:jc w:val="center"/>
              <w:rPr/>
            </w:pPr>
            <w:r>
              <w:rPr/>
              <w:t> </w:t>
            </w:r>
          </w:p>
        </w:tc>
        <w:tc>
          <w:tcPr>
            <w:tcW w:w="66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shd w:fill="auto" w:val="clear"/>
            <w:vAlign w:val="bottom"/>
          </w:tcPr>
          <w:p>
            <w:pPr>
              <w:pStyle w:val="TableContents"/>
              <w:spacing w:before="0" w:after="0"/>
              <w:ind w:left="0" w:right="0" w:hanging="0"/>
              <w:jc w:val="center"/>
              <w:rPr/>
            </w:pPr>
            <w:r>
              <w:rPr/>
              <w:t> </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jc w:val="center"/>
              <w:rPr/>
            </w:pPr>
            <w:r>
              <w:rPr/>
              <w:t> </w:t>
            </w:r>
          </w:p>
        </w:tc>
        <w:tc>
          <w:tcPr>
            <w:tcW w:w="65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4" w:type="dxa"/>
            <w:tcBorders/>
            <w:shd w:fill="auto" w:val="clear"/>
            <w:vAlign w:val="bottom"/>
          </w:tcPr>
          <w:p>
            <w:pPr>
              <w:pStyle w:val="TableContents"/>
              <w:spacing w:before="0" w:after="0"/>
              <w:ind w:left="0" w:right="0" w:hanging="0"/>
              <w:jc w:val="center"/>
              <w:rPr/>
            </w:pPr>
            <w:r>
              <w:rPr/>
              <w:t> </w:t>
            </w:r>
          </w:p>
        </w:tc>
        <w:tc>
          <w:tcPr>
            <w:tcW w:w="6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shd w:fill="auto" w:val="clear"/>
            <w:vAlign w:val="bottom"/>
          </w:tcPr>
          <w:p>
            <w:pPr>
              <w:pStyle w:val="TableContents"/>
              <w:spacing w:before="0" w:after="0"/>
              <w:ind w:left="0" w:right="0" w:hanging="0"/>
              <w:jc w:val="center"/>
              <w:rPr/>
            </w:pPr>
            <w:r>
              <w:rPr/>
              <w:t> </w:t>
            </w:r>
          </w:p>
        </w:tc>
        <w:tc>
          <w:tcPr>
            <w:tcW w:w="66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shd w:fill="auto" w:val="clear"/>
            <w:vAlign w:val="bottom"/>
          </w:tcPr>
          <w:p>
            <w:pPr>
              <w:pStyle w:val="TableContents"/>
              <w:spacing w:before="0" w:after="0"/>
              <w:ind w:left="0" w:right="0" w:hanging="0"/>
              <w:jc w:val="center"/>
              <w:rPr/>
            </w:pPr>
            <w:r>
              <w:rPr/>
              <w:t> </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jc w:val="center"/>
              <w:rPr/>
            </w:pPr>
            <w:r>
              <w:rPr/>
              <w:t> </w:t>
            </w:r>
          </w:p>
        </w:tc>
        <w:tc>
          <w:tcPr>
            <w:tcW w:w="65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9" w:type="dxa"/>
            <w:tcBorders/>
            <w:shd w:fill="auto" w:val="clear"/>
            <w:vAlign w:val="bottom"/>
          </w:tcPr>
          <w:p>
            <w:pPr>
              <w:pStyle w:val="TableContents"/>
              <w:spacing w:before="0" w:after="0"/>
              <w:ind w:left="0" w:right="0" w:hanging="0"/>
              <w:jc w:val="center"/>
              <w:rPr/>
            </w:pPr>
            <w:r>
              <w:rPr/>
              <w:t> </w:t>
            </w:r>
          </w:p>
        </w:tc>
      </w:tr>
      <w:tr>
        <w:trPr/>
        <w:tc>
          <w:tcPr>
            <w:tcW w:w="2981"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0"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1" w:type="dxa"/>
            <w:tcBorders/>
            <w:shd w:fill="CCEEFF" w:val="clear"/>
            <w:vAlign w:val="bottom"/>
          </w:tcPr>
          <w:p>
            <w:pPr>
              <w:pStyle w:val="TableContents"/>
              <w:spacing w:before="0" w:after="0"/>
              <w:ind w:left="0" w:right="0" w:hanging="0"/>
              <w:rPr/>
            </w:pPr>
            <w:r>
              <w:rPr/>
              <w:t> </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21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10"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1" w:type="dxa"/>
            <w:tcBorders/>
            <w:shd w:fill="CCEEFF" w:val="clear"/>
            <w:vAlign w:val="bottom"/>
          </w:tcPr>
          <w:p>
            <w:pPr>
              <w:pStyle w:val="TableContents"/>
              <w:spacing w:before="0" w:after="0"/>
              <w:ind w:left="0" w:right="0" w:hanging="0"/>
              <w:rPr/>
            </w:pPr>
            <w:r>
              <w:rPr/>
              <w:t> </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206"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0"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0" w:type="dxa"/>
            <w:tcBorders/>
            <w:shd w:fill="auto" w:val="clear"/>
            <w:vAlign w:val="bottom"/>
          </w:tcPr>
          <w:p>
            <w:pPr>
              <w:pStyle w:val="TableContents"/>
              <w:spacing w:before="0" w:after="0"/>
              <w:ind w:left="0" w:right="0" w:hanging="0"/>
              <w:rPr/>
            </w:pPr>
            <w:r>
              <w:rPr/>
              <w:t> </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1" w:type="dxa"/>
            <w:tcBorders/>
            <w:shd w:fill="auto" w:val="clear"/>
            <w:vAlign w:val="bottom"/>
          </w:tcPr>
          <w:p>
            <w:pPr>
              <w:pStyle w:val="TableContents"/>
              <w:spacing w:before="0" w:after="0"/>
              <w:ind w:left="0" w:right="0" w:hanging="0"/>
              <w:rPr/>
            </w:pPr>
            <w:r>
              <w:rPr/>
              <w:t> </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10"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0" w:type="dxa"/>
            <w:tcBorders/>
            <w:shd w:fill="auto" w:val="clear"/>
            <w:vAlign w:val="bottom"/>
          </w:tcPr>
          <w:p>
            <w:pPr>
              <w:pStyle w:val="TableContents"/>
              <w:spacing w:before="0" w:after="0"/>
              <w:ind w:left="0" w:right="0" w:hanging="0"/>
              <w:rPr/>
            </w:pPr>
            <w:r>
              <w:rPr/>
              <w:t> </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1" w:type="dxa"/>
            <w:tcBorders/>
            <w:shd w:fill="auto" w:val="clear"/>
            <w:vAlign w:val="bottom"/>
          </w:tcPr>
          <w:p>
            <w:pPr>
              <w:pStyle w:val="TableContents"/>
              <w:spacing w:before="0" w:after="0"/>
              <w:ind w:left="0" w:right="0" w:hanging="0"/>
              <w:rPr/>
            </w:pPr>
            <w:r>
              <w:rPr/>
              <w:t> </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206"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costs </w:t>
            </w:r>
            <w:r>
              <w:rPr>
                <w:sz w:val="11"/>
              </w:rPr>
              <w:t>(2)</w:t>
            </w:r>
          </w:p>
        </w:tc>
        <w:tc>
          <w:tcPr>
            <w:tcW w:w="206"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compensation expense) </w:t>
            </w:r>
          </w:p>
        </w:tc>
        <w:tc>
          <w:tcPr>
            <w:tcW w:w="206"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206"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general and administrative expenses (excluding equity compensation expense) </w:t>
            </w:r>
          </w:p>
        </w:tc>
        <w:tc>
          <w:tcPr>
            <w:tcW w:w="206"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206" w:type="dxa"/>
            <w:tcBorders/>
            <w:shd w:fill="auto" w:val="clear"/>
            <w:vAlign w:val="bottom"/>
          </w:tcPr>
          <w:p>
            <w:pPr>
              <w:pStyle w:val="TableContents"/>
              <w:spacing w:before="0" w:after="0"/>
              <w:ind w:left="0" w:right="0" w:hanging="0"/>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65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206"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0"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1" w:type="dxa"/>
            <w:tcBorders/>
            <w:shd w:fill="CCEEFF" w:val="clear"/>
            <w:vAlign w:val="bottom"/>
          </w:tcPr>
          <w:p>
            <w:pPr>
              <w:pStyle w:val="TableContents"/>
              <w:spacing w:before="0" w:after="0"/>
              <w:ind w:left="0" w:right="0" w:hanging="0"/>
              <w:rPr/>
            </w:pPr>
            <w:r>
              <w:rPr/>
              <w:t> </w:t>
            </w:r>
          </w:p>
        </w:tc>
        <w:tc>
          <w:tcPr>
            <w:tcW w:w="6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0"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1" w:type="dxa"/>
            <w:tcBorders/>
            <w:shd w:fill="CCEEFF" w:val="clear"/>
            <w:vAlign w:val="bottom"/>
          </w:tcPr>
          <w:p>
            <w:pPr>
              <w:pStyle w:val="TableContents"/>
              <w:spacing w:before="0" w:after="0"/>
              <w:ind w:left="0" w:right="0" w:hanging="0"/>
              <w:rPr/>
            </w:pPr>
            <w:r>
              <w:rPr/>
              <w:t> </w:t>
            </w:r>
          </w:p>
        </w:tc>
        <w:tc>
          <w:tcPr>
            <w:tcW w:w="6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6"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206"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w:t>
            </w:r>
          </w:p>
        </w:tc>
        <w:tc>
          <w:tcPr>
            <w:tcW w:w="21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w:t>
            </w:r>
          </w:p>
        </w:tc>
        <w:tc>
          <w:tcPr>
            <w:tcW w:w="210"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6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1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10"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6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85"/>
        <w:gridCol w:w="222"/>
        <w:gridCol w:w="666"/>
        <w:gridCol w:w="221"/>
        <w:gridCol w:w="666"/>
        <w:gridCol w:w="221"/>
        <w:gridCol w:w="666"/>
        <w:gridCol w:w="221"/>
        <w:gridCol w:w="666"/>
        <w:gridCol w:w="222"/>
        <w:gridCol w:w="665"/>
        <w:gridCol w:w="222"/>
        <w:gridCol w:w="666"/>
        <w:gridCol w:w="221"/>
        <w:gridCol w:w="666"/>
        <w:gridCol w:w="221"/>
        <w:gridCol w:w="666"/>
        <w:gridCol w:w="222"/>
      </w:tblGrid>
      <w:tr>
        <w:trPr/>
        <w:tc>
          <w:tcPr>
            <w:tcW w:w="2885"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shd w:fill="auto" w:val="clear"/>
            <w:vAlign w:val="bottom"/>
          </w:tcPr>
          <w:p>
            <w:pPr>
              <w:pStyle w:val="TableContents"/>
              <w:spacing w:before="0" w:after="0"/>
              <w:ind w:left="0" w:right="0" w:hanging="0"/>
              <w:jc w:val="center"/>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(4)(5)</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storage (average monthly capacity in millions of barrels)</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throughput in thousands of barrels per day)</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capacity in millions of barrels)</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shown in the table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4" w:name="PB_39_015727_9497"/>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Facilities total calculated as the sum of: (i) crude oil, refined products and NGL storage capacity; (ii) natural gas capacity divided by 6 to account for the 6:1 mcf of gas to crude Btu equivalent ratio and further divided by 1,000 to convert to monthly volumes in millions; and (iii) NGL fractionation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 above, our facilities segment revenues, less storage related costs and natural gas purchases, and volumes increased for the three and six months ended June 30, 2012 compared to the three and six months ended June 30, 2011.  The significant variances in revenues and average monthly volumes between the comparative periods are primarily due to our ongoing acquisition and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AcquisitionThe NGL storage facilities, fractionation plants and related assets acquired through the BP NGL Acquisition on April 1, 2012 contributed aggregate revenues of approximately $62 million for the 2012 periods. These assets also increased average monthly capacity of NGL storage by approximately 14 million barrels and 7 million barrels for the three and six months ended June 30, 2012, respectively, and increased average NGL fractionation throughput by approximately 90,000 barrels per day and 45,000 barrels per day for the three and six months ended June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Acquisitions and Major Expansion Projects  Expansion projects that were completed in phases throughout recent years at some of our major terminal locations, as well as the acquisition of our Yorktown facility in December 2011, favorably impacted revenues and volumes for the comparative 2012 periods. We estimate that these expansion and acquisition activities increased our revenues by approximately $11 million and $20 million, respectively, for the three and six months ended June 30, 2012 compared to the three and six months ended June 30, 2011. The most significant expansions were those completed at our Cushing and St. James facilities and resulted in increased storage capacity and rail and barge loading and receipt capability.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our results were favorably impacted by incremental revenues from the additions of 8 Bcf and 9 Bcf of working gas capacity at PNGs Pine Prairie facility during the second quarters of 2011 and 2012, respectively. Contributions from a full period of operations at the Southern Pines facility, which was acquired in February 2011, added revenues and volumes for the six months ended June 30, 2012 over the comparative 2011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as discussed further below) increased during the three and six months ended June 30, 2012 compared to the three and six months ended June 30, 2011 due to our growth through acquisitions, primarily the BP NGL Acquisition, in which assets and operations typically have a higher ratio of operating costs to revenue than our historic operations in this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rPr>
        <w:t xml:space="preserve">  </w:t>
      </w:r>
      <w:r>
        <w:rPr>
          <w:rFonts w:ascii="Times New Roman" w:hAnsi="Times New Roman"/>
          <w:sz w:val="17"/>
        </w:rPr>
        <w:t>General and administrative expenses (excluding equity compensation as discussed below) increased during the three and six months ended June 30, 2012 compared to the three and six months ended June 30, 2011 due to growth associated with the BP NGL Acquisition as well as certain one-time costs during the three months ended June 30, 2012 associated with closing and integrating the acquisition.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Expense.</w:t>
      </w:r>
      <w:r>
        <w:rPr>
          <w:rFonts w:ascii="Times New Roman" w:hAnsi="Times New Roman"/>
        </w:rPr>
        <w:t xml:space="preserve">  </w:t>
      </w:r>
      <w:r>
        <w:rPr>
          <w:rFonts w:ascii="Times New Roman" w:hAnsi="Times New Roman"/>
          <w:sz w:val="17"/>
        </w:rPr>
        <w:t>See Results of OperationsAnalysis of Operating SegmentsTransportation SegmentEquity Compensation Expense above for a discussion regarding variances in equity compensation expense for the comparative periods presented.  Also, see Note 10 to our Consolidated Financial Statements included in Part IV of our 2011 Annual Report on Form 10-K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The increase in maintenance capital in the three and six months ended June 30, 2012 over the three and six months ended June 30, 2011 is primarily a result of increased integrity investment associated with growth from acquisitions as well as timing of completing integrity projects.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5" w:name="PB_40_015748_3641"/>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and NGL volumes.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will vary from period to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17"/>
        <w:gridCol w:w="212"/>
        <w:gridCol w:w="114"/>
        <w:gridCol w:w="559"/>
        <w:gridCol w:w="214"/>
        <w:gridCol w:w="114"/>
        <w:gridCol w:w="559"/>
        <w:gridCol w:w="214"/>
        <w:gridCol w:w="114"/>
        <w:gridCol w:w="551"/>
        <w:gridCol w:w="214"/>
        <w:gridCol w:w="645"/>
        <w:gridCol w:w="222"/>
        <w:gridCol w:w="114"/>
        <w:gridCol w:w="568"/>
        <w:gridCol w:w="214"/>
        <w:gridCol w:w="114"/>
        <w:gridCol w:w="567"/>
        <w:gridCol w:w="214"/>
        <w:gridCol w:w="114"/>
        <w:gridCol w:w="559"/>
        <w:gridCol w:w="214"/>
        <w:gridCol w:w="644"/>
        <w:gridCol w:w="234"/>
      </w:tblGrid>
      <w:tr>
        <w:trPr/>
        <w:tc>
          <w:tcPr>
            <w:tcW w:w="29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673"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673"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5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c>
          <w:tcPr>
            <w:tcW w:w="682"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681"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5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4" w:type="dxa"/>
            <w:tcBorders/>
            <w:shd w:fill="auto" w:val="clear"/>
            <w:vAlign w:val="bottom"/>
          </w:tcPr>
          <w:p>
            <w:pPr>
              <w:pStyle w:val="TableContents"/>
              <w:spacing w:before="0" w:after="0"/>
              <w:ind w:left="0" w:right="0" w:hanging="0"/>
              <w:jc w:val="center"/>
              <w:rPr/>
            </w:pPr>
            <w:r>
              <w:rPr/>
              <w:t> </w:t>
            </w:r>
          </w:p>
        </w:tc>
      </w:tr>
      <w:tr>
        <w:trPr/>
        <w:tc>
          <w:tcPr>
            <w:tcW w:w="29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56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4" w:type="dxa"/>
            <w:tcBorders/>
            <w:shd w:fill="auto" w:val="clear"/>
            <w:vAlign w:val="bottom"/>
          </w:tcPr>
          <w:p>
            <w:pPr>
              <w:pStyle w:val="TableContents"/>
              <w:spacing w:before="0" w:after="0"/>
              <w:ind w:left="0" w:right="0" w:hanging="0"/>
              <w:jc w:val="center"/>
              <w:rPr/>
            </w:pPr>
            <w:r>
              <w:rPr/>
              <w:t> </w:t>
            </w:r>
          </w:p>
        </w:tc>
        <w:tc>
          <w:tcPr>
            <w:tcW w:w="15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c>
          <w:tcPr>
            <w:tcW w:w="157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14" w:type="dxa"/>
            <w:tcBorders/>
            <w:shd w:fill="auto" w:val="clear"/>
            <w:vAlign w:val="bottom"/>
          </w:tcPr>
          <w:p>
            <w:pPr>
              <w:pStyle w:val="TableContents"/>
              <w:spacing w:before="0" w:after="0"/>
              <w:ind w:left="0" w:right="0" w:hanging="0"/>
              <w:jc w:val="center"/>
              <w:rPr/>
            </w:pPr>
            <w:r>
              <w:rPr/>
              <w:t> </w:t>
            </w:r>
          </w:p>
        </w:tc>
        <w:tc>
          <w:tcPr>
            <w:tcW w:w="15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4" w:type="dxa"/>
            <w:tcBorders/>
            <w:shd w:fill="auto" w:val="clear"/>
            <w:vAlign w:val="bottom"/>
          </w:tcPr>
          <w:p>
            <w:pPr>
              <w:pStyle w:val="TableContents"/>
              <w:spacing w:before="0" w:after="0"/>
              <w:ind w:left="0" w:right="0" w:hanging="0"/>
              <w:jc w:val="center"/>
              <w:rPr/>
            </w:pPr>
            <w:r>
              <w:rPr/>
              <w:t> </w:t>
            </w:r>
          </w:p>
        </w:tc>
      </w:tr>
      <w:tr>
        <w:trPr/>
        <w:tc>
          <w:tcPr>
            <w:tcW w:w="2917"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212" w:type="dxa"/>
            <w:tcBorders/>
            <w:shd w:fill="auto" w:val="clear"/>
            <w:vAlign w:val="bottom"/>
          </w:tcPr>
          <w:p>
            <w:pPr>
              <w:pStyle w:val="TableContents"/>
              <w:spacing w:before="0" w:after="0"/>
              <w:ind w:left="0" w:right="0" w:hanging="0"/>
              <w:jc w:val="center"/>
              <w:rPr/>
            </w:pPr>
            <w:r>
              <w:rPr/>
              <w:t> </w:t>
            </w:r>
          </w:p>
        </w:tc>
        <w:tc>
          <w:tcPr>
            <w:tcW w:w="156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14" w:type="dxa"/>
            <w:tcBorders/>
            <w:shd w:fill="auto" w:val="clear"/>
            <w:vAlign w:val="bottom"/>
          </w:tcPr>
          <w:p>
            <w:pPr>
              <w:pStyle w:val="TableContents"/>
              <w:spacing w:before="0" w:after="0"/>
              <w:ind w:left="0" w:right="0" w:hanging="0"/>
              <w:jc w:val="center"/>
              <w:rPr/>
            </w:pPr>
            <w:r>
              <w:rPr/>
              <w:t> </w:t>
            </w:r>
          </w:p>
        </w:tc>
        <w:tc>
          <w:tcPr>
            <w:tcW w:w="15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c>
          <w:tcPr>
            <w:tcW w:w="15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14" w:type="dxa"/>
            <w:tcBorders/>
            <w:shd w:fill="auto" w:val="clear"/>
            <w:vAlign w:val="bottom"/>
          </w:tcPr>
          <w:p>
            <w:pPr>
              <w:pStyle w:val="TableContents"/>
              <w:spacing w:before="0" w:after="0"/>
              <w:ind w:left="0" w:right="0" w:hanging="0"/>
              <w:jc w:val="center"/>
              <w:rPr/>
            </w:pPr>
            <w:r>
              <w:rPr/>
              <w:t> </w:t>
            </w:r>
          </w:p>
        </w:tc>
        <w:tc>
          <w:tcPr>
            <w:tcW w:w="153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4" w:type="dxa"/>
            <w:tcBorders/>
            <w:shd w:fill="auto" w:val="clear"/>
            <w:vAlign w:val="bottom"/>
          </w:tcPr>
          <w:p>
            <w:pPr>
              <w:pStyle w:val="TableContents"/>
              <w:spacing w:before="0" w:after="0"/>
              <w:ind w:left="0" w:right="0" w:hanging="0"/>
              <w:jc w:val="center"/>
              <w:rPr/>
            </w:pPr>
            <w:r>
              <w:rPr/>
              <w:t> </w:t>
            </w:r>
          </w:p>
        </w:tc>
      </w:tr>
      <w:tr>
        <w:trPr/>
        <w:tc>
          <w:tcPr>
            <w:tcW w:w="29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2" w:type="dxa"/>
            <w:tcBorders/>
            <w:shd w:fill="auto" w:val="clear"/>
            <w:vAlign w:val="bottom"/>
          </w:tcPr>
          <w:p>
            <w:pPr>
              <w:pStyle w:val="TableContents"/>
              <w:spacing w:before="0" w:after="0"/>
              <w:ind w:left="0" w:right="0" w:hanging="0"/>
              <w:jc w:val="center"/>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6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c>
          <w:tcPr>
            <w:tcW w:w="6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6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4" w:type="dxa"/>
            <w:tcBorders/>
            <w:shd w:fill="auto" w:val="clear"/>
            <w:vAlign w:val="bottom"/>
          </w:tcPr>
          <w:p>
            <w:pPr>
              <w:pStyle w:val="TableContents"/>
              <w:spacing w:before="0" w:after="0"/>
              <w:ind w:left="0" w:right="0" w:hanging="0"/>
              <w:jc w:val="center"/>
              <w:rPr/>
            </w:pPr>
            <w:r>
              <w:rPr/>
              <w:t> </w:t>
            </w:r>
          </w:p>
        </w:tc>
        <w:tc>
          <w:tcPr>
            <w:tcW w:w="6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4" w:type="dxa"/>
            <w:tcBorders/>
            <w:shd w:fill="auto" w:val="clear"/>
            <w:vAlign w:val="bottom"/>
          </w:tcPr>
          <w:p>
            <w:pPr>
              <w:pStyle w:val="TableContents"/>
              <w:spacing w:before="0" w:after="0"/>
              <w:ind w:left="0" w:right="0" w:hanging="0"/>
              <w:jc w:val="center"/>
              <w:rPr/>
            </w:pPr>
            <w:r>
              <w:rPr/>
              <w:t> </w:t>
            </w:r>
          </w:p>
        </w:tc>
      </w:tr>
      <w:tr>
        <w:trPr/>
        <w:tc>
          <w:tcPr>
            <w:tcW w:w="29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8,586</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16,022</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2,297</w:t>
            </w:r>
          </w:p>
        </w:tc>
        <w:tc>
          <w:tcPr>
            <w:tcW w:w="214" w:type="dxa"/>
            <w:tcBorders/>
            <w:shd w:fill="CCEEFF" w:val="clear"/>
            <w:vAlign w:val="bottom"/>
          </w:tcPr>
          <w:p>
            <w:pPr>
              <w:pStyle w:val="TableContents"/>
              <w:spacing w:before="0" w:after="0"/>
              <w:ind w:left="0" w:right="0" w:hanging="0"/>
              <w:rPr/>
            </w:pPr>
            <w:r>
              <w:rPr/>
              <w:t> </w:t>
            </w:r>
          </w:p>
        </w:tc>
        <w:tc>
          <w:tcPr>
            <w:tcW w:w="6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 </w:t>
            </w:r>
          </w:p>
        </w:tc>
        <w:tc>
          <w:tcPr>
            <w:tcW w:w="212"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(9,030</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(8,330</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(17,638</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(15,535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(2,103</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212"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212"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general and administrative expenses (excluding equity compensation expense)</w:t>
            </w:r>
          </w:p>
        </w:tc>
        <w:tc>
          <w:tcPr>
            <w:tcW w:w="212"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auto" w:val="clear"/>
            <w:vAlign w:val="bottom"/>
          </w:tcPr>
          <w:p>
            <w:pPr>
              <w:pStyle w:val="TableContents"/>
              <w:spacing w:before="0" w:after="0"/>
              <w:ind w:left="0" w:right="0" w:hanging="0"/>
              <w:rPr/>
            </w:pPr>
            <w:r>
              <w:rPr>
                <w:rFonts w:ascii="Times New Roman" w:hAnsi="Times New Roman"/>
                <w:sz w:val="17"/>
              </w:rPr>
              <w:t>Equity compensation expense - general and administrative</w:t>
            </w:r>
            <w:r>
              <w:rPr/>
              <w:t xml:space="preserve"> </w:t>
            </w:r>
            <w:r>
              <w:rPr>
                <w:sz w:val="11"/>
              </w:rPr>
              <w:t>(3)</w:t>
            </w:r>
          </w:p>
        </w:tc>
        <w:tc>
          <w:tcPr>
            <w:tcW w:w="212" w:type="dxa"/>
            <w:tcBorders/>
            <w:shd w:fill="auto" w:val="clear"/>
            <w:vAlign w:val="bottom"/>
          </w:tcPr>
          <w:p>
            <w:pPr>
              <w:pStyle w:val="TableContents"/>
              <w:spacing w:before="0" w:after="0"/>
              <w:ind w:left="0" w:right="0" w:hanging="0"/>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2"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14"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2"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212"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w:t>
            </w:r>
          </w:p>
        </w:tc>
        <w:tc>
          <w:tcPr>
            <w:tcW w:w="214"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84"/>
        <w:gridCol w:w="221"/>
        <w:gridCol w:w="666"/>
        <w:gridCol w:w="222"/>
        <w:gridCol w:w="665"/>
        <w:gridCol w:w="222"/>
        <w:gridCol w:w="666"/>
        <w:gridCol w:w="222"/>
        <w:gridCol w:w="665"/>
        <w:gridCol w:w="222"/>
        <w:gridCol w:w="666"/>
        <w:gridCol w:w="221"/>
        <w:gridCol w:w="666"/>
        <w:gridCol w:w="222"/>
        <w:gridCol w:w="665"/>
        <w:gridCol w:w="222"/>
        <w:gridCol w:w="666"/>
        <w:gridCol w:w="222"/>
      </w:tblGrid>
      <w:tr>
        <w:trPr/>
        <w:tc>
          <w:tcPr>
            <w:tcW w:w="2884"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shd w:fill="auto" w:val="clear"/>
            <w:vAlign w:val="bottom"/>
          </w:tcPr>
          <w:p>
            <w:pPr>
              <w:pStyle w:val="TableContents"/>
              <w:spacing w:before="0" w:after="0"/>
              <w:ind w:left="0" w:right="0" w:hanging="0"/>
              <w:jc w:val="center"/>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shd w:fill="auto" w:val="clear"/>
            <w:vAlign w:val="bottom"/>
          </w:tcPr>
          <w:p>
            <w:pPr>
              <w:pStyle w:val="TableContents"/>
              <w:spacing w:before="0" w:after="0"/>
              <w:ind w:left="0" w:right="0" w:hanging="0"/>
              <w:jc w:val="center"/>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884"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884"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21"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r>
      <w:tr>
        <w:trPr/>
        <w:tc>
          <w:tcPr>
            <w:tcW w:w="288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1"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2" w:type="dxa"/>
            <w:tcBorders/>
            <w:shd w:fill="auto" w:val="clear"/>
            <w:vAlign w:val="bottom"/>
          </w:tcPr>
          <w:p>
            <w:pPr>
              <w:pStyle w:val="TableContents"/>
              <w:spacing w:before="0" w:after="0"/>
              <w:ind w:left="0" w:right="0" w:hanging="0"/>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22" w:type="dxa"/>
            <w:tcBorders/>
            <w:shd w:fill="auto" w:val="cle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222" w:type="dxa"/>
            <w:tcBorders/>
            <w:shd w:fill="CCEEFF" w:val="clear"/>
            <w:vAlign w:val="bottom"/>
          </w:tcPr>
          <w:p>
            <w:pPr>
              <w:pStyle w:val="TableContents"/>
              <w:spacing w:before="0" w:after="0"/>
              <w:ind w:left="0" w:right="0" w:hanging="0"/>
              <w:rPr/>
            </w:pPr>
            <w:r>
              <w:rPr/>
              <w:t> </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22" w:type="dxa"/>
            <w:tcBorders/>
            <w:shd w:fill="CCEEFF" w:val="clear"/>
            <w:vAlign w:val="bottom"/>
          </w:tcPr>
          <w:p>
            <w:pPr>
              <w:pStyle w:val="TableContents"/>
              <w:spacing w:before="0" w:after="0"/>
              <w:ind w:left="0" w:right="0" w:hanging="0"/>
              <w:rPr/>
            </w:pPr>
            <w:r>
              <w:rPr/>
              <w:t> </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w:t>
            </w:r>
          </w:p>
        </w:tc>
        <w:tc>
          <w:tcPr>
            <w:tcW w:w="221"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w:t>
            </w:r>
          </w:p>
        </w:tc>
        <w:tc>
          <w:tcPr>
            <w:tcW w:w="222" w:type="dxa"/>
            <w:tcBorders/>
            <w:shd w:fill="CCEEFF" w:val="clear"/>
            <w:vAlign w:val="bottom"/>
          </w:tcPr>
          <w:p>
            <w:pPr>
              <w:pStyle w:val="TableContents"/>
              <w:spacing w:before="0" w:after="0"/>
              <w:ind w:left="0" w:right="0" w:hanging="0"/>
              <w:rPr/>
            </w:pPr>
            <w:r>
              <w:rPr/>
              <w:t> </w:t>
            </w:r>
          </w:p>
        </w:tc>
        <w:tc>
          <w:tcPr>
            <w:tcW w:w="6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sales</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22" w:type="dxa"/>
            <w:tcBorders/>
            <w:shd w:fill="auto" w:val="clear"/>
            <w:vAlign w:val="bottom"/>
          </w:tcPr>
          <w:p>
            <w:pPr>
              <w:pStyle w:val="TableContents"/>
              <w:spacing w:before="0" w:after="0"/>
              <w:ind w:left="0" w:right="0" w:hanging="0"/>
              <w:rPr/>
            </w:pPr>
            <w:r>
              <w:rPr/>
              <w:t> </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2" w:type="dxa"/>
            <w:tcBorders/>
            <w:shd w:fill="auto" w:val="clear"/>
            <w:vAlign w:val="bottom"/>
          </w:tcPr>
          <w:p>
            <w:pPr>
              <w:pStyle w:val="TableContents"/>
              <w:spacing w:before="0" w:after="0"/>
              <w:ind w:left="0" w:right="0" w:hanging="0"/>
              <w:rPr/>
            </w:pPr>
            <w:r>
              <w:rPr/>
              <w:t> </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21"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22" w:type="dxa"/>
            <w:tcBorders/>
            <w:shd w:fill="auto" w:val="clear"/>
            <w:vAlign w:val="bottom"/>
          </w:tcPr>
          <w:p>
            <w:pPr>
              <w:pStyle w:val="TableContents"/>
              <w:spacing w:before="0" w:after="0"/>
              <w:ind w:left="0" w:right="0" w:hanging="0"/>
              <w:rPr/>
            </w:pPr>
            <w:r>
              <w:rPr/>
              <w:t> </w:t>
            </w:r>
          </w:p>
        </w:tc>
        <w:tc>
          <w:tcPr>
            <w:tcW w:w="6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2" w:type="dxa"/>
            <w:tcBorders/>
            <w:shd w:fill="CCEEFF" w:val="clear"/>
            <w:vAlign w:val="bottom"/>
          </w:tcPr>
          <w:p>
            <w:pPr>
              <w:pStyle w:val="TableContents"/>
              <w:spacing w:before="0" w:after="0"/>
              <w:ind w:left="0" w:right="0" w:hanging="0"/>
              <w:rPr/>
            </w:pPr>
            <w:r>
              <w:rPr/>
              <w:t> </w:t>
            </w:r>
          </w:p>
        </w:tc>
        <w:tc>
          <w:tcPr>
            <w:tcW w:w="66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CCEEFF" w:val="clear"/>
            <w:vAlign w:val="bottom"/>
          </w:tcPr>
          <w:p>
            <w:pPr>
              <w:pStyle w:val="TableContents"/>
              <w:spacing w:before="0" w:after="0"/>
              <w:ind w:left="0" w:right="0" w:hanging="0"/>
              <w:rPr/>
            </w:pPr>
            <w:r>
              <w:rPr/>
              <w:t> </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2" w:type="dxa"/>
            <w:tcBorders/>
            <w:shd w:fill="CCEEFF" w:val="clear"/>
            <w:vAlign w:val="bottom"/>
          </w:tcPr>
          <w:p>
            <w:pPr>
              <w:pStyle w:val="TableContents"/>
              <w:spacing w:before="0" w:after="0"/>
              <w:ind w:left="0" w:right="0" w:hanging="0"/>
              <w:rPr/>
            </w:pPr>
            <w:r>
              <w:rPr/>
              <w:t> </w:t>
            </w:r>
          </w:p>
        </w:tc>
        <w:tc>
          <w:tcPr>
            <w:tcW w:w="66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total</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222" w:type="dxa"/>
            <w:tcBorders/>
            <w:shd w:fill="auto" w:val="clear"/>
            <w:vAlign w:val="bottom"/>
          </w:tcPr>
          <w:p>
            <w:pPr>
              <w:pStyle w:val="TableContents"/>
              <w:spacing w:before="0" w:after="0"/>
              <w:ind w:left="0" w:right="0" w:hanging="0"/>
              <w:rPr/>
            </w:pPr>
            <w:r>
              <w:rPr/>
              <w:t> </w:t>
            </w:r>
          </w:p>
        </w:tc>
        <w:tc>
          <w:tcPr>
            <w:tcW w:w="6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22" w:type="dxa"/>
            <w:tcBorders/>
            <w:shd w:fill="auto" w:val="clear"/>
            <w:vAlign w:val="bottom"/>
          </w:tcPr>
          <w:p>
            <w:pPr>
              <w:pStyle w:val="TableContents"/>
              <w:spacing w:before="0" w:after="0"/>
              <w:ind w:left="0" w:right="0" w:hanging="0"/>
              <w:rPr/>
            </w:pPr>
            <w:r>
              <w:rPr/>
              <w:t> </w:t>
            </w:r>
          </w:p>
        </w:tc>
        <w:tc>
          <w:tcPr>
            <w:tcW w:w="6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221"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w:t>
            </w:r>
          </w:p>
        </w:tc>
        <w:tc>
          <w:tcPr>
            <w:tcW w:w="222" w:type="dxa"/>
            <w:tcBorders/>
            <w:shd w:fill="auto" w:val="clear"/>
            <w:vAlign w:val="bottom"/>
          </w:tcPr>
          <w:p>
            <w:pPr>
              <w:pStyle w:val="TableContents"/>
              <w:spacing w:before="0" w:after="0"/>
              <w:ind w:left="0" w:right="0" w:hanging="0"/>
              <w:rPr/>
            </w:pPr>
            <w:r>
              <w:rPr/>
              <w:t> </w:t>
            </w:r>
          </w:p>
        </w:tc>
        <w:tc>
          <w:tcPr>
            <w:tcW w:w="6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crude oil inventory purchases) of approximately $4 million and $6 million for the three and six months ended June 30, 2012 compared to $7 million and $12 million for the three and six months ended June 30, 2011,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presented in the reconciliation to segment profit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6" w:name="PB_41_020108_5250"/>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New York Mercantile Exchange (NYMEX) benchmark price of crude oil ranged from approximately $77 to $106 per barrel and $90 to $115 per barrel during the three months ended June 30, 2012 and 2011, respectively, and from $77 to $111 per barrel and $84 to $115 per barrel during the six months ended June 30, 2012 and 2011,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2012 and 2011 resulting from increases in volumes in the comparative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The increasing production of oil and liquids rich gas in North America has created supply and demand imbalances that have increased the volatility of historical differentials for many grades of crude oil and has also impacted the historical relationship between NGLs and crude oil.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NGL marketing operations are weather-sensitive, particularly during the approximate five-month peak heating season of November through March, and temperature differences from period-to-period may have a significant effect on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Revenues, net of purchases and related costs, increased for the three and six months ended June 30, 2012 compared to the three and six months ended June 30, 2011.  The increases in net revenues were driven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higher volumes due to continued increases in production related to the active development of crude oil and liquids-rich resource plays, which was primarily a result of increased drilling activities in the Bakken, Eagle Ford, Permian Basin, Western Oklahoma and Texas Panhandle producing regions;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opportunities from more favorable crude oil quality differentials experienced in certain regions;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margins related to opportunities created in certain producing regions where crude oil production volumes exceed existing pipeline takeaway capacity and where there are associated logistics challenges.  As the infrastructure in these producing regions continues to be developed, we may not experience the same opportunities for enhanced margins that we are currently experiencing.  We believe the fundamentals of our business remain strong; however, a normalization of margins may occur as the logistics challenges are addressed.  (See Items 1 and 2 Business and PropertiesDescription of Segments and Associated Assets</w:t>
      </w:r>
      <w:r>
        <w:rPr>
          <w:rFonts w:ascii="Times New Roman" w:hAnsi="Times New Roman"/>
          <w:i/>
          <w:sz w:val="17"/>
        </w:rPr>
        <w:t>Supply &amp; Logistics Segment</w:t>
      </w:r>
      <w:r>
        <w:rPr>
          <w:rFonts w:ascii="Times New Roman" w:hAnsi="Times New Roman"/>
          <w:sz w:val="17"/>
        </w:rPr>
        <w:t>Impact of Commodity Price Volatility and Dynamic Market Conditions on Our Business Model included in Part I of our 2011 Annual Report on Form 10-K for further discussion regarding our business model, including diversification and utilization of our asset base among varying demand- and supply-driven markets.)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These net revenue increases were also impacted by the mark-to-market valuation of our derivative activities, net of inventory valuation adjustments,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82"/>
        <w:gridCol w:w="202"/>
        <w:gridCol w:w="168"/>
        <w:gridCol w:w="825"/>
        <w:gridCol w:w="213"/>
        <w:gridCol w:w="168"/>
        <w:gridCol w:w="827"/>
        <w:gridCol w:w="202"/>
        <w:gridCol w:w="201"/>
        <w:gridCol w:w="885"/>
        <w:gridCol w:w="202"/>
        <w:gridCol w:w="167"/>
        <w:gridCol w:w="825"/>
        <w:gridCol w:w="213"/>
        <w:gridCol w:w="168"/>
        <w:gridCol w:w="827"/>
        <w:gridCol w:w="202"/>
        <w:gridCol w:w="182"/>
        <w:gridCol w:w="904"/>
        <w:gridCol w:w="142"/>
      </w:tblGrid>
      <w:tr>
        <w:trPr/>
        <w:tc>
          <w:tcPr>
            <w:tcW w:w="2682"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2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2" w:type="dxa"/>
            <w:tcBorders/>
            <w:shd w:fill="auto" w:val="clear"/>
            <w:vAlign w:val="bottom"/>
          </w:tcPr>
          <w:p>
            <w:pPr>
              <w:pStyle w:val="TableContents"/>
              <w:spacing w:before="0" w:after="0"/>
              <w:ind w:left="0" w:right="0" w:hanging="0"/>
              <w:jc w:val="center"/>
              <w:rPr/>
            </w:pPr>
            <w:r>
              <w:rPr/>
              <w:t> </w:t>
            </w:r>
          </w:p>
        </w:tc>
        <w:tc>
          <w:tcPr>
            <w:tcW w:w="1086" w:type="dxa"/>
            <w:gridSpan w:val="2"/>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20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02" w:type="dxa"/>
            <w:tcBorders/>
            <w:shd w:fill="auto" w:val="clear"/>
            <w:vAlign w:val="bottom"/>
          </w:tcPr>
          <w:p>
            <w:pPr>
              <w:pStyle w:val="TableContents"/>
              <w:spacing w:before="0" w:after="0"/>
              <w:ind w:left="0" w:right="0" w:hanging="0"/>
              <w:jc w:val="center"/>
              <w:rPr/>
            </w:pPr>
            <w:r>
              <w:rPr/>
              <w:t> </w:t>
            </w:r>
          </w:p>
        </w:tc>
        <w:tc>
          <w:tcPr>
            <w:tcW w:w="1086"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2682"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2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02" w:type="dxa"/>
            <w:tcBorders/>
            <w:shd w:fill="auto" w:val="clear"/>
            <w:vAlign w:val="bottom"/>
          </w:tcPr>
          <w:p>
            <w:pPr>
              <w:pStyle w:val="TableContents"/>
              <w:spacing w:before="0" w:after="0"/>
              <w:ind w:left="0" w:right="0" w:hanging="0"/>
              <w:jc w:val="center"/>
              <w:rPr/>
            </w:pPr>
            <w:r>
              <w:rPr/>
              <w:t> </w:t>
            </w:r>
          </w:p>
        </w:tc>
        <w:tc>
          <w:tcPr>
            <w:tcW w:w="1086" w:type="dxa"/>
            <w:gridSpan w:val="2"/>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2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02" w:type="dxa"/>
            <w:tcBorders/>
            <w:shd w:fill="auto" w:val="clear"/>
            <w:vAlign w:val="bottom"/>
          </w:tcPr>
          <w:p>
            <w:pPr>
              <w:pStyle w:val="TableContents"/>
              <w:spacing w:before="0" w:after="0"/>
              <w:ind w:left="0" w:right="0" w:hanging="0"/>
              <w:jc w:val="center"/>
              <w:rPr/>
            </w:pPr>
            <w:r>
              <w:rPr/>
              <w:t> </w:t>
            </w:r>
          </w:p>
        </w:tc>
        <w:tc>
          <w:tcPr>
            <w:tcW w:w="1086"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2682"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9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3" w:type="dxa"/>
            <w:tcBorders/>
            <w:shd w:fill="auto" w:val="clear"/>
            <w:vAlign w:val="bottom"/>
          </w:tcPr>
          <w:p>
            <w:pPr>
              <w:pStyle w:val="TableContents"/>
              <w:spacing w:before="0" w:after="0"/>
              <w:ind w:left="0" w:right="0" w:hanging="0"/>
              <w:jc w:val="center"/>
              <w:rPr/>
            </w:pPr>
            <w:r>
              <w:rPr/>
              <w:t> </w:t>
            </w:r>
          </w:p>
        </w:tc>
        <w:tc>
          <w:tcPr>
            <w:tcW w:w="9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2" w:type="dxa"/>
            <w:tcBorders/>
            <w:shd w:fill="auto" w:val="clear"/>
            <w:vAlign w:val="bottom"/>
          </w:tcPr>
          <w:p>
            <w:pPr>
              <w:pStyle w:val="TableContents"/>
              <w:spacing w:before="0" w:after="0"/>
              <w:ind w:left="0" w:right="0" w:hanging="0"/>
              <w:jc w:val="center"/>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02" w:type="dxa"/>
            <w:tcBorders/>
            <w:shd w:fill="auto" w:val="clear"/>
            <w:vAlign w:val="bottom"/>
          </w:tcPr>
          <w:p>
            <w:pPr>
              <w:pStyle w:val="TableContents"/>
              <w:spacing w:before="0" w:after="0"/>
              <w:ind w:left="0" w:right="0" w:hanging="0"/>
              <w:jc w:val="center"/>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3" w:type="dxa"/>
            <w:tcBorders/>
            <w:shd w:fill="auto" w:val="clear"/>
            <w:vAlign w:val="bottom"/>
          </w:tcPr>
          <w:p>
            <w:pPr>
              <w:pStyle w:val="TableContents"/>
              <w:spacing w:before="0" w:after="0"/>
              <w:ind w:left="0" w:right="0" w:hanging="0"/>
              <w:jc w:val="center"/>
              <w:rPr/>
            </w:pPr>
            <w:r>
              <w:rPr/>
              <w:t> </w:t>
            </w:r>
          </w:p>
        </w:tc>
        <w:tc>
          <w:tcPr>
            <w:tcW w:w="9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2" w:type="dxa"/>
            <w:tcBorders/>
            <w:shd w:fill="auto" w:val="clear"/>
            <w:vAlign w:val="bottom"/>
          </w:tcPr>
          <w:p>
            <w:pPr>
              <w:pStyle w:val="TableContents"/>
              <w:spacing w:before="0" w:after="0"/>
              <w:ind w:left="0" w:right="0" w:hanging="0"/>
              <w:jc w:val="center"/>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42" w:type="dxa"/>
            <w:tcBorders/>
            <w:shd w:fill="auto" w:val="clear"/>
            <w:vAlign w:val="bottom"/>
          </w:tcPr>
          <w:p>
            <w:pPr>
              <w:pStyle w:val="TableContents"/>
              <w:spacing w:before="0" w:after="0"/>
              <w:ind w:left="0" w:right="0" w:hanging="0"/>
              <w:jc w:val="center"/>
              <w:rPr/>
            </w:pPr>
            <w:r>
              <w:rPr/>
              <w:t> </w:t>
            </w:r>
          </w:p>
        </w:tc>
      </w:tr>
      <w:tr>
        <w:trPr/>
        <w:tc>
          <w:tcPr>
            <w:tcW w:w="2682" w:type="dxa"/>
            <w:tcBorders/>
            <w:shd w:fill="CCEEFF" w:val="clear"/>
            <w:vAlign w:val="bottom"/>
          </w:tcPr>
          <w:p>
            <w:pPr>
              <w:pStyle w:val="TableContents"/>
              <w:spacing w:before="0" w:after="0"/>
              <w:ind w:left="0" w:right="0" w:hanging="0"/>
              <w:rPr/>
            </w:pPr>
            <w:r>
              <w:rPr>
                <w:rFonts w:ascii="Times New Roman" w:hAnsi="Times New Roman"/>
                <w:sz w:val="17"/>
              </w:rPr>
              <w:t xml:space="preserve">Gains from derivative activities </w:t>
            </w:r>
            <w:r>
              <w:rPr>
                <w:sz w:val="11"/>
              </w:rPr>
              <w:t>(1)</w:t>
            </w:r>
          </w:p>
        </w:tc>
        <w:tc>
          <w:tcPr>
            <w:tcW w:w="202"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3"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2" w:type="dxa"/>
            <w:tcBorders/>
            <w:shd w:fill="CCEEFF" w:val="clear"/>
            <w:vAlign w:val="bottom"/>
          </w:tcPr>
          <w:p>
            <w:pPr>
              <w:pStyle w:val="TableContents"/>
              <w:spacing w:before="0" w:after="0"/>
              <w:ind w:left="0" w:right="0" w:hanging="0"/>
              <w:rPr/>
            </w:pPr>
            <w:r>
              <w:rPr/>
              <w:t> </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2"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3"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2"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8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These amounts are reduced by inventory valuation adjustments attributable to inventory hedged by the related derivative.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NGL sales volumes increased primarily due to the BP NGL Acquisition; however, we realized lower NGL margins during the comparative periods presented related to declining liquids prices, as well as the sale of NGL product at points in time where related spot prices were less than our weighted average inventory cost. Waterborne cargos decreased over the 2012 period, which is primarily reflective of the increased domestic production as discussed further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7" w:name="PB_42_020202_7672"/>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 compensation expense as discussed further below) increased in the three and six months ended June 30, 2012 compared to the three and six months ended June 30, 2011 primarily due to an increase in trucking costs, particularly the increased use of third-party contractors, associated with the growth in lease gathered volumes in the regions discussed above.  The increase in operating costs per barrel was more than offset by higher margins per barrel due to the market fundamentals described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sz w:val="17"/>
        </w:rPr>
        <w:t>.  General and administrative expenses (excluding equity compensation as discussed below) increased during the three and six months ended June 30, 2012 compared to the three and six months ended June 30, 2011 as a result of the overall growth of the segment, certain one-time costs in connection with our acquisition activities and legal fees associated with certain outstanding issues.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Expense. </w:t>
      </w:r>
      <w:r>
        <w:rPr>
          <w:rFonts w:ascii="Times New Roman" w:hAnsi="Times New Roman"/>
          <w:sz w:val="17"/>
        </w:rPr>
        <w:t>See Results of OperationsAnalysis of Operating SegmentsTransportation SegmentEquity Compensation Expense above for a discussion regarding variances in equity compensation expense for the comparative periods presented. Also, see Note 10 to our Consolidated Financial Statements included in Part IV of our 2011 Annual Report on Form 10-K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Depreciation and amortization expense was $86 million and $146 million for the three and six months ended June 30, 2012, respectively, compared to $63 million and $126 million for the three and six months ended June 30, 2011, respectively.  The increase in each comparative period was primarily the result of an increased amount of assets resulting from acquisition activities, including accelerated amortization of certain intangible assets associated with those acquisitions, as well as various internal growth projects in both years.  The comparative period increases were partially offset by a decrease in expense resulting from extensions of depreciable lives of several of our crude oil and other storage facilities and pipeline systems.  Expense in each year was also impacted by a net gain in the six months ended June 30, 2012 of approximately $4 million recognized upon disposition of certain assets as compared to a net loss in the six months ended June 30, 2011 of approximately $4 million for asset dispositions and impairments for assets taken out of service.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increased by approximately $13 million and $12 million for the three and six months ended June 30, 2012, respectively, compared to the three and six months ended June 30, 2011. These increases were primarily related to the collective issuances of approximately $1.25 billion of senior notes in March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Income/(Expense),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income/(expense), net was a gain of approximately $2 million for the six months ended June 30, 2012 compared to a loss of approximately $20 million for the six months ended June 30, 2011. The loss in the 2011 period was related to the early redemption of our $200 million, 7.75% senior notes for which a similar loss was not experienced during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Current income tax expense increased for the six months ended June 30, 2012 compared to the six months ended June 30, 2011 as Canadian withholding taxes (which are due on payments of interest and dividends from our Canadian entities to other affiliates) more than offset a decrease in the level of taxable earnings in our entities subject to Canadian federal and provincial taxes.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8" w:name="PB_43_020222_536"/>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 from operations as further discussed below in the section entitled Cash Flow from Operations and (ii) borrowings under our credit facilities.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As of June 30, 2012, we had a working capital deficit of approximately $138 million and approximately $2.755 billion of liquidity available to meet our other ongoing operational, investing and finance needs as noted below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7955"/>
        <w:gridCol w:w="211"/>
        <w:gridCol w:w="176"/>
        <w:gridCol w:w="1331"/>
        <w:gridCol w:w="123"/>
      </w:tblGrid>
      <w:tr>
        <w:trPr/>
        <w:tc>
          <w:tcPr>
            <w:tcW w:w="795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5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23" w:type="dxa"/>
            <w:tcBorders/>
            <w:shd w:fill="auto" w:val="clear"/>
            <w:vAlign w:val="bottom"/>
          </w:tcPr>
          <w:p>
            <w:pPr>
              <w:pStyle w:val="TableContents"/>
              <w:spacing w:before="0" w:after="0"/>
              <w:ind w:left="0" w:right="0" w:hanging="0"/>
              <w:jc w:val="center"/>
              <w:rPr/>
            </w:pPr>
            <w:r>
              <w:rPr/>
              <w:t> </w:t>
            </w:r>
          </w:p>
        </w:tc>
      </w:tr>
      <w:tr>
        <w:trPr/>
        <w:tc>
          <w:tcPr>
            <w:tcW w:w="795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2012</w:t>
            </w:r>
          </w:p>
        </w:tc>
        <w:tc>
          <w:tcPr>
            <w:tcW w:w="123" w:type="dxa"/>
            <w:tcBorders/>
            <w:shd w:fill="auto" w:val="clear"/>
            <w:vAlign w:val="bottom"/>
          </w:tcPr>
          <w:p>
            <w:pPr>
              <w:pStyle w:val="TableContents"/>
              <w:spacing w:before="0" w:after="0"/>
              <w:ind w:left="0" w:right="0" w:hanging="0"/>
              <w:jc w:val="center"/>
              <w:rPr/>
            </w:pPr>
            <w:r>
              <w:rPr/>
              <w:t> </w:t>
            </w:r>
          </w:p>
        </w:tc>
      </w:tr>
      <w:tr>
        <w:trPr/>
        <w:tc>
          <w:tcPr>
            <w:tcW w:w="7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unsecured revolving credit facility</w:t>
            </w:r>
          </w:p>
        </w:tc>
        <w:tc>
          <w:tcPr>
            <w:tcW w:w="211"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1,390</w:t>
            </w:r>
          </w:p>
        </w:tc>
        <w:tc>
          <w:tcPr>
            <w:tcW w:w="123" w:type="dxa"/>
            <w:tcBorders/>
            <w:shd w:fill="CCEEFF" w:val="clear"/>
            <w:vAlign w:val="bottom"/>
          </w:tcPr>
          <w:p>
            <w:pPr>
              <w:pStyle w:val="TableContents"/>
              <w:spacing w:before="0" w:after="0"/>
              <w:ind w:left="0" w:right="0" w:hanging="0"/>
              <w:rPr/>
            </w:pPr>
            <w:r>
              <w:rPr/>
              <w:t> </w:t>
            </w:r>
          </w:p>
        </w:tc>
      </w:tr>
      <w:tr>
        <w:trPr/>
        <w:tc>
          <w:tcPr>
            <w:tcW w:w="7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secured hedged inventory facility</w:t>
            </w:r>
          </w:p>
        </w:tc>
        <w:tc>
          <w:tcPr>
            <w:tcW w:w="211" w:type="dxa"/>
            <w:tcBorders/>
            <w:shd w:fill="auto" w:val="clear"/>
            <w:vAlign w:val="bottom"/>
          </w:tcPr>
          <w:p>
            <w:pPr>
              <w:pStyle w:val="TableContents"/>
              <w:spacing w:before="0" w:after="0"/>
              <w:ind w:left="0" w:right="0" w:hanging="0"/>
              <w:rPr/>
            </w:pPr>
            <w:r>
              <w:rPr/>
              <w:t> </w:t>
            </w:r>
          </w:p>
        </w:tc>
        <w:tc>
          <w:tcPr>
            <w:tcW w:w="15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1,166</w:t>
            </w:r>
          </w:p>
        </w:tc>
        <w:tc>
          <w:tcPr>
            <w:tcW w:w="123" w:type="dxa"/>
            <w:tcBorders/>
            <w:shd w:fill="auto" w:val="clear"/>
            <w:vAlign w:val="bottom"/>
          </w:tcPr>
          <w:p>
            <w:pPr>
              <w:pStyle w:val="TableContents"/>
              <w:spacing w:before="0" w:after="0"/>
              <w:ind w:left="0" w:right="0" w:hanging="0"/>
              <w:rPr/>
            </w:pPr>
            <w:r>
              <w:rPr/>
              <w:t> </w:t>
            </w:r>
          </w:p>
        </w:tc>
      </w:tr>
      <w:tr>
        <w:trPr/>
        <w:tc>
          <w:tcPr>
            <w:tcW w:w="7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11" w:type="dxa"/>
            <w:tcBorders/>
            <w:shd w:fill="CCEEFF" w:val="clear"/>
            <w:vAlign w:val="bottom"/>
          </w:tcPr>
          <w:p>
            <w:pPr>
              <w:pStyle w:val="TableContents"/>
              <w:spacing w:before="0" w:after="0"/>
              <w:ind w:left="0" w:right="0" w:hanging="0"/>
              <w:rPr/>
            </w:pPr>
            <w:r>
              <w:rPr/>
              <w:t> </w:t>
            </w:r>
          </w:p>
        </w:tc>
        <w:tc>
          <w:tcPr>
            <w:tcW w:w="15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23" w:type="dxa"/>
            <w:tcBorders/>
            <w:shd w:fill="CCEEFF" w:val="clear"/>
            <w:vAlign w:val="bottom"/>
          </w:tcPr>
          <w:p>
            <w:pPr>
              <w:pStyle w:val="TableContents"/>
              <w:spacing w:before="0" w:after="0"/>
              <w:ind w:left="0" w:right="0" w:hanging="0"/>
              <w:rPr/>
            </w:pPr>
            <w:r>
              <w:rPr/>
              <w:t> </w:t>
            </w:r>
          </w:p>
        </w:tc>
      </w:tr>
      <w:tr>
        <w:trPr/>
        <w:tc>
          <w:tcPr>
            <w:tcW w:w="7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1" w:type="dxa"/>
            <w:tcBorders/>
            <w:shd w:fill="auto" w:val="clear"/>
            <w:vAlign w:val="bottom"/>
          </w:tcPr>
          <w:p>
            <w:pPr>
              <w:pStyle w:val="TableContents"/>
              <w:spacing w:before="0" w:after="0"/>
              <w:ind w:left="0" w:right="0" w:hanging="0"/>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3" w:type="dxa"/>
            <w:tcBorders/>
            <w:shd w:fill="auto" w:val="clear"/>
            <w:vAlign w:val="bottom"/>
          </w:tcPr>
          <w:p>
            <w:pPr>
              <w:pStyle w:val="TableContents"/>
              <w:spacing w:before="0" w:after="0"/>
              <w:ind w:left="0" w:right="0" w:hanging="0"/>
              <w:rPr/>
            </w:pPr>
            <w:r>
              <w:rPr/>
              <w:t> </w:t>
            </w:r>
          </w:p>
        </w:tc>
      </w:tr>
      <w:tr>
        <w:trPr/>
        <w:tc>
          <w:tcPr>
            <w:tcW w:w="7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CCEEFF" w:val="clear"/>
            <w:vAlign w:val="bottom"/>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2,755</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2011 Annual Report on Form 10-K for further discussion regarding such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2010, Congress enacted the Dodd-Frank Wall Street Reform and Consumer Protection Act (Dodd-Frank Act).  Although the Dodd-Frank Act includes provisions regarding the use of financial instruments, and the scope and applicability of these provisions as implemented may continue to develop, our current assessment is that the direct effects of the Dodd-Frank Act on PAA will be limited to additional documentation and record-keeping requirements.  We cannot, however, predict the effect the Dodd-Frank Act may have on the futures and capital markets, which may affect the depth and quality of our counterparties and lenders and, as a result, our liquidity and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 from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operations, including the impact of varying market conditions and the timing of settlement of our derivative activities, see Liquidity and Capital ResourcesCash Flow from Operations under Item 7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provided by operating activities reflects cash generated by our recurring operations, and can also be significantly impacted in periods when we are increasing or decreasing the amount of inventory in storage.  Net cash provided by operating activities for the first six months of 2012 was approximately $348 million, resulting primarily from earnings from our operations.  The cash flows from earnings were partially offset by an increase in our crude oil and NGL inventory levels.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six months of 2011 was approximately $972 million, also resulting primarily from earnings from our operations.  Additionally, cash flow was positively impacted by the liquidation of (i) crude oil inventory that had been stored in a contango market, and (ii) NGL inventory used for heating.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69" w:name="PB_44_020304_5926"/>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contango market activities and NGL business, as well as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June 30, 2012, we had $1.9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March 2012 offerings of our $750 million, 3.65% senior notes due 2022 and our $500 million, 5.15% senior notes due 2042, as well as the March 2012 equity offering, as discussed further below, were all conducted under the WKSI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that, subject to effectiveness at the time of use, allows PNG to issue up to an aggregate of $1.0 billion of debt or equity securities.  PNG has not issued any securities under its 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Equity and Debt Offerings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Continuous Offering Program</w:t>
      </w:r>
      <w:r>
        <w:rPr>
          <w:rFonts w:ascii="Times New Roman" w:hAnsi="Times New Roman"/>
          <w:sz w:val="17"/>
        </w:rPr>
        <w:t>. On May 9, 2012, we entered into an Equity Distribution Agreement (the Agreement) with a financial institution (Manager). Pursuant to the terms of the Agreement, we may from time to time, through Manager, as our sales agent, offer and sell common units representing limited partner interests having an aggregate offering price of up to $300 million. Sales of such common units will be made by means of ordinary brokers transactions on the NYSE at market prices, in block transactions or as otherwise agreed upon by Manager and us. Under the terms of the Agreement, we may also sell common units to Manager as principal for its own account at a price to be agreed upon at the time of the sale. For any such sales, we will enter into a separate terms agreement with Manager.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Through June 30, 2012, we sold an aggregate of 1,434,790 common units under the Agreement, generating proceeds of approximately $114 million, net of approximately $2 million of commissions to Manager.</w:t>
      </w:r>
      <w:r>
        <w:rPr>
          <w:rFonts w:ascii="Times New Roman" w:hAnsi="Times New Roman"/>
        </w:rPr>
        <w:t xml:space="preserve"> </w:t>
      </w:r>
      <w:r>
        <w:rPr>
          <w:rFonts w:ascii="Times New Roman" w:hAnsi="Times New Roman"/>
          <w:sz w:val="17"/>
        </w:rPr>
        <w:t>A portion of these units were issued and the associated proceeds received during early July 2012. The net proceeds from sales, including our general partners proportionate capital contribution,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Equity Offerings.</w:t>
      </w:r>
      <w:r>
        <w:rPr>
          <w:rFonts w:ascii="Times New Roman" w:hAnsi="Times New Roman"/>
        </w:rPr>
        <w:t xml:space="preserve"> </w:t>
      </w:r>
      <w:r>
        <w:rPr>
          <w:rFonts w:ascii="Times New Roman" w:hAnsi="Times New Roman"/>
          <w:sz w:val="17"/>
        </w:rPr>
        <w:t>In March 2012, we completed the sale and issuance of 5,750,000 common units at $80.03 per unit for net proceeds of approximately $455 million.  The net proceeds include our general partners proportionate capital contribution and are reflected net of costs associated with the offering.  We used the net proceeds to fund a portion of the BP NGL Acquisition, to temporarily reduce outstanding borrowings under our credit facilities and for general partnership purposes.  Amounts repaid under our credit facilities may be reborrowed to fund our ongoing capital program, potential future acquisitions or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Notes.</w:t>
      </w:r>
      <w:r>
        <w:rPr>
          <w:rFonts w:ascii="Times New Roman" w:hAnsi="Times New Roman"/>
        </w:rPr>
        <w:t xml:space="preserve"> </w:t>
      </w:r>
      <w:r>
        <w:rPr>
          <w:rFonts w:ascii="Times New Roman" w:hAnsi="Times New Roman"/>
          <w:sz w:val="17"/>
        </w:rPr>
        <w:t>In March 2012, we completed the sale and issuance of $750 million, 3.65% senior notes due 2022 and $500 million, 5.15% senior notes due 2042.  The senior notes were sold at 99.823% and 99.755% of face value, respectively.  Interest payments are due on June 1 and December 1 each year beginning on December 1, 2012.  We used the net proceeds from these offerings to fund a portion of the consideration for the BP NGL Acquisition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w:t>
      </w:r>
      <w:r>
        <w:rPr>
          <w:rFonts w:ascii="Times New Roman" w:hAnsi="Times New Roman"/>
          <w:sz w:val="17"/>
        </w:rPr>
        <w:t>During the six months ended June 30, 2012, we had net borrowings on our credit agreements, which include our revolving credit facilities, our GO Bond term loans and our hedged inventory facility, in the aggregate of approximately $345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six months ended June 30, 2011, we had net repayments on our revolving credit facilities and our hedged inventory facility in the aggregate of approximately $826 million.  The net repayments resulted primarily from cash flows from operating activities, such as sales of crude oil and NGL inventory that was liquidated during the period, as well as our debt and equity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0" w:name="PB_45_020318_4688"/>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PAA senior unsecured 364-day revolving credit agreement.  </w:t>
      </w:r>
      <w:r>
        <w:rPr>
          <w:rFonts w:ascii="Times New Roman" w:hAnsi="Times New Roman"/>
          <w:sz w:val="17"/>
        </w:rPr>
        <w:t>In March 2012, we elected to terminate an unactivated 364-day credit facility agreement that had a borrowing capacity of $1.2 billion.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secured hedged inventory facility</w:t>
      </w:r>
      <w:r>
        <w:rPr>
          <w:rFonts w:ascii="Times New Roman" w:hAnsi="Times New Roman"/>
          <w:sz w:val="17"/>
        </w:rPr>
        <w:t>. In June 2012, we amended our senior secured hedged inventory facility which, among other things, 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sz w:val="17"/>
        </w:rPr>
        <w:t>. In June 2012, PNG partially exercised the accordion feature of its original senior unsecured credit agreement and increased from $250 million to $350 million the aggregate amount of revolving credit facility commitments. Also in June 2012, PNG amended this credit agreement which, among other things, provides for the further increase of the committed amount to $550 million, subject to obtaining additional or increased lender commitments.  The amendment also provides for one or more one-year extensions of the revolving credit facility maturity date of August 2016 and the GO Bond mandatory put date, as defined.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and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operating needs discussed above, 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above and Acquisitions and Internal Growth Projects under Item 7 of our 2011 Annual Report on Form 10-K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Acquisitions.  </w:t>
      </w:r>
      <w:r>
        <w:rPr>
          <w:rFonts w:ascii="Times New Roman" w:hAnsi="Times New Roman"/>
          <w:sz w:val="17"/>
        </w:rPr>
        <w:t>The price of acquisitions includes cash paid, assumed liabilities and net working capital items.  Because of the non-cash items included in the total price of the acquisitions and the timing of certain cash payments, the net cash paid may differ significantly from the total price of the acquisitions completed during the year.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our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August 14, 2012, we will pay a quarterly distribution of $1.065 per limited partner unit.  This distribution represents a year-over-year distribution increase of approximately 8.4%.  See Note 9 to our condensed consolidated financial statements for details of distributions paid.  Also, see Item 5. Market for Registrants Common Units, Related Unitholder Matters and Issuer Purchases of Equity SecuritiesCash Distribution Policy included in our 2011 Annual Report on Form 10-K for additional discussion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in connection with a significant acquisition, our general partner has, from time to time, agreed to reduce the amounts due to it as incentive distributions.  In connection with the BP NGL Acquisition, our general partner agreed to reduce the amount of its incentive distributions by $3.75 million per quarter through February 2014 and $2.5 million per quarter thereafter.  Through June 30, 2012, our general partners incentive distributions had been reduced by $3.75 million related to this acquisition.  See Note 4 to our condensed consolidated financial statements for further discussion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We paid approximately $24 million and $16 million for distributions to our noncontrolling interests during the six months ended June 30, 2012 and 2011, respectively.  These amounts represent distributions paid on interests in PNG and SLC that are not owned by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12 to our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1" w:name="PB_46_020330_2983"/>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NGL from third parties under contracts, the majority 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June 30,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24"/>
        <w:gridCol w:w="203"/>
        <w:gridCol w:w="125"/>
        <w:gridCol w:w="685"/>
        <w:gridCol w:w="203"/>
        <w:gridCol w:w="125"/>
        <w:gridCol w:w="685"/>
        <w:gridCol w:w="203"/>
        <w:gridCol w:w="124"/>
        <w:gridCol w:w="685"/>
        <w:gridCol w:w="203"/>
        <w:gridCol w:w="125"/>
        <w:gridCol w:w="685"/>
        <w:gridCol w:w="203"/>
        <w:gridCol w:w="125"/>
        <w:gridCol w:w="685"/>
        <w:gridCol w:w="202"/>
        <w:gridCol w:w="133"/>
        <w:gridCol w:w="714"/>
        <w:gridCol w:w="203"/>
        <w:gridCol w:w="125"/>
        <w:gridCol w:w="713"/>
        <w:gridCol w:w="127"/>
      </w:tblGrid>
      <w:tr>
        <w:trPr/>
        <w:tc>
          <w:tcPr>
            <w:tcW w:w="2924"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09" w:type="dxa"/>
            <w:gridSpan w:val="2"/>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 and</w:t>
            </w:r>
          </w:p>
        </w:tc>
        <w:tc>
          <w:tcPr>
            <w:tcW w:w="203" w:type="dxa"/>
            <w:tcBorders/>
            <w:shd w:fill="auto" w:val="clear"/>
            <w:vAlign w:val="bottom"/>
          </w:tcPr>
          <w:p>
            <w:pPr>
              <w:pStyle w:val="TableContents"/>
              <w:spacing w:before="0" w:after="0"/>
              <w:ind w:left="0" w:right="0" w:hanging="0"/>
              <w:jc w:val="center"/>
              <w:rPr/>
            </w:pPr>
            <w:r>
              <w:rPr/>
              <w:t> </w:t>
            </w:r>
          </w:p>
        </w:tc>
        <w:tc>
          <w:tcPr>
            <w:tcW w:w="838"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r>
      <w:tr>
        <w:trPr/>
        <w:tc>
          <w:tcPr>
            <w:tcW w:w="2924"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shd w:fill="auto" w:val="clear"/>
            <w:vAlign w:val="bottom"/>
          </w:tcPr>
          <w:p>
            <w:pPr>
              <w:pStyle w:val="TableContents"/>
              <w:spacing w:before="0" w:after="0"/>
              <w:ind w:left="0" w:right="0" w:hanging="0"/>
              <w:jc w:val="center"/>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3" w:type="dxa"/>
            <w:tcBorders/>
            <w:shd w:fill="auto" w:val="clear"/>
            <w:vAlign w:val="bottom"/>
          </w:tcPr>
          <w:p>
            <w:pPr>
              <w:pStyle w:val="TableContents"/>
              <w:spacing w:before="0" w:after="0"/>
              <w:ind w:left="0" w:right="0" w:hanging="0"/>
              <w:jc w:val="center"/>
              <w:rPr/>
            </w:pPr>
            <w:r>
              <w:rPr/>
              <w:t> </w:t>
            </w:r>
          </w:p>
        </w:tc>
        <w:tc>
          <w:tcPr>
            <w:tcW w:w="8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02" w:type="dxa"/>
            <w:tcBorders/>
            <w:shd w:fill="auto" w:val="clear"/>
            <w:vAlign w:val="bottom"/>
          </w:tcPr>
          <w:p>
            <w:pPr>
              <w:pStyle w:val="TableContents"/>
              <w:spacing w:before="0" w:after="0"/>
              <w:ind w:left="0" w:right="0" w:hanging="0"/>
              <w:jc w:val="center"/>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03" w:type="dxa"/>
            <w:tcBorders/>
            <w:shd w:fill="auto" w:val="clear"/>
            <w:vAlign w:val="bottom"/>
          </w:tcPr>
          <w:p>
            <w:pPr>
              <w:pStyle w:val="TableContents"/>
              <w:spacing w:before="0" w:after="0"/>
              <w:ind w:left="0" w:right="0" w:hanging="0"/>
              <w:jc w:val="center"/>
              <w:rPr/>
            </w:pPr>
            <w:r>
              <w:rPr/>
              <w:t> </w:t>
            </w:r>
          </w:p>
        </w:tc>
        <w:tc>
          <w:tcPr>
            <w:tcW w:w="8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2924" w:type="dxa"/>
            <w:tcBorders/>
            <w:shd w:fill="CCEEFF" w:val="clear"/>
          </w:tcPr>
          <w:p>
            <w:pPr>
              <w:pStyle w:val="TableContents"/>
              <w:spacing w:before="0" w:after="0"/>
              <w:ind w:left="0" w:right="0" w:hanging="0"/>
              <w:rPr/>
            </w:pPr>
            <w:r>
              <w:rPr>
                <w:rFonts w:ascii="Times New Roman" w:hAnsi="Times New Roman"/>
                <w:sz w:val="17"/>
              </w:rPr>
              <w:t xml:space="preserve">Long-term debt, including current maturities and related interest payments </w:t>
            </w:r>
            <w:r>
              <w:rPr>
                <w:sz w:val="11"/>
              </w:rPr>
              <w:t>(1)</w:t>
            </w:r>
          </w:p>
        </w:tc>
        <w:tc>
          <w:tcPr>
            <w:tcW w:w="2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2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203"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846</w:t>
            </w:r>
          </w:p>
        </w:tc>
        <w:tc>
          <w:tcPr>
            <w:tcW w:w="2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728</w:t>
            </w:r>
          </w:p>
        </w:tc>
        <w:tc>
          <w:tcPr>
            <w:tcW w:w="202"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6,813</w:t>
            </w:r>
          </w:p>
        </w:tc>
        <w:tc>
          <w:tcPr>
            <w:tcW w:w="2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9,923</w:t>
            </w:r>
          </w:p>
        </w:tc>
        <w:tc>
          <w:tcPr>
            <w:tcW w:w="127" w:type="dxa"/>
            <w:tcBorders/>
            <w:shd w:fill="CCEEFF" w:val="clear"/>
            <w:vAlign w:val="bottom"/>
          </w:tcPr>
          <w:p>
            <w:pPr>
              <w:pStyle w:val="TableContents"/>
              <w:spacing w:before="0" w:after="0"/>
              <w:ind w:left="0" w:right="0" w:hanging="0"/>
              <w:rPr/>
            </w:pPr>
            <w:r>
              <w:rPr/>
              <w:t> </w:t>
            </w:r>
          </w:p>
        </w:tc>
      </w:tr>
      <w:tr>
        <w:trPr/>
        <w:tc>
          <w:tcPr>
            <w:tcW w:w="2924" w:type="dxa"/>
            <w:tcBorders/>
            <w:shd w:fill="auto" w:val="clear"/>
            <w:vAlign w:val="center"/>
          </w:tcPr>
          <w:p>
            <w:pPr>
              <w:pStyle w:val="TableContents"/>
              <w:spacing w:before="0" w:after="0"/>
              <w:ind w:left="0" w:right="0" w:hanging="0"/>
              <w:rPr/>
            </w:pPr>
            <w:r>
              <w:rPr>
                <w:rFonts w:ascii="Times New Roman" w:hAnsi="Times New Roman"/>
                <w:sz w:val="17"/>
              </w:rPr>
              <w:t xml:space="preserve">Leases </w:t>
            </w:r>
            <w:r>
              <w:rPr>
                <w:sz w:val="11"/>
              </w:rPr>
              <w:t>(2)</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3"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02"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3" w:type="dxa"/>
            <w:tcBorders/>
            <w:shd w:fill="auto" w:val="clear"/>
            <w:vAlign w:val="bottom"/>
          </w:tcPr>
          <w:p>
            <w:pPr>
              <w:pStyle w:val="TableContents"/>
              <w:spacing w:before="0" w:after="0"/>
              <w:ind w:left="0" w:right="0" w:hanging="0"/>
              <w:rPr/>
            </w:pPr>
            <w:r>
              <w:rPr/>
              <w:t> </w:t>
            </w:r>
          </w:p>
        </w:tc>
        <w:tc>
          <w:tcPr>
            <w:tcW w:w="8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127" w:type="dxa"/>
            <w:tcBorders/>
            <w:shd w:fill="auto" w:val="clear"/>
            <w:vAlign w:val="bottom"/>
          </w:tcPr>
          <w:p>
            <w:pPr>
              <w:pStyle w:val="TableContents"/>
              <w:spacing w:before="0" w:after="0"/>
              <w:ind w:left="0" w:right="0" w:hanging="0"/>
              <w:rPr/>
            </w:pPr>
            <w:r>
              <w:rPr/>
              <w:t> </w:t>
            </w:r>
          </w:p>
        </w:tc>
      </w:tr>
      <w:tr>
        <w:trPr/>
        <w:tc>
          <w:tcPr>
            <w:tcW w:w="2924" w:type="dxa"/>
            <w:tcBorders/>
            <w:shd w:fill="CCEEFF" w:val="clear"/>
            <w:vAlign w:val="center"/>
          </w:tcPr>
          <w:p>
            <w:pPr>
              <w:pStyle w:val="TableContents"/>
              <w:spacing w:before="0" w:after="0"/>
              <w:ind w:left="0" w:right="0" w:hanging="0"/>
              <w:rPr/>
            </w:pPr>
            <w:r>
              <w:rPr>
                <w:rFonts w:ascii="Times New Roman" w:hAnsi="Times New Roman"/>
                <w:sz w:val="17"/>
              </w:rPr>
              <w:t xml:space="preserve">Other obligations </w:t>
            </w:r>
            <w:r>
              <w:rPr>
                <w:sz w:val="11"/>
              </w:rPr>
              <w:t>(3)</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3" w:type="dxa"/>
            <w:tcBorders/>
            <w:shd w:fill="CCEEFF" w:val="clear"/>
            <w:vAlign w:val="bottom"/>
          </w:tcPr>
          <w:p>
            <w:pPr>
              <w:pStyle w:val="TableContents"/>
              <w:spacing w:before="0" w:after="0"/>
              <w:ind w:left="0" w:right="0" w:hanging="0"/>
              <w:rPr/>
            </w:pPr>
            <w:r>
              <w:rPr/>
              <w:t> </w:t>
            </w:r>
          </w:p>
        </w:tc>
        <w:tc>
          <w:tcPr>
            <w:tcW w:w="8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2" w:type="dxa"/>
            <w:tcBorders/>
            <w:shd w:fill="CCEEFF"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3" w:type="dxa"/>
            <w:tcBorders/>
            <w:shd w:fill="CCEEFF" w:val="clear"/>
            <w:vAlign w:val="bottom"/>
          </w:tcPr>
          <w:p>
            <w:pPr>
              <w:pStyle w:val="TableContents"/>
              <w:spacing w:before="0" w:after="0"/>
              <w:ind w:left="0" w:right="0" w:hanging="0"/>
              <w:rPr/>
            </w:pPr>
            <w:r>
              <w:rPr/>
              <w:t> </w:t>
            </w:r>
          </w:p>
        </w:tc>
        <w:tc>
          <w:tcPr>
            <w:tcW w:w="8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538</w:t>
            </w:r>
          </w:p>
        </w:tc>
        <w:tc>
          <w:tcPr>
            <w:tcW w:w="127" w:type="dxa"/>
            <w:tcBorders/>
            <w:shd w:fill="CCEEFF" w:val="clear"/>
            <w:vAlign w:val="bottom"/>
          </w:tcPr>
          <w:p>
            <w:pPr>
              <w:pStyle w:val="TableContents"/>
              <w:spacing w:before="0" w:after="0"/>
              <w:ind w:left="0" w:right="0" w:hanging="0"/>
              <w:rPr/>
            </w:pPr>
            <w:r>
              <w:rPr/>
              <w:t> </w:t>
            </w:r>
          </w:p>
        </w:tc>
      </w:tr>
      <w:tr>
        <w:trPr/>
        <w:tc>
          <w:tcPr>
            <w:tcW w:w="29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w:t>
            </w:r>
          </w:p>
        </w:tc>
        <w:tc>
          <w:tcPr>
            <w:tcW w:w="203"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960</w:t>
            </w:r>
          </w:p>
        </w:tc>
        <w:tc>
          <w:tcPr>
            <w:tcW w:w="203" w:type="dxa"/>
            <w:tcBorders/>
            <w:shd w:fill="auto" w:val="clear"/>
            <w:vAlign w:val="bottom"/>
          </w:tcPr>
          <w:p>
            <w:pPr>
              <w:pStyle w:val="TableContents"/>
              <w:spacing w:before="0" w:after="0"/>
              <w:ind w:left="0" w:right="0" w:hanging="0"/>
              <w:rPr/>
            </w:pPr>
            <w:r>
              <w:rPr/>
              <w:t> </w:t>
            </w:r>
          </w:p>
        </w:tc>
        <w:tc>
          <w:tcPr>
            <w:tcW w:w="8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w:t>
            </w:r>
          </w:p>
        </w:tc>
        <w:tc>
          <w:tcPr>
            <w:tcW w:w="202"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7,272</w:t>
            </w:r>
          </w:p>
        </w:tc>
        <w:tc>
          <w:tcPr>
            <w:tcW w:w="203" w:type="dxa"/>
            <w:tcBorders/>
            <w:shd w:fill="auto" w:val="clear"/>
            <w:vAlign w:val="bottom"/>
          </w:tcPr>
          <w:p>
            <w:pPr>
              <w:pStyle w:val="TableContents"/>
              <w:spacing w:before="0" w:after="0"/>
              <w:ind w:left="0" w:right="0" w:hanging="0"/>
              <w:rPr/>
            </w:pPr>
            <w:r>
              <w:rPr/>
              <w:t> </w:t>
            </w:r>
          </w:p>
        </w:tc>
        <w:tc>
          <w:tcPr>
            <w:tcW w:w="8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11,063</w:t>
            </w:r>
          </w:p>
        </w:tc>
        <w:tc>
          <w:tcPr>
            <w:tcW w:w="127" w:type="dxa"/>
            <w:tcBorders/>
            <w:shd w:fill="auto" w:val="clear"/>
            <w:vAlign w:val="bottom"/>
          </w:tcPr>
          <w:p>
            <w:pPr>
              <w:pStyle w:val="TableContents"/>
              <w:spacing w:before="0" w:after="0"/>
              <w:ind w:left="0" w:right="0" w:hanging="0"/>
              <w:rPr/>
            </w:pPr>
            <w:r>
              <w:rPr/>
              <w:t> </w:t>
            </w:r>
          </w:p>
        </w:tc>
      </w:tr>
      <w:tr>
        <w:trPr/>
        <w:tc>
          <w:tcPr>
            <w:tcW w:w="2924" w:type="dxa"/>
            <w:tcBorders/>
            <w:shd w:fill="CCEEFF" w:val="clear"/>
            <w:vAlign w:val="bottom"/>
          </w:tcPr>
          <w:p>
            <w:pPr>
              <w:pStyle w:val="TableContents"/>
              <w:spacing w:before="0" w:after="0"/>
              <w:ind w:left="0" w:right="0" w:hanging="0"/>
              <w:rPr/>
            </w:pPr>
            <w:r>
              <w:rPr>
                <w:rFonts w:ascii="Times New Roman" w:hAnsi="Times New Roman"/>
                <w:sz w:val="17"/>
              </w:rPr>
              <w:t xml:space="preserve">Crude oil, natural gas, NGL and other purchases </w:t>
            </w:r>
            <w:r>
              <w:rPr>
                <w:sz w:val="11"/>
              </w:rPr>
              <w:t>(4)</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4,454</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2,189</w:t>
            </w:r>
          </w:p>
        </w:tc>
        <w:tc>
          <w:tcPr>
            <w:tcW w:w="203" w:type="dxa"/>
            <w:tcBorders/>
            <w:shd w:fill="CCEEFF" w:val="clear"/>
            <w:vAlign w:val="bottom"/>
          </w:tcPr>
          <w:p>
            <w:pPr>
              <w:pStyle w:val="TableContents"/>
              <w:spacing w:before="0" w:after="0"/>
              <w:ind w:left="0" w:right="0" w:hanging="0"/>
              <w:rPr/>
            </w:pPr>
            <w:r>
              <w:rPr/>
              <w:t> </w:t>
            </w:r>
          </w:p>
        </w:tc>
        <w:tc>
          <w:tcPr>
            <w:tcW w:w="8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1,011</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203" w:type="dxa"/>
            <w:tcBorders/>
            <w:shd w:fill="CCEEFF" w:val="clear"/>
            <w:vAlign w:val="bottom"/>
          </w:tcPr>
          <w:p>
            <w:pPr>
              <w:pStyle w:val="TableContents"/>
              <w:spacing w:before="0" w:after="0"/>
              <w:ind w:left="0" w:right="0" w:hanging="0"/>
              <w:rPr/>
            </w:pPr>
            <w:r>
              <w:rPr/>
              <w:t> </w:t>
            </w:r>
          </w:p>
        </w:tc>
        <w:tc>
          <w:tcPr>
            <w:tcW w:w="8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202" w:type="dxa"/>
            <w:tcBorders/>
            <w:shd w:fill="CCEEFF"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1,423</w:t>
            </w:r>
          </w:p>
        </w:tc>
        <w:tc>
          <w:tcPr>
            <w:tcW w:w="203" w:type="dxa"/>
            <w:tcBorders/>
            <w:shd w:fill="CCEEFF" w:val="clear"/>
            <w:vAlign w:val="bottom"/>
          </w:tcPr>
          <w:p>
            <w:pPr>
              <w:pStyle w:val="TableContents"/>
              <w:spacing w:before="0" w:after="0"/>
              <w:ind w:left="0" w:right="0" w:hanging="0"/>
              <w:rPr/>
            </w:pPr>
            <w:r>
              <w:rPr/>
              <w:t> </w:t>
            </w:r>
          </w:p>
        </w:tc>
        <w:tc>
          <w:tcPr>
            <w:tcW w:w="8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9,961</w:t>
            </w:r>
          </w:p>
        </w:tc>
        <w:tc>
          <w:tcPr>
            <w:tcW w:w="127" w:type="dxa"/>
            <w:tcBorders/>
            <w:shd w:fill="CCEEFF" w:val="clear"/>
            <w:vAlign w:val="bottom"/>
          </w:tcPr>
          <w:p>
            <w:pPr>
              <w:pStyle w:val="TableContents"/>
              <w:spacing w:before="0" w:after="0"/>
              <w:ind w:left="0" w:right="0" w:hanging="0"/>
              <w:rPr/>
            </w:pPr>
            <w:r>
              <w:rPr/>
              <w:t> </w:t>
            </w:r>
          </w:p>
        </w:tc>
      </w:tr>
      <w:tr>
        <w:trPr/>
        <w:tc>
          <w:tcPr>
            <w:tcW w:w="29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5,286</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2,932</w:t>
            </w:r>
          </w:p>
        </w:tc>
        <w:tc>
          <w:tcPr>
            <w:tcW w:w="203"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1,447</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1,427</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1,237</w:t>
            </w:r>
          </w:p>
        </w:tc>
        <w:tc>
          <w:tcPr>
            <w:tcW w:w="202"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8,695</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21,024</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interest payments and the commitment fee on the PNG credit agreement and the commitment fee on our PAA credit facilities.  Although there is an outstanding balance on our PAA credit facilities at June 30, 2012,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surface rentals, (ii) office rent, (iii) pipeline assets and (iv) trucks, trailers and railcars used in our gathering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Excludes a non-current liability of approximately $56 million related to derivative activity included in Crude oil, natural gas, NGL and other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are primarily based on estimated volumes and market prices based on average activity during June 2012.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June 30, 2012 and December 31, 2011, we had outstanding letters of credit of approximately $34 million and $33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72" w:name="PB_47_020537_6228"/>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73" w:name="PB_48_115407_5335"/>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Risk Factors discussed in Item 1A of our 2011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QUANTITATIVE AND QUALITATIVE DISCLOSURES ABOUT MARKET RISK</w:t>
      </w:r>
      <w:bookmarkStart w:id="74" w:name="Item3_QuantitativeAndQualitativeD_022706"/>
      <w:bookmarkEnd w:id="7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(i) commodity risk, (ii) interest rate risk and (iii) currency exchange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commodity price risk associated with the following commodities: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 traded and over-the-counter futures, forwards,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natural gas derivatives to hedge commodity price risk inherent in our Supply and Logistics and Facilities segments.  Our objectives for these derivatives include hedging anticipated purchases and sales, stored inventory and to manage our anticipated base gas requirements.  We manage these exposures with various instruments including exchange-traded futures,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NGL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75" w:name="PB_49_115407_5796"/>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condensed consolidated financial statements for further discussion regarding our hedging strategies and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(i) to purchase only product for which we have a market, (ii) to hedge our purchase and sales contracts so that price fluctuations do not materially affect our operating income and (iii) not to acquire and hold physical inventory or other derivative instruments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as of June 30, 2012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54"/>
        <w:gridCol w:w="208"/>
        <w:gridCol w:w="215"/>
        <w:gridCol w:w="1170"/>
        <w:gridCol w:w="208"/>
        <w:gridCol w:w="272"/>
        <w:gridCol w:w="1270"/>
        <w:gridCol w:w="223"/>
        <w:gridCol w:w="313"/>
        <w:gridCol w:w="1240"/>
        <w:gridCol w:w="132"/>
      </w:tblGrid>
      <w:tr>
        <w:trPr/>
        <w:tc>
          <w:tcPr>
            <w:tcW w:w="495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85" w:type="dxa"/>
            <w:gridSpan w:val="2"/>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5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3" w:type="dxa"/>
            <w:tcBorders/>
            <w:shd w:fill="auto" w:val="clear"/>
            <w:vAlign w:val="bottom"/>
          </w:tcPr>
          <w:p>
            <w:pPr>
              <w:pStyle w:val="TableContents"/>
              <w:spacing w:before="0" w:after="0"/>
              <w:ind w:left="0" w:right="0" w:hanging="0"/>
              <w:jc w:val="center"/>
              <w:rPr/>
            </w:pPr>
            <w:r>
              <w:rPr/>
              <w:t> </w:t>
            </w:r>
          </w:p>
        </w:tc>
        <w:tc>
          <w:tcPr>
            <w:tcW w:w="15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32" w:type="dxa"/>
            <w:tcBorders/>
            <w:shd w:fill="auto" w:val="clear"/>
            <w:vAlign w:val="bottom"/>
          </w:tcPr>
          <w:p>
            <w:pPr>
              <w:pStyle w:val="TableContents"/>
              <w:spacing w:before="0" w:after="0"/>
              <w:ind w:left="0" w:right="0" w:hanging="0"/>
              <w:jc w:val="center"/>
              <w:rPr/>
            </w:pPr>
            <w:r>
              <w:rPr/>
              <w:t> </w:t>
            </w:r>
          </w:p>
        </w:tc>
      </w:tr>
      <w:tr>
        <w:trPr/>
        <w:tc>
          <w:tcPr>
            <w:tcW w:w="495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08" w:type="dxa"/>
            <w:tcBorders/>
            <w:shd w:fill="auto" w:val="clear"/>
            <w:vAlign w:val="bottom"/>
          </w:tcPr>
          <w:p>
            <w:pPr>
              <w:pStyle w:val="TableContents"/>
              <w:spacing w:before="0" w:after="0"/>
              <w:ind w:left="0" w:right="0" w:hanging="0"/>
              <w:jc w:val="center"/>
              <w:rPr/>
            </w:pPr>
            <w:r>
              <w:rPr/>
              <w:t> </w:t>
            </w:r>
          </w:p>
        </w:tc>
        <w:tc>
          <w:tcPr>
            <w:tcW w:w="15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3" w:type="dxa"/>
            <w:tcBorders/>
            <w:shd w:fill="auto" w:val="clear"/>
            <w:vAlign w:val="bottom"/>
          </w:tcPr>
          <w:p>
            <w:pPr>
              <w:pStyle w:val="TableContents"/>
              <w:spacing w:before="0" w:after="0"/>
              <w:ind w:left="0" w:right="0" w:hanging="0"/>
              <w:jc w:val="center"/>
              <w:rPr/>
            </w:pPr>
            <w:r>
              <w:rPr/>
              <w:t> </w:t>
            </w:r>
          </w:p>
        </w:tc>
        <w:tc>
          <w:tcPr>
            <w:tcW w:w="15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32" w:type="dxa"/>
            <w:tcBorders/>
            <w:shd w:fill="auto" w:val="clear"/>
            <w:vAlign w:val="bottom"/>
          </w:tcPr>
          <w:p>
            <w:pPr>
              <w:pStyle w:val="TableContents"/>
              <w:spacing w:before="0" w:after="0"/>
              <w:ind w:left="0" w:right="0" w:hanging="0"/>
              <w:jc w:val="center"/>
              <w:rPr/>
            </w:pPr>
            <w:r>
              <w:rPr/>
              <w:t> </w:t>
            </w:r>
          </w:p>
        </w:tc>
      </w:tr>
      <w:tr>
        <w:trPr/>
        <w:tc>
          <w:tcPr>
            <w:tcW w:w="4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and related products</w:t>
            </w:r>
          </w:p>
        </w:tc>
        <w:tc>
          <w:tcPr>
            <w:tcW w:w="208"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8" w:type="dxa"/>
            <w:tcBorders/>
            <w:shd w:fill="CCEEFF" w:val="clear"/>
            <w:vAlign w:val="bottom"/>
          </w:tcPr>
          <w:p>
            <w:pPr>
              <w:pStyle w:val="TableContents"/>
              <w:spacing w:before="0" w:after="0"/>
              <w:ind w:left="0" w:right="0" w:hanging="0"/>
              <w:rPr/>
            </w:pPr>
            <w:r>
              <w:rPr/>
              <w:t> </w:t>
            </w:r>
          </w:p>
        </w:tc>
        <w:tc>
          <w:tcPr>
            <w:tcW w:w="2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2" w:type="dxa"/>
            <w:tcBorders/>
            <w:shd w:fill="CCEEFF" w:val="clear"/>
            <w:vAlign w:val="bottom"/>
          </w:tcPr>
          <w:p>
            <w:pPr>
              <w:pStyle w:val="TableContents"/>
              <w:spacing w:before="0" w:after="0"/>
              <w:ind w:left="0" w:right="0" w:hanging="0"/>
              <w:rPr/>
            </w:pPr>
            <w:r>
              <w:rPr/>
              <w:t> </w:t>
            </w:r>
          </w:p>
        </w:tc>
      </w:tr>
      <w:tr>
        <w:trPr/>
        <w:tc>
          <w:tcPr>
            <w:tcW w:w="4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8" w:type="dxa"/>
            <w:tcBorders/>
            <w:shd w:fill="auto" w:val="clear"/>
            <w:vAlign w:val="bottom"/>
          </w:tcPr>
          <w:p>
            <w:pPr>
              <w:pStyle w:val="TableContents"/>
              <w:spacing w:before="0" w:after="0"/>
              <w:ind w:left="0" w:right="0" w:hanging="0"/>
              <w:rPr/>
            </w:pPr>
            <w:r>
              <w:rPr/>
              <w:t> </w:t>
            </w:r>
          </w:p>
        </w:tc>
        <w:tc>
          <w:tcPr>
            <w:tcW w:w="13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8" w:type="dxa"/>
            <w:tcBorders/>
            <w:shd w:fill="auto" w:val="clear"/>
            <w:vAlign w:val="bottom"/>
          </w:tcPr>
          <w:p>
            <w:pPr>
              <w:pStyle w:val="TableContents"/>
              <w:spacing w:before="0" w:after="0"/>
              <w:ind w:left="0" w:right="0" w:hanging="0"/>
              <w:rPr/>
            </w:pPr>
            <w:r>
              <w:rPr/>
              <w:t> </w:t>
            </w:r>
          </w:p>
        </w:tc>
        <w:tc>
          <w:tcPr>
            <w:tcW w:w="2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2" w:type="dxa"/>
            <w:tcBorders/>
            <w:shd w:fill="auto" w:val="clear"/>
            <w:vAlign w:val="bottom"/>
          </w:tcPr>
          <w:p>
            <w:pPr>
              <w:pStyle w:val="TableContents"/>
              <w:spacing w:before="0" w:after="0"/>
              <w:ind w:left="0" w:right="0" w:hanging="0"/>
              <w:rPr/>
            </w:pPr>
            <w:r>
              <w:rPr/>
              <w:t> </w:t>
            </w:r>
          </w:p>
        </w:tc>
      </w:tr>
      <w:tr>
        <w:trPr/>
        <w:tc>
          <w:tcPr>
            <w:tcW w:w="4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8" w:type="dxa"/>
            <w:tcBorders/>
            <w:shd w:fill="CCEEFF" w:val="clear"/>
            <w:vAlign w:val="bottom"/>
          </w:tcPr>
          <w:p>
            <w:pPr>
              <w:pStyle w:val="TableContents"/>
              <w:spacing w:before="0" w:after="0"/>
              <w:ind w:left="0" w:right="0" w:hanging="0"/>
              <w:rPr/>
            </w:pPr>
            <w:r>
              <w:rPr/>
              <w:t> </w:t>
            </w:r>
          </w:p>
        </w:tc>
        <w:tc>
          <w:tcPr>
            <w:tcW w:w="13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8" w:type="dxa"/>
            <w:tcBorders/>
            <w:shd w:fill="CCEEFF" w:val="clear"/>
            <w:vAlign w:val="bottom"/>
          </w:tcPr>
          <w:p>
            <w:pPr>
              <w:pStyle w:val="TableContents"/>
              <w:spacing w:before="0" w:after="0"/>
              <w:ind w:left="0" w:right="0" w:hanging="0"/>
              <w:rPr/>
            </w:pPr>
            <w:r>
              <w:rPr/>
              <w:t> </w:t>
            </w:r>
          </w:p>
        </w:tc>
        <w:tc>
          <w:tcPr>
            <w:tcW w:w="2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32" w:type="dxa"/>
            <w:tcBorders/>
            <w:shd w:fill="CCEEFF" w:val="clear"/>
            <w:vAlign w:val="bottom"/>
          </w:tcPr>
          <w:p>
            <w:pPr>
              <w:pStyle w:val="TableContents"/>
              <w:spacing w:before="0" w:after="0"/>
              <w:ind w:left="0" w:right="0" w:hanging="0"/>
              <w:rPr/>
            </w:pPr>
            <w:r>
              <w:rPr/>
              <w:t> </w:t>
            </w:r>
          </w:p>
        </w:tc>
      </w:tr>
      <w:tr>
        <w:trPr/>
        <w:tc>
          <w:tcPr>
            <w:tcW w:w="4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8" w:type="dxa"/>
            <w:tcBorders/>
            <w:shd w:fill="auto" w:val="clear"/>
            <w:vAlign w:val="bottom"/>
          </w:tcPr>
          <w:p>
            <w:pPr>
              <w:pStyle w:val="TableContents"/>
              <w:spacing w:before="0" w:after="0"/>
              <w:ind w:left="0" w:right="0" w:hanging="0"/>
              <w:rPr/>
            </w:pPr>
            <w:r>
              <w:rPr/>
              <w:t> </w:t>
            </w:r>
          </w:p>
        </w:tc>
        <w:tc>
          <w:tcPr>
            <w:tcW w:w="2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08" w:type="dxa"/>
            <w:tcBorders/>
            <w:shd w:fill="auto" w:val="clear"/>
            <w:vAlign w:val="bottom"/>
          </w:tcPr>
          <w:p>
            <w:pPr>
              <w:pStyle w:val="TableContents"/>
              <w:spacing w:before="0" w:after="0"/>
              <w:ind w:left="0" w:right="0" w:hanging="0"/>
              <w:rPr/>
            </w:pPr>
            <w:r>
              <w:rPr/>
              <w:t> </w:t>
            </w:r>
          </w:p>
        </w:tc>
        <w:tc>
          <w:tcPr>
            <w:tcW w:w="154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55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both fixed and variable rate debt, and are exposed to interest rate risk. Therefore, from time to time we use interest rate derivatives to hedge interest rate risk associated with anticipated debt issuances and, in certain cases, outstanding debt instruments.  All of our senior notes are fixed rate notes and thus not subject to interest rate risk. The majority of our variable rate debt at June 30, 2012, approximately $823 million (which includes $150 million of interest rate derivatives that swap fixed rate debt for floating and excludes $100 million that swap floating rate debt for fixed), is subject to interest rate re-sets, which range from one week to three months.  The average interest rate of 1.8% is based upon rates in effect during the six months ended June 30, 2012.  The fair value of our interest rate derivatives is an unrealized loss of approximately $142 million as of June 30, 2012.  A 10% increase in the forward LIBOR curve as of June 30, 2012 would result in an increase of approximately $36 million to the fair value of our interest rate derivatives.  A 10% decrease in the forward LIBOR curve as of June 30, 2012 would result in a decrease of approximately $36 million to the fair value of our interest rate derivatives.  See Note 11 to our condensed consolidated financial statements for a discussion of our interest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CONTROLS AND PROCEDURES</w:t>
      </w:r>
      <w:bookmarkStart w:id="76" w:name="Item4_ControlsAndProcedures_022712"/>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77" w:name="PB_50_115407_2897"/>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78" w:name="PB_51_115407_3020"/>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9" w:name="Partii_OtherInformation_022719"/>
      <w:bookmarkEnd w:id="79"/>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80" w:name="Item1_LegalProceedings_022720"/>
      <w:bookmarkEnd w:id="8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12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81" w:name="Item1a_RiskFactors_022720"/>
      <w:bookmarkEnd w:id="8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2011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82" w:name="Item2_UnregisteredSalesOfEquitySe_022723"/>
      <w:bookmarkEnd w:id="8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83" w:name="Item3_DefaultsUponSeniorSecuritie_022724"/>
      <w:bookmarkEnd w:id="8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MINE SAFETY DISCLOSURES</w:t>
      </w:r>
      <w:bookmarkStart w:id="84" w:name="Item4_MineSafetyDisclosures_022724"/>
      <w:bookmarkEnd w:id="8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5" w:name="Item5_OtherInformation_033543"/>
      <w:bookmarkEnd w:id="8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6" w:name="Item6_Exhibits_022726"/>
      <w:bookmarkEnd w:id="8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87" w:name="PB_52_115407_7748"/>
      <w:bookmarkEnd w:id="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8" w:name="Signatures_022731"/>
      <w:bookmarkEnd w:id="88"/>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510"/>
        <w:gridCol w:w="4592"/>
      </w:tblGrid>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9, 2012</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pPr>
            <w:r>
              <w:rPr/>
              <w:t> </w:t>
            </w:r>
          </w:p>
        </w:tc>
      </w:tr>
      <w:tr>
        <w:trPr/>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9, 2012</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pPr>
            <w:r>
              <w:rPr/>
              <w:t> </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pPr>
            <w:r>
              <w:rPr/>
              <w:t> </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0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592"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89" w:name="PB_53_115407_141"/>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27"/>
        <w:gridCol w:w="205"/>
        <w:gridCol w:w="307"/>
        <w:gridCol w:w="206"/>
        <w:gridCol w:w="8560"/>
      </w:tblGrid>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dated as of May 17, 2012 (incorporated by reference to Exhibit 3.1 to the Current Report on Form 8-K filed May 23, 2012).</w:t>
            </w:r>
          </w:p>
        </w:tc>
      </w:tr>
      <w:tr>
        <w:trPr/>
        <w:tc>
          <w:tcPr>
            <w:tcW w:w="92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92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92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92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92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92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205" w:type="dxa"/>
            <w:tcBorders/>
            <w:shd w:fill="auto" w:val="clear"/>
            <w:vAlign w:val="bottom"/>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90" w:name="PB_54_115407_7608"/>
      <w:bookmarkEnd w:id="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26"/>
        <w:gridCol w:w="206"/>
        <w:gridCol w:w="309"/>
        <w:gridCol w:w="205"/>
        <w:gridCol w:w="8559"/>
      </w:tblGrid>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926"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pPr>
            <w:r>
              <w:rPr/>
              <w:t> </w:t>
            </w:r>
          </w:p>
        </w:tc>
      </w:tr>
      <w:tr>
        <w:trPr/>
        <w:tc>
          <w:tcPr>
            <w:tcW w:w="9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91" w:name="PB_55_115407_8146"/>
      <w:bookmarkEnd w:id="9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27"/>
        <w:gridCol w:w="206"/>
        <w:gridCol w:w="309"/>
        <w:gridCol w:w="206"/>
        <w:gridCol w:w="8557"/>
      </w:tblGrid>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Third Amended and Restated Credit Agreement dated as of June 27, 2012, among Plains Marketing, L.P. and Plains Midstream Canada ULC, as Borrowers; Plains All American Pipeline, L.P., as Guarantor; Bank of America, N.A., as Administrative Agent, Swing Line Lender and L/C Issuer; and the other Lenders and L/C Issuers party thereto (incorporated by reference to Exhibit 10.1 to the Current Report on Form 8-K filed July 3, 2012).</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Credit Agreement dated as of June 27, 2012,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the Current Report on Form 8-K filed July 3, 2012).</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32.1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32.2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101.INS</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101.SCH</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101.CAL</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101.DEF</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101.LAB</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101.PRE</w:t>
            </w:r>
          </w:p>
        </w:tc>
        <w:tc>
          <w:tcPr>
            <w:tcW w:w="206"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Filed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92" w:name="PB_56_115407_7091"/>
      <w:bookmarkEnd w:id="9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3" w:name="a12-12346_1ex12d1.htm"/>
      <w:bookmarkStart w:id="94" w:name="ksa1212346_1ex12d1"/>
      <w:bookmarkEnd w:id="93"/>
      <w:bookmarkEnd w:id="94"/>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395"/>
        <w:gridCol w:w="189"/>
        <w:gridCol w:w="191"/>
        <w:gridCol w:w="839"/>
        <w:gridCol w:w="219"/>
        <w:gridCol w:w="142"/>
        <w:gridCol w:w="792"/>
        <w:gridCol w:w="219"/>
        <w:gridCol w:w="142"/>
        <w:gridCol w:w="710"/>
        <w:gridCol w:w="219"/>
        <w:gridCol w:w="142"/>
        <w:gridCol w:w="711"/>
        <w:gridCol w:w="219"/>
        <w:gridCol w:w="142"/>
        <w:gridCol w:w="711"/>
        <w:gridCol w:w="219"/>
        <w:gridCol w:w="142"/>
        <w:gridCol w:w="710"/>
        <w:gridCol w:w="152"/>
      </w:tblGrid>
      <w:tr>
        <w:trPr/>
        <w:tc>
          <w:tcPr>
            <w:tcW w:w="339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19" w:type="dxa"/>
            <w:tcBorders/>
            <w:shd w:fill="auto" w:val="clear"/>
            <w:vAlign w:val="bottom"/>
          </w:tcPr>
          <w:p>
            <w:pPr>
              <w:pStyle w:val="TableContents"/>
              <w:spacing w:before="0" w:after="0"/>
              <w:ind w:left="0" w:right="0" w:hanging="0"/>
              <w:jc w:val="center"/>
              <w:rPr/>
            </w:pPr>
            <w:r>
              <w:rPr/>
              <w:t> </w:t>
            </w:r>
          </w:p>
        </w:tc>
        <w:tc>
          <w:tcPr>
            <w:tcW w:w="934"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3"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3"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9" w:type="dxa"/>
            <w:tcBorders/>
            <w:shd w:fill="auto" w:val="clear"/>
            <w:vAlign w:val="bottom"/>
          </w:tcPr>
          <w:p>
            <w:pPr>
              <w:pStyle w:val="TableContents"/>
              <w:spacing w:before="0" w:after="0"/>
              <w:ind w:left="0" w:right="0" w:hanging="0"/>
              <w:jc w:val="center"/>
              <w:rPr/>
            </w:pPr>
            <w:r>
              <w:rPr/>
              <w:t> </w:t>
            </w:r>
          </w:p>
        </w:tc>
        <w:tc>
          <w:tcPr>
            <w:tcW w:w="934"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3"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3"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9" w:type="dxa"/>
            <w:tcBorders/>
            <w:shd w:fill="auto" w:val="clear"/>
            <w:vAlign w:val="bottom"/>
          </w:tcPr>
          <w:p>
            <w:pPr>
              <w:pStyle w:val="TableContents"/>
              <w:spacing w:before="0" w:after="0"/>
              <w:ind w:left="0" w:right="0" w:hanging="0"/>
              <w:jc w:val="center"/>
              <w:rPr/>
            </w:pPr>
            <w:r>
              <w:rPr/>
              <w:t> </w:t>
            </w:r>
          </w:p>
        </w:tc>
        <w:tc>
          <w:tcPr>
            <w:tcW w:w="5220"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52" w:type="dxa"/>
            <w:tcBorders/>
            <w:shd w:fill="auto" w:val="clear"/>
            <w:vAlign w:val="bottom"/>
          </w:tcPr>
          <w:p>
            <w:pPr>
              <w:pStyle w:val="TableContents"/>
              <w:spacing w:before="0" w:after="0"/>
              <w:ind w:left="0" w:right="0" w:hanging="0"/>
              <w:jc w:val="center"/>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9" w:type="dxa"/>
            <w:tcBorders/>
            <w:shd w:fill="auto" w:val="clear"/>
            <w:vAlign w:val="bottom"/>
          </w:tcPr>
          <w:p>
            <w:pPr>
              <w:pStyle w:val="TableContents"/>
              <w:spacing w:before="0" w:after="0"/>
              <w:ind w:left="0" w:right="0" w:hanging="0"/>
              <w:jc w:val="center"/>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52" w:type="dxa"/>
            <w:tcBorders/>
            <w:shd w:fill="auto" w:val="clear"/>
            <w:vAlign w:val="bottom"/>
          </w:tcPr>
          <w:p>
            <w:pPr>
              <w:pStyle w:val="TableContents"/>
              <w:spacing w:before="0" w:after="0"/>
              <w:ind w:left="0" w:right="0" w:hanging="0"/>
              <w:jc w:val="center"/>
              <w:rPr/>
            </w:pPr>
            <w:r>
              <w:rPr/>
              <w:t> </w:t>
            </w:r>
          </w:p>
        </w:tc>
      </w:tr>
      <w:tr>
        <w:trPr/>
        <w:tc>
          <w:tcPr>
            <w:tcW w:w="3395" w:type="dxa"/>
            <w:tcBorders/>
            <w:shd w:fill="CCEEFF" w:val="clear"/>
            <w:vAlign w:val="bottom"/>
          </w:tcPr>
          <w:p>
            <w:pPr>
              <w:pStyle w:val="TableContents"/>
              <w:spacing w:before="0" w:after="0"/>
              <w:ind w:left="0" w:right="0" w:hanging="0"/>
              <w:rPr/>
            </w:pPr>
            <w:r>
              <w:rPr>
                <w:rFonts w:ascii="Times New Roman" w:hAnsi="Times New Roman"/>
                <w:b/>
                <w:sz w:val="17"/>
              </w:rPr>
              <w:t>EARNINGS</w:t>
            </w:r>
            <w:r>
              <w:rPr/>
              <w:t xml:space="preserve"> </w:t>
            </w:r>
            <w:r>
              <w:rPr>
                <w:b/>
                <w:sz w:val="11"/>
              </w:rPr>
              <w:t>(1)</w:t>
            </w:r>
          </w:p>
        </w:tc>
        <w:tc>
          <w:tcPr>
            <w:tcW w:w="18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3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18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52"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8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9" w:type="dxa"/>
            <w:tcBorders/>
            <w:shd w:fill="CCEEFF" w:val="clear"/>
            <w:vAlign w:val="bottom"/>
          </w:tcPr>
          <w:p>
            <w:pPr>
              <w:pStyle w:val="TableContents"/>
              <w:spacing w:before="0" w:after="0"/>
              <w:ind w:left="0" w:right="0" w:hanging="0"/>
              <w:rPr/>
            </w:pPr>
            <w:r>
              <w:rPr/>
              <w:t> </w:t>
            </w:r>
          </w:p>
        </w:tc>
        <w:tc>
          <w:tcPr>
            <w:tcW w:w="9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18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9" w:type="dxa"/>
            <w:tcBorders/>
            <w:shd w:fill="auto" w:val="clear"/>
            <w:vAlign w:val="bottom"/>
          </w:tcPr>
          <w:p>
            <w:pPr>
              <w:pStyle w:val="TableContents"/>
              <w:spacing w:before="0" w:after="0"/>
              <w:ind w:left="0" w:right="0" w:hanging="0"/>
              <w:rPr/>
            </w:pPr>
            <w:r>
              <w:rPr/>
              <w:t> </w:t>
            </w:r>
          </w:p>
        </w:tc>
        <w:tc>
          <w:tcPr>
            <w:tcW w:w="9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52"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18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9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89" w:type="dxa"/>
            <w:tcBorders/>
            <w:shd w:fill="auto"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89"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1,354</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4"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pPr>
            <w:r>
              <w:rPr>
                <w:rFonts w:ascii="Times New Roman" w:hAnsi="Times New Roman"/>
                <w:b/>
                <w:sz w:val="17"/>
              </w:rPr>
              <w:t>FIXED CHARGES</w:t>
            </w:r>
            <w:r>
              <w:rPr/>
              <w:t xml:space="preserve"> </w:t>
            </w:r>
            <w:r>
              <w:rPr>
                <w:b/>
                <w:sz w:val="11"/>
              </w:rPr>
              <w:t>(1)</w:t>
            </w:r>
          </w:p>
        </w:tc>
        <w:tc>
          <w:tcPr>
            <w:tcW w:w="18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3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pPr>
            <w:r>
              <w:rPr>
                <w:rFonts w:ascii="Times New Roman" w:hAnsi="Times New Roman"/>
                <w:sz w:val="17"/>
              </w:rPr>
              <w:t>Interest expensed and capitalized</w:t>
            </w:r>
            <w:r>
              <w:rPr/>
              <w:t xml:space="preserve"> </w:t>
            </w:r>
            <w:r>
              <w:rPr>
                <w:sz w:val="11"/>
              </w:rPr>
              <w:t>(2)</w:t>
            </w:r>
          </w:p>
        </w:tc>
        <w:tc>
          <w:tcPr>
            <w:tcW w:w="18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9" w:type="dxa"/>
            <w:tcBorders/>
            <w:shd w:fill="auto" w:val="clear"/>
            <w:vAlign w:val="bottom"/>
          </w:tcPr>
          <w:p>
            <w:pPr>
              <w:pStyle w:val="TableContents"/>
              <w:spacing w:before="0" w:after="0"/>
              <w:ind w:left="0" w:right="0" w:hanging="0"/>
              <w:rPr/>
            </w:pPr>
            <w:r>
              <w:rPr/>
              <w:t> </w:t>
            </w:r>
          </w:p>
        </w:tc>
        <w:tc>
          <w:tcPr>
            <w:tcW w:w="9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52"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8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CCEEFF" w:val="clear"/>
            <w:vAlign w:val="bottom"/>
          </w:tcPr>
          <w:p>
            <w:pPr>
              <w:pStyle w:val="TableContents"/>
              <w:spacing w:before="0" w:after="0"/>
              <w:ind w:left="0" w:right="0" w:hanging="0"/>
              <w:rPr/>
            </w:pPr>
            <w:r>
              <w:rPr/>
              <w:t> </w:t>
            </w:r>
          </w:p>
        </w:tc>
        <w:tc>
          <w:tcPr>
            <w:tcW w:w="9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89" w:type="dxa"/>
            <w:tcBorders/>
            <w:shd w:fill="auto"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9" w:type="dxa"/>
            <w:tcBorders/>
            <w:shd w:fill="auto" w:val="clear"/>
            <w:vAlign w:val="bottom"/>
          </w:tcPr>
          <w:p>
            <w:pPr>
              <w:pStyle w:val="TableContents"/>
              <w:spacing w:before="0" w:after="0"/>
              <w:ind w:left="0" w:right="0" w:hanging="0"/>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52"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89"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52"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4"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pPr>
            <w:r>
              <w:rPr>
                <w:rFonts w:ascii="Times New Roman" w:hAnsi="Times New Roman"/>
                <w:b/>
                <w:sz w:val="17"/>
              </w:rPr>
              <w:t>RATIO OF EARNINGS TO FIXED CHARGES</w:t>
            </w:r>
            <w:r>
              <w:rPr/>
              <w:t xml:space="preserve"> </w:t>
            </w:r>
            <w:r>
              <w:rPr>
                <w:b/>
                <w:sz w:val="11"/>
              </w:rPr>
              <w:t>(3)</w:t>
            </w:r>
          </w:p>
        </w:tc>
        <w:tc>
          <w:tcPr>
            <w:tcW w:w="18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9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interest costs attributable to borrowings for inventory stored in a contango market of $6 million for the six months ended June 30, 2012 and $20 million, $17 million, $11 million, $21 million and $44 million for each of the years ended December 31, 2011, 2010,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5" w:name="a12-12346_1ex31d1.htm"/>
      <w:bookmarkStart w:id="96" w:name="ksa1212346_1ex31d1"/>
      <w:bookmarkEnd w:id="95"/>
      <w:bookmarkEnd w:id="96"/>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9, 2012</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c>
          <w:tcPr>
            <w:tcW w:w="510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7" w:name="a12-12346_1ex31d2.htm"/>
      <w:bookmarkStart w:id="98" w:name="ksa1212346_1ex31d2"/>
      <w:bookmarkEnd w:id="97"/>
      <w:bookmarkEnd w:id="98"/>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August 9, 2012</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9" w:name="a12-12346_1ex32d1.htm"/>
      <w:bookmarkStart w:id="100" w:name="ksa1212346_1ex32d1"/>
      <w:bookmarkEnd w:id="99"/>
      <w:bookmarkEnd w:id="100"/>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June 30, 2012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37"/>
        <w:gridCol w:w="512"/>
        <w:gridCol w:w="5156"/>
      </w:tblGrid>
      <w:tr>
        <w:trPr/>
        <w:tc>
          <w:tcPr>
            <w:tcW w:w="4537" w:type="dxa"/>
            <w:tcBorders/>
            <w:shd w:fill="auto" w:val="clear"/>
          </w:tcPr>
          <w:p>
            <w:pPr>
              <w:pStyle w:val="TableContents"/>
              <w:spacing w:before="0" w:after="0"/>
              <w:ind w:left="0" w:right="0" w:hanging="0"/>
              <w:rPr/>
            </w:pPr>
            <w:r>
              <w:rPr/>
              <w:t> </w:t>
            </w:r>
          </w:p>
        </w:tc>
        <w:tc>
          <w:tcPr>
            <w:tcW w:w="512" w:type="dxa"/>
            <w:tcBorders/>
            <w:shd w:fill="auto" w:val="clear"/>
          </w:tcPr>
          <w:p>
            <w:pPr>
              <w:pStyle w:val="TableContents"/>
              <w:spacing w:before="0" w:after="0"/>
              <w:ind w:left="0" w:right="0" w:hanging="0"/>
              <w:rPr/>
            </w:pPr>
            <w:r>
              <w:rPr/>
              <w:t> </w:t>
            </w:r>
          </w:p>
        </w:tc>
        <w:tc>
          <w:tcPr>
            <w:tcW w:w="515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4537" w:type="dxa"/>
            <w:tcBorders/>
            <w:shd w:fill="auto" w:val="clear"/>
          </w:tcPr>
          <w:p>
            <w:pPr>
              <w:pStyle w:val="TableContents"/>
              <w:spacing w:before="0" w:after="0"/>
              <w:ind w:left="0" w:right="0" w:hanging="0"/>
              <w:rPr/>
            </w:pPr>
            <w:r>
              <w:rPr/>
              <w:t> </w:t>
            </w:r>
          </w:p>
        </w:tc>
        <w:tc>
          <w:tcPr>
            <w:tcW w:w="512" w:type="dxa"/>
            <w:tcBorders/>
            <w:shd w:fill="auto" w:val="clear"/>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4537" w:type="dxa"/>
            <w:tcBorders/>
            <w:shd w:fill="auto" w:val="clear"/>
          </w:tcPr>
          <w:p>
            <w:pPr>
              <w:pStyle w:val="TableContents"/>
              <w:spacing w:before="0" w:after="0"/>
              <w:ind w:left="0" w:right="0" w:hanging="0"/>
              <w:rPr/>
            </w:pPr>
            <w:r>
              <w:rPr/>
              <w:t> </w:t>
            </w:r>
          </w:p>
        </w:tc>
        <w:tc>
          <w:tcPr>
            <w:tcW w:w="512" w:type="dxa"/>
            <w:tcBorders/>
            <w:shd w:fill="auto" w:val="clear"/>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9, 2012</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1" w:name="a12-12346_1ex32d2.htm"/>
      <w:bookmarkStart w:id="102" w:name="ksa1212346_1ex32d2"/>
      <w:bookmarkEnd w:id="101"/>
      <w:bookmarkEnd w:id="102"/>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June 30, 2012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9, 2012</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61</Pages>
  <Words>31249</Words>
  <CharactersWithSpaces>196042</CharactersWithSpaces>
  <Paragraphs>10342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