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31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31419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Swanson Al</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 # 1600</w:t>
            </w:r>
          </w:p>
        </w:tc>
        <w:tc>
          <w:tcPr>
            <w:tcW w:w="1680" w:type="dxa"/>
            <w:vAlign w:val="bottom"/>
          </w:tcPr>
          <w:p>
            <w:pPr>
              <w:spacing w:after="0"/>
              <w:rPr>
                <w:sz w:val="23"/>
                <w:szCs w:val="23"/>
                <w:color w:val="auto"/>
              </w:rPr>
            </w:pPr>
          </w:p>
        </w:tc>
      </w:tr>
      <w:tr>
        <w:trPr>
          <w:trHeight w:val="206"/>
        </w:trPr>
        <w:tc>
          <w:tcPr>
            <w:tcW w:w="4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5"/>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20" w:type="dxa"/>
            <w:vAlign w:val="bottom"/>
            <w:gridSpan w:val="2"/>
          </w:tcPr>
          <w:p>
            <w:pPr>
              <w:spacing w:after="0" w:line="21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PLAINS ALL AMERICAN PIPELINE LP </w:t>
              </w:r>
            </w:hyperlink>
            <w:r>
              <w:rPr>
                <w:rFonts w:ascii="Times New Roman" w:cs="Times New Roman" w:eastAsia="Times New Roman" w:hAnsi="Times New Roman"/>
                <w:sz w:val="21"/>
                <w:szCs w:val="21"/>
                <w:color w:val="000000"/>
              </w:rPr>
              <w:t>[</w:t>
            </w: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6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1"/>
                <w:szCs w:val="21"/>
                <w:color w:val="000000"/>
              </w:rPr>
              <w:t>]</w:t>
            </w:r>
          </w:p>
        </w:tc>
        <w:tc>
          <w:tcPr>
            <w:tcW w:w="26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6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80" w:type="dxa"/>
            <w:vAlign w:val="bottom"/>
            <w:tcBorders>
              <w:bottom w:val="single" w:sz="8" w:color="2C2C2C"/>
            </w:tcBorders>
          </w:tcPr>
          <w:p>
            <w:pPr>
              <w:spacing w:after="0"/>
              <w:rPr>
                <w:sz w:val="8"/>
                <w:szCs w:val="8"/>
                <w:color w:val="auto"/>
              </w:rPr>
            </w:pPr>
          </w:p>
        </w:tc>
        <w:tc>
          <w:tcPr>
            <w:tcW w:w="3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39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Executive VP &amp; CFO</w:t>
            </w:r>
          </w:p>
        </w:tc>
        <w:tc>
          <w:tcPr>
            <w:tcW w:w="0" w:type="dxa"/>
            <w:vAlign w:val="bottom"/>
          </w:tcPr>
          <w:p>
            <w:pPr>
              <w:spacing w:after="0"/>
              <w:rPr>
                <w:sz w:val="1"/>
                <w:szCs w:val="1"/>
                <w:color w:val="auto"/>
              </w:rPr>
            </w:pPr>
          </w:p>
        </w:tc>
      </w:tr>
      <w:tr>
        <w:trPr>
          <w:trHeight w:val="117"/>
        </w:trPr>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08/25/2016</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7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3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60"/>
        <w:spacing w:after="0"/>
        <w:tabs>
          <w:tab w:leader="none" w:pos="46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20" w:space="80"/>
            <w:col w:w="752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08/25/2016</w:t>
            </w:r>
          </w:p>
        </w:tc>
        <w:tc>
          <w:tcPr>
            <w:tcW w:w="112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138,000</w:t>
            </w:r>
          </w:p>
        </w:tc>
        <w:tc>
          <w:tcPr>
            <w:tcW w:w="240" w:type="dxa"/>
            <w:vAlign w:val="bottom"/>
          </w:tcPr>
          <w:p>
            <w:pPr>
              <w:spacing w:after="0"/>
              <w:rPr>
                <w:sz w:val="16"/>
                <w:szCs w:val="16"/>
                <w:color w:val="auto"/>
              </w:rPr>
            </w:pP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(3)(4)</w:t>
            </w:r>
          </w:p>
        </w:tc>
        <w:tc>
          <w:tcPr>
            <w:tcW w:w="74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color w:val="008000"/>
              </w:rPr>
              <w:t>(3)(4)</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138,000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138,000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tcPr>
          <w:p>
            <w:pPr>
              <w:ind w:left="60"/>
              <w:spacing w:after="0" w:line="67"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Times New Roman" w:cs="Times New Roman" w:eastAsia="Times New Roman" w:hAnsi="Times New Roman"/>
                <w:sz w:val="7"/>
                <w:szCs w:val="7"/>
                <w:color w:val="0000FF"/>
              </w:rPr>
              <w:t>Units</w:t>
            </w: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Units under Long-Term Incentive Plan (includes associated distribution equivalent rights (payable in cash)).</w:t>
      </w:r>
    </w:p>
    <w:p>
      <w:pPr>
        <w:spacing w:after="0" w:line="49"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common unit is deliverable, upon vesting, for each phantom unit that vests.</w:t>
      </w:r>
    </w:p>
    <w:p>
      <w:pPr>
        <w:spacing w:after="0" w:line="49" w:lineRule="exact"/>
        <w:rPr>
          <w:rFonts w:ascii="Times New Roman" w:cs="Times New Roman" w:eastAsia="Times New Roman" w:hAnsi="Times New Roman"/>
          <w:sz w:val="13"/>
          <w:szCs w:val="13"/>
          <w:color w:val="008000"/>
        </w:rPr>
      </w:pPr>
    </w:p>
    <w:p>
      <w:pPr>
        <w:ind w:left="40" w:right="200" w:firstLine="6"/>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pays an annualized quarterly distribution of at least $2.50 per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unit, and</w:t>
      </w:r>
    </w:p>
    <w:p>
      <w:pPr>
        <w:spacing w:after="0" w:line="25" w:lineRule="exact"/>
        <w:rPr>
          <w:rFonts w:ascii="Times New Roman" w:cs="Times New Roman" w:eastAsia="Times New Roman" w:hAnsi="Times New Roman"/>
          <w:sz w:val="13"/>
          <w:szCs w:val="13"/>
          <w:color w:val="008000"/>
        </w:rPr>
      </w:pPr>
    </w:p>
    <w:p>
      <w:pPr>
        <w:jc w:val="both"/>
        <w:ind w:left="40" w:right="160" w:firstLine="6"/>
        <w:spacing w:after="0" w:line="25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 one-sixth shall vest on the date on which the Partnership pays an annualized quarterly distribution of at least $2.65 per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unit. Any phantom units that have not vested as of the August 2022 distribution date will be forfeited.</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 Swanson</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08/29/2016</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2020-01-19T09:03:08Z</dcterms:created>
  <dcterms:modified xsi:type="dcterms:W3CDTF">2020-01-19T09:03:08Z</dcterms:modified>
</cp:coreProperties>
</file>