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September 14, 2018</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ALL AMERICAN PIPELINE, L.P.</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PAA FINANCE CORP.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3820" w:type="dxa"/>
        <w:tblCellMar>
          <w:top w:w="0" w:type="dxa"/>
          <w:left w:w="0" w:type="dxa"/>
          <w:bottom w:w="0" w:type="dxa"/>
          <w:right w:w="0" w:type="dxa"/>
        </w:tblCellMar>
      </w:tblPr>
      <w:tr>
        <w:trPr>
          <w:trHeight w:val="161"/>
        </w:trPr>
        <w:tc>
          <w:tcPr>
            <w:tcW w:w="206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rPr>
                <w:sz w:val="20"/>
                <w:szCs w:val="20"/>
                <w:color w:val="auto"/>
              </w:rPr>
            </w:pPr>
            <w:r>
              <w:rPr>
                <w:rFonts w:ascii="Arial" w:cs="Arial" w:eastAsia="Arial" w:hAnsi="Arial"/>
                <w:sz w:val="14"/>
                <w:szCs w:val="14"/>
                <w:b w:val="1"/>
                <w:bCs w:val="1"/>
                <w:color w:val="auto"/>
                <w:w w:val="88"/>
              </w:rPr>
              <w:t>76-0582150</w:t>
            </w:r>
          </w:p>
        </w:tc>
      </w:tr>
      <w:tr>
        <w:trPr>
          <w:trHeight w:val="151"/>
        </w:trPr>
        <w:tc>
          <w:tcPr>
            <w:tcW w:w="2060" w:type="dxa"/>
            <w:vAlign w:val="bottom"/>
          </w:tcPr>
          <w:p>
            <w:pPr>
              <w:jc w:val="center"/>
              <w:ind w:right="312"/>
              <w:spacing w:after="0" w:line="151" w:lineRule="exact"/>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line="151" w:lineRule="exact"/>
              <w:rPr>
                <w:sz w:val="20"/>
                <w:szCs w:val="20"/>
                <w:color w:val="auto"/>
              </w:rPr>
            </w:pPr>
            <w:r>
              <w:rPr>
                <w:rFonts w:ascii="Arial" w:cs="Arial" w:eastAsia="Arial" w:hAnsi="Arial"/>
                <w:sz w:val="14"/>
                <w:szCs w:val="14"/>
                <w:b w:val="1"/>
                <w:bCs w:val="1"/>
                <w:color w:val="auto"/>
                <w:w w:val="88"/>
              </w:rPr>
              <w:t>56-2464313</w:t>
            </w:r>
          </w:p>
        </w:tc>
      </w:tr>
      <w:tr>
        <w:trPr>
          <w:trHeight w:val="149"/>
        </w:trPr>
        <w:tc>
          <w:tcPr>
            <w:tcW w:w="20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7"/>
              </w:rPr>
              <w:t>(State or Other Jurisdiction of</w:t>
            </w:r>
          </w:p>
        </w:tc>
        <w:tc>
          <w:tcPr>
            <w:tcW w:w="14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00" w:type="dxa"/>
            <w:vAlign w:val="bottom"/>
          </w:tcPr>
          <w:p>
            <w:pPr>
              <w:jc w:val="center"/>
              <w:ind w:left="31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 General</w:t>
      </w:r>
    </w:p>
    <w:p>
      <w:pPr>
        <w:jc w:val="center"/>
        <w:ind w:right="-19"/>
        <w:spacing w:after="0" w:line="222" w:lineRule="auto"/>
        <w:rPr>
          <w:sz w:val="20"/>
          <w:szCs w:val="20"/>
          <w:color w:val="auto"/>
        </w:rPr>
      </w:pPr>
      <w:r>
        <w:rPr>
          <w:rFonts w:ascii="Arial" w:cs="Arial" w:eastAsia="Arial" w:hAnsi="Arial"/>
          <w:sz w:val="14"/>
          <w:szCs w:val="14"/>
          <w:b w:val="1"/>
          <w:bCs w:val="1"/>
          <w:color w:val="auto"/>
        </w:rPr>
        <w:t>Counsel and Secretary</w:t>
      </w:r>
    </w:p>
    <w:p>
      <w:pPr>
        <w:jc w:val="center"/>
        <w:ind w:right="-19"/>
        <w:spacing w:after="0" w:line="221"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1"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jc w:val="center"/>
        <w:ind w:right="-1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1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0" w:gutter="0" w:footer="0" w:header="0"/>
        </w:sectPr>
      </w:pPr>
    </w:p>
    <w:bookmarkStart w:id="1" w:name="page2"/>
    <w:bookmarkEnd w:id="1"/>
    <w:p>
      <w:pPr>
        <w:ind w:left="2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Non-accelerated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0"/>
          <w:szCs w:val="20"/>
          <w:color w:val="auto"/>
        </w:rPr>
      </w:pPr>
    </w:p>
    <w:p>
      <w:pPr>
        <w:sectPr>
          <w:pgSz w:w="11900" w:h="16838" w:orient="portrait"/>
          <w:cols w:equalWidth="0" w:num="4">
            <w:col w:w="2760" w:space="720"/>
            <w:col w:w="2140" w:space="720"/>
            <w:col w:w="2460" w:space="720"/>
            <w:col w:w="1800"/>
          </w:cols>
          <w:pgMar w:left="240" w:top="104" w:right="339" w:bottom="1440" w:gutter="0" w:footer="0" w:header="0"/>
        </w:sectPr>
      </w:pPr>
    </w:p>
    <w:p>
      <w:pPr>
        <w:spacing w:after="0" w:line="15" w:lineRule="exact"/>
        <w:rPr>
          <w:sz w:val="20"/>
          <w:szCs w:val="20"/>
          <w:color w:val="auto"/>
        </w:rPr>
      </w:pPr>
    </w:p>
    <w:p>
      <w:pPr>
        <w:ind w:right="3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20" w:type="dxa"/>
            <w:vAlign w:val="bottom"/>
            <w:tcBorders>
              <w:top w:val="single" w:sz="8" w:color="auto"/>
              <w:bottom w:val="single" w:sz="8" w:color="auto"/>
            </w:tcBorders>
          </w:tcPr>
          <w:p>
            <w:pPr>
              <w:spacing w:after="0"/>
              <w:rPr>
                <w:sz w:val="3"/>
                <w:szCs w:val="3"/>
                <w:color w:val="auto"/>
              </w:rPr>
            </w:pPr>
          </w:p>
        </w:tc>
        <w:tc>
          <w:tcPr>
            <w:tcW w:w="27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700" w:type="dxa"/>
            <w:vAlign w:val="bottom"/>
          </w:tcPr>
          <w:p>
            <w:pPr>
              <w:jc w:val="center"/>
              <w:ind w:left="833"/>
              <w:spacing w:after="0" w:line="117" w:lineRule="exact"/>
              <w:rPr>
                <w:sz w:val="20"/>
                <w:szCs w:val="20"/>
                <w:color w:val="auto"/>
              </w:rPr>
            </w:pPr>
            <w:r>
              <w:rPr>
                <w:rFonts w:ascii="Arial" w:cs="Arial" w:eastAsia="Arial" w:hAnsi="Arial"/>
                <w:sz w:val="12"/>
                <w:szCs w:val="12"/>
                <w:b w:val="1"/>
                <w:bCs w:val="1"/>
                <w:color w:val="auto"/>
              </w:rPr>
              <w:t>Amount to be Registered/</w:t>
            </w:r>
          </w:p>
        </w:tc>
        <w:tc>
          <w:tcPr>
            <w:tcW w:w="13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00" w:type="dxa"/>
            <w:vAlign w:val="bottom"/>
          </w:tcPr>
          <w:p>
            <w:pPr>
              <w:jc w:val="center"/>
              <w:ind w:left="813"/>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00" w:type="dxa"/>
            <w:vAlign w:val="bottom"/>
          </w:tcPr>
          <w:p>
            <w:pPr>
              <w:jc w:val="center"/>
              <w:ind w:left="833"/>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00" w:type="dxa"/>
            <w:vAlign w:val="bottom"/>
          </w:tcPr>
          <w:p>
            <w:pPr>
              <w:jc w:val="center"/>
              <w:ind w:left="833"/>
              <w:spacing w:after="0" w:line="149" w:lineRule="exact"/>
              <w:rPr>
                <w:sz w:val="20"/>
                <w:szCs w:val="20"/>
                <w:color w:val="auto"/>
              </w:rPr>
            </w:pPr>
            <w:r>
              <w:rPr>
                <w:rFonts w:ascii="Arial" w:cs="Arial" w:eastAsia="Arial" w:hAnsi="Arial"/>
                <w:sz w:val="14"/>
                <w:szCs w:val="14"/>
                <w:b w:val="1"/>
                <w:bCs w:val="1"/>
                <w:color w:val="auto"/>
                <w:w w:val="90"/>
              </w:rPr>
              <w:t>Per Unit/</w:t>
            </w:r>
          </w:p>
        </w:tc>
        <w:tc>
          <w:tcPr>
            <w:tcW w:w="1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00" w:type="dxa"/>
            <w:vAlign w:val="bottom"/>
          </w:tcPr>
          <w:p>
            <w:pPr>
              <w:jc w:val="center"/>
              <w:ind w:left="813"/>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700" w:type="dxa"/>
            <w:vAlign w:val="bottom"/>
          </w:tcPr>
          <w:p>
            <w:pPr>
              <w:jc w:val="center"/>
              <w:ind w:left="83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4820" w:type="dxa"/>
            <w:vAlign w:val="bottom"/>
            <w:tcBorders>
              <w:bottom w:val="single" w:sz="8" w:color="auto"/>
            </w:tcBorders>
          </w:tcPr>
          <w:p>
            <w:pPr>
              <w:jc w:val="center"/>
              <w:ind w:left="812"/>
              <w:spacing w:after="0"/>
              <w:rPr>
                <w:sz w:val="20"/>
                <w:szCs w:val="20"/>
                <w:color w:val="auto"/>
              </w:rPr>
            </w:pPr>
            <w:r>
              <w:rPr>
                <w:rFonts w:ascii="Arial" w:cs="Arial" w:eastAsia="Arial" w:hAnsi="Arial"/>
                <w:sz w:val="14"/>
                <w:szCs w:val="14"/>
                <w:b w:val="1"/>
                <w:bCs w:val="1"/>
                <w:color w:val="auto"/>
                <w:w w:val="85"/>
              </w:rPr>
              <w:t>to be Registered</w:t>
            </w:r>
          </w:p>
        </w:tc>
        <w:tc>
          <w:tcPr>
            <w:tcW w:w="2700" w:type="dxa"/>
            <w:vAlign w:val="bottom"/>
            <w:tcBorders>
              <w:bottom w:val="single" w:sz="8" w:color="auto"/>
            </w:tcBorders>
          </w:tcPr>
          <w:p>
            <w:pPr>
              <w:jc w:val="center"/>
              <w:ind w:left="813"/>
              <w:spacing w:after="0"/>
              <w:rPr>
                <w:sz w:val="20"/>
                <w:szCs w:val="20"/>
                <w:color w:val="auto"/>
              </w:rPr>
            </w:pPr>
            <w:r>
              <w:rPr>
                <w:rFonts w:ascii="Arial" w:cs="Arial" w:eastAsia="Arial" w:hAnsi="Arial"/>
                <w:sz w:val="14"/>
                <w:szCs w:val="14"/>
                <w:b w:val="1"/>
                <w:bCs w:val="1"/>
                <w:color w:val="auto"/>
                <w:w w:val="89"/>
              </w:rPr>
              <w:t>Price(1)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units representing limited partner interests</w:t>
            </w:r>
          </w:p>
        </w:tc>
        <w:tc>
          <w:tcPr>
            <w:tcW w:w="2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69"/>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Preferred units representing limited partner interests</w:t>
            </w:r>
          </w:p>
        </w:tc>
        <w:tc>
          <w:tcPr>
            <w:tcW w:w="2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Debt securities</w:t>
            </w:r>
          </w:p>
        </w:tc>
        <w:tc>
          <w:tcPr>
            <w:tcW w:w="2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27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(1)</w:t>
            </w: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number of the securities of each identified class is being registered as may from time to time be offered hereunder at indeterminate prices. In accordance with Rules 456(b) and 457(r) under the Securities Act of 1933, as amended, the registrant is deferring payment of all of the registration fee and will pay the registration fee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4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80" w:type="dxa"/>
            <w:vAlign w:val="bottom"/>
            <w:gridSpan w:val="5"/>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iii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About Plains All American Pipeline, L.P.</w:t>
              </w:r>
            </w:hyperlink>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7720" w:type="dxa"/>
            <w:vAlign w:val="bottom"/>
            <w:gridSpan w:val="11"/>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Our Preferred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22">
              <w:r>
                <w:rPr>
                  <w:rFonts w:ascii="Arial" w:cs="Arial" w:eastAsia="Arial" w:hAnsi="Arial"/>
                  <w:sz w:val="10"/>
                  <w:szCs w:val="10"/>
                  <w:color w:val="0000EE"/>
                  <w:w w:val="71"/>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Our Common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24">
              <w:r>
                <w:rPr>
                  <w:rFonts w:ascii="Arial" w:cs="Arial" w:eastAsia="Arial" w:hAnsi="Arial"/>
                  <w:sz w:val="10"/>
                  <w:szCs w:val="10"/>
                  <w:color w:val="0000EE"/>
                  <w:w w:val="71"/>
                </w:rPr>
                <w:t>17</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Cash Distribution Policy</w:t>
              </w:r>
            </w:hyperlink>
          </w:p>
        </w:tc>
        <w:tc>
          <w:tcPr>
            <w:tcW w:w="100" w:type="dxa"/>
            <w:vAlign w:val="bottom"/>
            <w:gridSpan w:val="2"/>
          </w:tcPr>
          <w:p>
            <w:pPr>
              <w:jc w:val="right"/>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Partnership Agreement</w:t>
              </w:r>
            </w:hyperlink>
          </w:p>
        </w:tc>
        <w:tc>
          <w:tcPr>
            <w:tcW w:w="100" w:type="dxa"/>
            <w:vAlign w:val="bottom"/>
            <w:gridSpan w:val="2"/>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Material U.S. Federal Income Tax Consequences</w:t>
              </w:r>
            </w:hyperlink>
          </w:p>
        </w:tc>
        <w:tc>
          <w:tcPr>
            <w:tcW w:w="5420" w:type="dxa"/>
            <w:vAlign w:val="bottom"/>
            <w:gridSpan w:val="2"/>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26</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Plan of Distribution</w:t>
              </w:r>
            </w:hyperlink>
          </w:p>
        </w:tc>
        <w:tc>
          <w:tcPr>
            <w:tcW w:w="100" w:type="dxa"/>
            <w:vAlign w:val="bottom"/>
            <w:gridSpan w:val="2"/>
          </w:tcPr>
          <w:p>
            <w:pPr>
              <w:jc w:val="right"/>
              <w:spacing w:after="0"/>
              <w:rPr>
                <w:rFonts w:ascii="Arial" w:cs="Arial" w:eastAsia="Arial" w:hAnsi="Arial"/>
                <w:sz w:val="10"/>
                <w:szCs w:val="10"/>
                <w:color w:val="0000EE"/>
                <w:w w:val="71"/>
              </w:rPr>
            </w:pPr>
            <w:hyperlink w:anchor="page51">
              <w:r>
                <w:rPr>
                  <w:rFonts w:ascii="Arial" w:cs="Arial" w:eastAsia="Arial" w:hAnsi="Arial"/>
                  <w:sz w:val="10"/>
                  <w:szCs w:val="10"/>
                  <w:color w:val="0000EE"/>
                  <w:w w:val="71"/>
                </w:rPr>
                <w:t>44</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7480" w:type="dxa"/>
            <w:vAlign w:val="bottom"/>
            <w:gridSpan w:val="10"/>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46</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7900" w:type="dxa"/>
            <w:vAlign w:val="bottom"/>
            <w:gridSpan w:val="12"/>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46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2018 and June 30,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Current Reports on Form 8-K filed on January 8, 2018, March 27, 2018, May 17, 2018, August 20, 2018 and August 21, 2018; and</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discussed in Item 1A. of our Annual Report on Form 10-K for the year ended December 31, 2017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w:t>
      </w:r>
    </w:p>
    <w:p>
      <w:pPr>
        <w:spacing w:after="0" w:line="186"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additional information about us please refer to the documents set forth under "Where You Can Find More Information" in this prospectus, including our Annual Report on Form 10-K for the fiscal year ended December 31, 2017 (File No. 001-14569), 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2017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2.76x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4.41x</w:t>
            </w: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Distributions(1)(2)(3)</w:t>
            </w:r>
          </w:p>
        </w:tc>
        <w:tc>
          <w:tcPr>
            <w:tcW w:w="840" w:type="dxa"/>
            <w:vAlign w:val="bottom"/>
          </w:tcPr>
          <w:p>
            <w:pPr>
              <w:ind w:left="440"/>
              <w:spacing w:after="0"/>
              <w:rPr>
                <w:sz w:val="20"/>
                <w:szCs w:val="20"/>
                <w:color w:val="auto"/>
              </w:rPr>
            </w:pPr>
            <w:r>
              <w:rPr>
                <w:rFonts w:ascii="Arial" w:cs="Arial" w:eastAsia="Arial" w:hAnsi="Arial"/>
                <w:sz w:val="18"/>
                <w:szCs w:val="18"/>
                <w:color w:val="auto"/>
                <w:w w:val="86"/>
              </w:rPr>
              <w:t>2.00x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1.96x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0" w:hanging="531"/>
        <w:spacing w:after="0" w:line="255"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0"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540" w:right="100" w:firstLine="359"/>
        <w:spacing w:after="0" w:line="290" w:lineRule="auto"/>
        <w:tabs>
          <w:tab w:leader="none" w:pos="122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60" w:firstLine="359"/>
        <w:spacing w:after="0" w:line="268" w:lineRule="auto"/>
        <w:tabs>
          <w:tab w:leader="none" w:pos="6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w:t>
      </w:r>
    </w:p>
    <w:p>
      <w:pPr>
        <w:ind w:right="40" w:firstLine="8"/>
        <w:spacing w:after="0" w:line="252"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that quarter less the amount of cash reserves that are necessary or appropriate in the reasonable discretion of the general partner to:</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48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40" w:firstLine="359"/>
        <w:spacing w:after="0" w:line="268" w:lineRule="auto"/>
        <w:tabs>
          <w:tab w:leader="none" w:pos="12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basis in his or her units will generally be increased by the amount of any excess business interest upon a disposition of such units.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40" w:firstLine="8"/>
        <w:spacing w:after="0" w:line="261"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2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calculations involved in the Section 754 election are complex and are made on the basis of assumptions as to the value of our assets and other matters. The IRS could seek to reallocate some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sale or exchange of units purchased in separate transactions is urged to consult its tax advisor as to the possible consequences of this ruling and application of the Treasury Regulations.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620" w:right="600" w:hanging="4532"/>
        <w:spacing w:after="0" w:line="519" w:lineRule="auto"/>
        <w:tabs>
          <w:tab w:leader="none" w:pos="162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w:t>
      </w:r>
    </w:p>
    <w:p>
      <w:pPr>
        <w:spacing w:after="0" w:line="252" w:lineRule="exact"/>
        <w:rPr>
          <w:sz w:val="20"/>
          <w:szCs w:val="20"/>
          <w:color w:val="auto"/>
        </w:rPr>
      </w:pPr>
    </w:p>
    <w:p>
      <w:pPr>
        <w:ind w:left="2260" w:right="60" w:hanging="540"/>
        <w:spacing w:after="0" w:line="268" w:lineRule="auto"/>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PAA GP Holdings LLC or its affiliates for the cost of) insurance against liabilities asserted against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expenses incurred by such persons in connection with Plains All American Pipeline, L.P.'s activities, regardless of whether Plains All American Pipeline,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would have the power to indemnify such person against such liabilities under the provisions described above.</w:t>
      </w:r>
    </w:p>
    <w:p>
      <w:pPr>
        <w:spacing w:after="0" w:line="219"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or any owner of a direct or indirect 10% ownership interest in Plains AAP, L.P.'s Class A units ("Qualifying Interest Holder"), (b) any Person who is or was an affiliate of PAA GP Holdings LLC, any Existing Owner or any Qualifying Interest Holder,</w:t>
      </w:r>
    </w:p>
    <w:p>
      <w:pPr>
        <w:spacing w:after="0" w:line="2" w:lineRule="exact"/>
        <w:rPr>
          <w:sz w:val="20"/>
          <w:szCs w:val="20"/>
          <w:color w:val="auto"/>
        </w:rPr>
      </w:pPr>
    </w:p>
    <w:p>
      <w:pPr>
        <w:ind w:right="20" w:firstLine="8"/>
        <w:spacing w:after="0" w:line="284" w:lineRule="auto"/>
        <w:tabs>
          <w:tab w:leader="none" w:pos="2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shareholder, director, officer, fiduciary, agent or trustee of PAA GP Holdings LLC, any Existing Owner or any Qualifying Interest Holder or any affiliate thereof, (d) any Person who is or was serving at the request of PAA GP Holdings LLC, any Existing Owner or any Qualifying Interest Holder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regardless of whether an Indemnitee continues to be an Indemnitee at the time any such liability or expense is paid or incurred, if such Indemnitee acted in good faith and in a manner he, she or it reasonably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Holdings LLC.</w:t>
      </w:r>
    </w:p>
    <w:p>
      <w:pPr>
        <w:spacing w:after="0" w:line="18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75"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5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100" w:firstLine="360"/>
        <w:spacing w:after="0" w:line="253" w:lineRule="auto"/>
        <w:tabs>
          <w:tab w:leader="none" w:pos="1764"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firstLine="360"/>
        <w:spacing w:after="0" w:line="268" w:lineRule="auto"/>
        <w:tabs>
          <w:tab w:leader="none" w:pos="17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(l)(a), (l)(b) and (1)(c)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left="540" w:right="340" w:firstLine="359"/>
        <w:spacing w:after="0" w:line="259" w:lineRule="auto"/>
        <w:tabs>
          <w:tab w:leader="none" w:pos="12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60" w:firstLine="360"/>
        <w:spacing w:after="0" w:line="268" w:lineRule="auto"/>
        <w:tabs>
          <w:tab w:leader="none" w:pos="1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40"/>
        <w:spacing w:after="0" w:line="286"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540" w:firstLine="359"/>
        <w:spacing w:after="0" w:line="255" w:lineRule="auto"/>
        <w:tabs>
          <w:tab w:leader="none" w:pos="12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60" w:hanging="320"/>
        <w:spacing w:after="0"/>
        <w:tabs>
          <w:tab w:leader="none" w:pos="17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40" w:firstLine="360"/>
        <w:spacing w:after="0" w:line="268" w:lineRule="auto"/>
        <w:tabs>
          <w:tab w:leader="none" w:pos="17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firstLine="360"/>
        <w:spacing w:after="0" w:line="268" w:lineRule="auto"/>
        <w:tabs>
          <w:tab w:leader="none" w:pos="17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60" w:hanging="320"/>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359"/>
        <w:spacing w:after="0" w:line="255" w:lineRule="auto"/>
        <w:tabs>
          <w:tab w:leader="none" w:pos="6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96" w:lineRule="exact"/>
        <w:rPr>
          <w:rFonts w:ascii="Arial" w:cs="Arial" w:eastAsia="Arial" w:hAnsi="Arial"/>
          <w:sz w:val="18"/>
          <w:szCs w:val="18"/>
          <w:color w:val="auto"/>
        </w:rPr>
      </w:pPr>
    </w:p>
    <w:p>
      <w:pPr>
        <w:ind w:firstLine="359"/>
        <w:spacing w:after="0" w:line="290" w:lineRule="auto"/>
        <w:tabs>
          <w:tab w:leader="none" w:pos="6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900"/>
          </w:cols>
          <w:pgMar w:left="240" w:top="131" w:right="75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44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14605</wp:posOffset>
            </wp:positionV>
            <wp:extent cx="52825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060" w:space="720"/>
            <w:col w:w="5120"/>
          </w:cols>
          <w:pgMar w:left="240" w:top="131" w:right="759" w:bottom="1440" w:gutter="0" w:footer="0" w:header="0"/>
          <w:type w:val="continuous"/>
        </w:sectPr>
      </w:pPr>
    </w:p>
    <w:p>
      <w:pPr>
        <w:ind w:left="1560"/>
        <w:spacing w:after="0"/>
        <w:rPr>
          <w:sz w:val="20"/>
          <w:szCs w:val="20"/>
          <w:color w:val="auto"/>
        </w:rPr>
      </w:pPr>
      <w:r>
        <w:rPr>
          <w:rFonts w:ascii="Arial" w:cs="Arial" w:eastAsia="Arial" w:hAnsi="Arial"/>
          <w:sz w:val="18"/>
          <w:szCs w:val="18"/>
          <w:color w:val="auto"/>
        </w:rPr>
        <w:t>1.1**Form of Underwriting Agreement</w:t>
      </w:r>
    </w:p>
    <w:p>
      <w:pPr>
        <w:spacing w:after="0" w:line="244" w:lineRule="exact"/>
        <w:rPr>
          <w:sz w:val="20"/>
          <w:szCs w:val="20"/>
          <w:color w:val="auto"/>
        </w:rPr>
      </w:pPr>
    </w:p>
    <w:p>
      <w:pPr>
        <w:jc w:val="both"/>
        <w:ind w:left="1960" w:right="680" w:hanging="394"/>
        <w:spacing w:after="0" w:line="335" w:lineRule="auto"/>
        <w:tabs>
          <w:tab w:leader="none" w:pos="1940" w:val="left"/>
        </w:tabs>
        <w:rPr>
          <w:rFonts w:ascii="Arial" w:cs="Arial" w:eastAsia="Arial" w:hAnsi="Arial"/>
          <w:sz w:val="15"/>
          <w:szCs w:val="15"/>
          <w:u w:val="single" w:color="auto"/>
          <w:color w:val="0000EE"/>
        </w:rPr>
      </w:pPr>
      <w:r>
        <w:rPr>
          <w:rFonts w:ascii="Arial" w:cs="Arial" w:eastAsia="Arial" w:hAnsi="Arial"/>
          <w:sz w:val="18"/>
          <w:szCs w:val="18"/>
          <w:color w:val="auto"/>
        </w:rPr>
        <w:t>4.1</w:t>
      </w:r>
      <w:r>
        <w:rPr>
          <w:sz w:val="20"/>
          <w:szCs w:val="20"/>
          <w:color w:val="auto"/>
        </w:rPr>
        <w:tab/>
      </w:r>
      <w:hyperlink r:id="rId75">
        <w:r>
          <w:rPr>
            <w:rFonts w:ascii="Arial" w:cs="Arial" w:eastAsia="Arial" w:hAnsi="Arial"/>
            <w:sz w:val="15"/>
            <w:szCs w:val="15"/>
            <w:u w:val="single" w:color="auto"/>
            <w:color w:val="0000EE"/>
          </w:rPr>
          <w:t>Indenture for Senior Debt Securities dated as of September 25, 2002 among Plains All American Pipeline, L.P., PAA</w:t>
        </w:r>
      </w:hyperlink>
      <w:r>
        <w:rPr>
          <w:rFonts w:ascii="Arial" w:cs="Arial" w:eastAsia="Arial" w:hAnsi="Arial"/>
          <w:sz w:val="15"/>
          <w:szCs w:val="15"/>
          <w:u w:val="single" w:color="auto"/>
          <w:color w:val="0000EE"/>
        </w:rPr>
        <w:t xml:space="preserve"> </w:t>
      </w:r>
      <w:hyperlink r:id="rId75">
        <w:r>
          <w:rPr>
            <w:rFonts w:ascii="Arial" w:cs="Arial" w:eastAsia="Arial" w:hAnsi="Arial"/>
            <w:sz w:val="15"/>
            <w:szCs w:val="15"/>
            <w:u w:val="single" w:color="auto"/>
            <w:color w:val="0000EE"/>
          </w:rPr>
          <w:t>Finance Corp. and Wachovia Bank, National Association, as original trustee (incorporated by reference to Exhibit 4.1</w:t>
        </w:r>
      </w:hyperlink>
      <w:r>
        <w:rPr>
          <w:rFonts w:ascii="Arial" w:cs="Arial" w:eastAsia="Arial" w:hAnsi="Arial"/>
          <w:sz w:val="15"/>
          <w:szCs w:val="15"/>
          <w:u w:val="single" w:color="auto"/>
          <w:color w:val="0000EE"/>
        </w:rPr>
        <w:t xml:space="preserve"> </w:t>
      </w:r>
      <w:hyperlink r:id="rId75">
        <w:r>
          <w:rPr>
            <w:rFonts w:ascii="Arial" w:cs="Arial" w:eastAsia="Arial" w:hAnsi="Arial"/>
            <w:sz w:val="15"/>
            <w:szCs w:val="15"/>
            <w:u w:val="single" w:color="auto"/>
            <w:color w:val="0000EE"/>
          </w:rPr>
          <w:t>of the Partnership's Quarterly Report on Form 10-Q for the quarter ended September 30, 2002 (File No. 001-14569)).</w:t>
        </w:r>
      </w:hyperlink>
    </w:p>
    <w:p>
      <w:pPr>
        <w:spacing w:after="0" w:line="169" w:lineRule="exact"/>
        <w:rPr>
          <w:rFonts w:ascii="Arial" w:cs="Arial" w:eastAsia="Arial" w:hAnsi="Arial"/>
          <w:sz w:val="15"/>
          <w:szCs w:val="15"/>
          <w:u w:val="single" w:color="auto"/>
          <w:color w:val="0000EE"/>
        </w:rPr>
      </w:pPr>
    </w:p>
    <w:p>
      <w:pPr>
        <w:ind w:left="1960" w:right="960" w:hanging="394"/>
        <w:spacing w:after="0" w:line="332" w:lineRule="auto"/>
        <w:tabs>
          <w:tab w:leader="none" w:pos="19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76">
        <w:r>
          <w:rPr>
            <w:rFonts w:ascii="Arial" w:cs="Arial" w:eastAsia="Arial" w:hAnsi="Arial"/>
            <w:sz w:val="16"/>
            <w:szCs w:val="16"/>
            <w:u w:val="single" w:color="auto"/>
            <w:color w:val="0000EE"/>
          </w:rPr>
          <w:t>Form of Subordinated Indenture for Subordinated Debt Securities (incorporated by reference to Exhibit 4.2 of the</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Partnership's Registration Statement on Form S-3 filed on August 27, 2001 (File No. 333-68446))</w:t>
        </w:r>
      </w:hyperlink>
    </w:p>
    <w:p>
      <w:pPr>
        <w:spacing w:after="0" w:line="13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4.3**Form of Senior Debt Securities</w:t>
      </w: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4.4**Form of Subordinated Debt Securities</w:t>
      </w:r>
    </w:p>
    <w:p>
      <w:pPr>
        <w:spacing w:after="0" w:line="252"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5.1* </w:t>
      </w:r>
      <w:hyperlink w:anchor="page65">
        <w:r>
          <w:rPr>
            <w:rFonts w:ascii="Arial" w:cs="Arial" w:eastAsia="Arial" w:hAnsi="Arial"/>
            <w:sz w:val="18"/>
            <w:szCs w:val="18"/>
            <w:u w:val="single" w:color="auto"/>
            <w:color w:val="0000EE"/>
          </w:rPr>
          <w:t>Opinion of Vinson &amp; Elkins L.L.P. as to the legality of the securities being registered</w:t>
        </w:r>
      </w:hyperlink>
    </w:p>
    <w:p>
      <w:pPr>
        <w:spacing w:after="0" w:line="252" w:lineRule="exact"/>
        <w:rPr>
          <w:sz w:val="20"/>
          <w:szCs w:val="20"/>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8.1* </w:t>
      </w:r>
      <w:hyperlink w:anchor="page67">
        <w:r>
          <w:rPr>
            <w:rFonts w:ascii="Arial" w:cs="Arial" w:eastAsia="Arial" w:hAnsi="Arial"/>
            <w:sz w:val="18"/>
            <w:szCs w:val="18"/>
            <w:u w:val="single" w:color="auto"/>
            <w:color w:val="0000EE"/>
          </w:rPr>
          <w:t>Opinion of Vinson &amp; Elkins L.L.P. relating to tax matters</w:t>
        </w:r>
      </w:hyperlink>
    </w:p>
    <w:p>
      <w:pPr>
        <w:spacing w:after="0" w:line="252" w:lineRule="exact"/>
        <w:rPr>
          <w:sz w:val="20"/>
          <w:szCs w:val="20"/>
          <w:color w:val="auto"/>
        </w:rPr>
      </w:pPr>
    </w:p>
    <w:p>
      <w:pPr>
        <w:ind w:left="1960" w:right="780" w:hanging="482"/>
        <w:spacing w:after="0" w:line="29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12.1* </w:t>
      </w:r>
      <w:hyperlink w:anchor="page68">
        <w:r>
          <w:rPr>
            <w:rFonts w:ascii="Arial" w:cs="Arial" w:eastAsia="Arial" w:hAnsi="Arial"/>
            <w:sz w:val="18"/>
            <w:szCs w:val="18"/>
            <w:u w:val="single" w:color="auto"/>
            <w:color w:val="0000EE"/>
          </w:rPr>
          <w:t>Computation of ratio of earnings to fixed charges and ratio of earnings to combined fixed charges and preferred unit</w:t>
        </w:r>
      </w:hyperlink>
      <w:r>
        <w:rPr>
          <w:rFonts w:ascii="Arial" w:cs="Arial" w:eastAsia="Arial" w:hAnsi="Arial"/>
          <w:sz w:val="18"/>
          <w:szCs w:val="18"/>
          <w:color w:val="auto"/>
        </w:rPr>
        <w:t xml:space="preserve"> </w:t>
      </w:r>
      <w:hyperlink w:anchor="page68">
        <w:r>
          <w:rPr>
            <w:rFonts w:ascii="Arial" w:cs="Arial" w:eastAsia="Arial" w:hAnsi="Arial"/>
            <w:sz w:val="18"/>
            <w:szCs w:val="18"/>
            <w:u w:val="single" w:color="auto"/>
            <w:color w:val="0000EE"/>
          </w:rPr>
          <w:t>distributions</w:t>
        </w:r>
      </w:hyperlink>
    </w:p>
    <w:p>
      <w:pPr>
        <w:spacing w:after="0" w:line="160" w:lineRule="exact"/>
        <w:rPr>
          <w:sz w:val="20"/>
          <w:szCs w:val="20"/>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69">
        <w:r>
          <w:rPr>
            <w:rFonts w:ascii="Arial" w:cs="Arial" w:eastAsia="Arial" w:hAnsi="Arial"/>
            <w:sz w:val="18"/>
            <w:szCs w:val="18"/>
            <w:u w:val="single" w:color="auto"/>
            <w:color w:val="0000EE"/>
          </w:rPr>
          <w:t>Consent of PricewaterhouseCoopers LLP</w:t>
        </w:r>
      </w:hyperlink>
    </w:p>
    <w:p>
      <w:pPr>
        <w:spacing w:after="0" w:line="252" w:lineRule="exact"/>
        <w:rPr>
          <w:sz w:val="20"/>
          <w:szCs w:val="20"/>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23.2* Consent of Vinson &amp; Elkins L.L.P. (contained in </w:t>
      </w:r>
      <w:hyperlink w:anchor="page65">
        <w:r>
          <w:rPr>
            <w:rFonts w:ascii="Arial" w:cs="Arial" w:eastAsia="Arial" w:hAnsi="Arial"/>
            <w:sz w:val="18"/>
            <w:szCs w:val="18"/>
            <w:u w:val="single" w:color="auto"/>
            <w:color w:val="0000EE"/>
          </w:rPr>
          <w:t>Exhibits 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67">
        <w:r>
          <w:rPr>
            <w:rFonts w:ascii="Arial" w:cs="Arial" w:eastAsia="Arial" w:hAnsi="Arial"/>
            <w:sz w:val="18"/>
            <w:szCs w:val="18"/>
            <w:u w:val="single" w:color="auto"/>
            <w:color w:val="0000EE"/>
          </w:rPr>
          <w:t>8.1</w:t>
        </w:r>
      </w:hyperlink>
      <w:r>
        <w:rPr>
          <w:rFonts w:ascii="Arial" w:cs="Arial" w:eastAsia="Arial" w:hAnsi="Arial"/>
          <w:sz w:val="18"/>
          <w:szCs w:val="18"/>
          <w:color w:val="auto"/>
        </w:rPr>
        <w:t>)</w:t>
      </w:r>
    </w:p>
    <w:p>
      <w:pPr>
        <w:spacing w:after="0" w:line="252" w:lineRule="exact"/>
        <w:rPr>
          <w:sz w:val="20"/>
          <w:szCs w:val="20"/>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24.1* </w:t>
      </w:r>
      <w:hyperlink w:anchor="page60">
        <w:r>
          <w:rPr>
            <w:rFonts w:ascii="Arial" w:cs="Arial" w:eastAsia="Arial" w:hAnsi="Arial"/>
            <w:sz w:val="18"/>
            <w:szCs w:val="18"/>
            <w:u w:val="single" w:color="auto"/>
            <w:color w:val="0000EE"/>
          </w:rPr>
          <w:t>Powers of Attorney (included on the signature page of this registration statement)</w:t>
        </w:r>
      </w:hyperlink>
    </w:p>
    <w:p>
      <w:pPr>
        <w:spacing w:after="0" w:line="252" w:lineRule="exact"/>
        <w:rPr>
          <w:sz w:val="20"/>
          <w:szCs w:val="20"/>
          <w:color w:val="auto"/>
        </w:rPr>
      </w:pPr>
    </w:p>
    <w:p>
      <w:pPr>
        <w:ind w:left="1960" w:right="940" w:hanging="482"/>
        <w:spacing w:after="0" w:line="29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25.1* </w:t>
      </w:r>
      <w:hyperlink w:anchor="page70">
        <w:r>
          <w:rPr>
            <w:rFonts w:ascii="Arial" w:cs="Arial" w:eastAsia="Arial" w:hAnsi="Arial"/>
            <w:sz w:val="18"/>
            <w:szCs w:val="18"/>
            <w:u w:val="single" w:color="auto"/>
            <w:color w:val="0000EE"/>
          </w:rPr>
          <w:t>Form T-1 Statement of Eligibility and Qualification under the Trust Indenture Act of 1939 of the trustee under the</w:t>
        </w:r>
      </w:hyperlink>
      <w:r>
        <w:rPr>
          <w:rFonts w:ascii="Arial" w:cs="Arial" w:eastAsia="Arial" w:hAnsi="Arial"/>
          <w:sz w:val="18"/>
          <w:szCs w:val="18"/>
          <w:color w:val="auto"/>
        </w:rPr>
        <w:t xml:space="preserve"> </w:t>
      </w:r>
      <w:hyperlink w:anchor="page70">
        <w:r>
          <w:rPr>
            <w:rFonts w:ascii="Arial" w:cs="Arial" w:eastAsia="Arial" w:hAnsi="Arial"/>
            <w:sz w:val="18"/>
            <w:szCs w:val="18"/>
            <w:u w:val="single" w:color="auto"/>
            <w:color w:val="0000EE"/>
          </w:rPr>
          <w:t>Senior Indenture</w:t>
        </w:r>
      </w:hyperlink>
    </w:p>
    <w:p>
      <w:pPr>
        <w:spacing w:after="0" w:line="160" w:lineRule="exact"/>
        <w:rPr>
          <w:sz w:val="20"/>
          <w:szCs w:val="20"/>
          <w:color w:val="auto"/>
        </w:rPr>
      </w:pPr>
    </w:p>
    <w:p>
      <w:pPr>
        <w:ind w:left="1960" w:right="940" w:hanging="482"/>
        <w:spacing w:after="0" w:line="29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25.2* </w:t>
      </w:r>
      <w:hyperlink w:anchor="page74">
        <w:r>
          <w:rPr>
            <w:rFonts w:ascii="Arial" w:cs="Arial" w:eastAsia="Arial" w:hAnsi="Arial"/>
            <w:sz w:val="18"/>
            <w:szCs w:val="18"/>
            <w:u w:val="single" w:color="auto"/>
            <w:color w:val="0000EE"/>
          </w:rPr>
          <w:t>Form T-1 Statement of Eligibility and Qualification under the Trust Indenture Act of 1939 of the trustee under the</w:t>
        </w:r>
      </w:hyperlink>
      <w:r>
        <w:rPr>
          <w:rFonts w:ascii="Arial" w:cs="Arial" w:eastAsia="Arial" w:hAnsi="Arial"/>
          <w:sz w:val="18"/>
          <w:szCs w:val="18"/>
          <w:color w:val="auto"/>
        </w:rPr>
        <w:t xml:space="preserve"> </w:t>
      </w:r>
      <w:hyperlink w:anchor="page74">
        <w:r>
          <w:rPr>
            <w:rFonts w:ascii="Arial" w:cs="Arial" w:eastAsia="Arial" w:hAnsi="Arial"/>
            <w:sz w:val="18"/>
            <w:szCs w:val="18"/>
            <w:u w:val="single" w:color="auto"/>
            <w:color w:val="0000EE"/>
          </w:rPr>
          <w:t>Subordinated Indenture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18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14, 2018.</w:t>
      </w:r>
    </w:p>
    <w:p>
      <w:pPr>
        <w:spacing w:after="0" w:line="18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ALL AMERICAN PIPELINE, L.P.</w:t>
      </w:r>
    </w:p>
    <w:p>
      <w:pPr>
        <w:spacing w:after="0" w:line="258" w:lineRule="exact"/>
        <w:rPr>
          <w:sz w:val="20"/>
          <w:szCs w:val="20"/>
          <w:color w:val="auto"/>
        </w:rPr>
      </w:pPr>
    </w:p>
    <w:tbl>
      <w:tblPr>
        <w:tblLayout w:type="fixed"/>
        <w:tblInd w:w="55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Plains GP Holdings, L.P., its sole member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/s/ RICHARD K. MCGEE</w:t>
            </w:r>
          </w:p>
        </w:tc>
      </w:tr>
      <w:tr>
        <w:trPr>
          <w:trHeight w:val="97"/>
        </w:trPr>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20"/>
              <w:spacing w:after="0"/>
              <w:rPr>
                <w:sz w:val="20"/>
                <w:szCs w:val="20"/>
                <w:color w:val="auto"/>
              </w:rPr>
            </w:pPr>
            <w:r>
              <w:rPr>
                <w:rFonts w:ascii="Arial" w:cs="Arial" w:eastAsia="Arial" w:hAnsi="Arial"/>
                <w:sz w:val="18"/>
                <w:szCs w:val="18"/>
                <w:color w:val="auto"/>
              </w:rPr>
              <w:t>Richard K. McGee</w:t>
            </w:r>
          </w:p>
        </w:tc>
      </w:tr>
      <w:tr>
        <w:trPr>
          <w:trHeight w:val="216"/>
        </w:trPr>
        <w:tc>
          <w:tcPr>
            <w:tcW w:w="5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20"/>
              <w:spacing w:after="0"/>
              <w:rPr>
                <w:sz w:val="20"/>
                <w:szCs w:val="20"/>
                <w:color w:val="auto"/>
              </w:rPr>
            </w:pPr>
            <w:r>
              <w:rPr>
                <w:rFonts w:ascii="Arial" w:cs="Arial" w:eastAsia="Arial" w:hAnsi="Arial"/>
                <w:sz w:val="18"/>
                <w:szCs w:val="18"/>
                <w:i w:val="1"/>
                <w:iCs w:val="1"/>
                <w:color w:val="auto"/>
                <w:w w:val="95"/>
              </w:rPr>
              <w:t>Executive Vice President, General Counsel</w:t>
            </w:r>
          </w:p>
        </w:tc>
      </w:tr>
      <w:tr>
        <w:trPr>
          <w:trHeight w:val="222"/>
        </w:trPr>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i w:val="1"/>
                <w:iCs w:val="1"/>
                <w:color w:val="auto"/>
              </w:rPr>
              <w:t>and Secretary</w:t>
            </w: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0"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88" w:lineRule="exact"/>
        <w:rPr>
          <w:sz w:val="20"/>
          <w:szCs w:val="20"/>
          <w:color w:val="auto"/>
        </w:rPr>
      </w:pPr>
    </w:p>
    <w:p>
      <w:pPr>
        <w:ind w:left="2660"/>
        <w:spacing w:after="0"/>
        <w:tabs>
          <w:tab w:leader="none" w:pos="6240" w:val="left"/>
          <w:tab w:leader="none" w:pos="9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676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89"/>
              </w:rPr>
              <w:t>Chairman of the Board and Chief Executive</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780" w:type="dxa"/>
            <w:vAlign w:val="bottom"/>
            <w:vMerge w:val="restart"/>
          </w:tcPr>
          <w:p>
            <w:pPr>
              <w:jc w:val="center"/>
              <w:ind w:right="32"/>
              <w:spacing w:after="0"/>
              <w:rPr>
                <w:sz w:val="20"/>
                <w:szCs w:val="20"/>
                <w:color w:val="auto"/>
              </w:rPr>
            </w:pPr>
            <w:r>
              <w:rPr>
                <w:rFonts w:ascii="Arial" w:cs="Arial" w:eastAsia="Arial" w:hAnsi="Arial"/>
                <w:sz w:val="18"/>
                <w:szCs w:val="18"/>
                <w:color w:val="auto"/>
                <w:w w:val="94"/>
              </w:rPr>
              <w:t>Officer</w:t>
            </w: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78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92"/>
              </w:rPr>
              <w:t>(Principal Executive Officer)</w:t>
            </w:r>
          </w:p>
        </w:tc>
        <w:tc>
          <w:tcPr>
            <w:tcW w:w="3080" w:type="dxa"/>
            <w:vAlign w:val="bottom"/>
          </w:tcPr>
          <w:p>
            <w:pPr>
              <w:ind w:left="34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780" w:type="dxa"/>
            <w:vAlign w:val="bottom"/>
            <w:vMerge w:val="restart"/>
          </w:tcPr>
          <w:p>
            <w:pPr>
              <w:jc w:val="center"/>
              <w:ind w:right="32"/>
              <w:spacing w:after="0"/>
              <w:rPr>
                <w:sz w:val="20"/>
                <w:szCs w:val="20"/>
                <w:color w:val="auto"/>
              </w:rPr>
            </w:pPr>
            <w:r>
              <w:rPr>
                <w:rFonts w:ascii="Arial" w:cs="Arial" w:eastAsia="Arial" w:hAnsi="Arial"/>
                <w:sz w:val="18"/>
                <w:szCs w:val="18"/>
                <w:color w:val="auto"/>
                <w:w w:val="89"/>
              </w:rPr>
              <w:t>President, Chief Commercial</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78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0"/>
              </w:rPr>
              <w:t>Officer and Director</w:t>
            </w:r>
          </w:p>
        </w:tc>
        <w:tc>
          <w:tcPr>
            <w:tcW w:w="3080" w:type="dxa"/>
            <w:vAlign w:val="bottom"/>
            <w:vMerge w:val="restart"/>
          </w:tcPr>
          <w:p>
            <w:pPr>
              <w:ind w:left="34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7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6"/>
              </w:rPr>
              <w:t>/s/ WILLIE C. CHIANG</w:t>
            </w:r>
          </w:p>
        </w:tc>
        <w:tc>
          <w:tcPr>
            <w:tcW w:w="3780" w:type="dxa"/>
            <w:vAlign w:val="bottom"/>
            <w:vMerge w:val="restart"/>
          </w:tcPr>
          <w:p>
            <w:pPr>
              <w:jc w:val="center"/>
              <w:ind w:right="32"/>
              <w:spacing w:after="0"/>
              <w:rPr>
                <w:sz w:val="20"/>
                <w:szCs w:val="20"/>
                <w:color w:val="auto"/>
              </w:rPr>
            </w:pPr>
            <w:r>
              <w:rPr>
                <w:rFonts w:ascii="Arial" w:cs="Arial" w:eastAsia="Arial" w:hAnsi="Arial"/>
                <w:sz w:val="18"/>
                <w:szCs w:val="18"/>
                <w:color w:val="auto"/>
                <w:w w:val="88"/>
              </w:rPr>
              <w:t>Executive Vice President, Chief Operating</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 Chiang</w:t>
            </w:r>
          </w:p>
        </w:tc>
        <w:tc>
          <w:tcPr>
            <w:tcW w:w="378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0"/>
              </w:rPr>
              <w:t>Officer and Director</w:t>
            </w:r>
          </w:p>
        </w:tc>
        <w:tc>
          <w:tcPr>
            <w:tcW w:w="3080" w:type="dxa"/>
            <w:vAlign w:val="bottom"/>
            <w:vMerge w:val="restart"/>
          </w:tcPr>
          <w:p>
            <w:pPr>
              <w:ind w:left="34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7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88"/>
              </w:rPr>
              <w:t>Executive Vice President and Chief Financial</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780" w:type="dxa"/>
            <w:vAlign w:val="bottom"/>
            <w:vMerge w:val="restart"/>
          </w:tcPr>
          <w:p>
            <w:pPr>
              <w:jc w:val="center"/>
              <w:ind w:right="32"/>
              <w:spacing w:after="0"/>
              <w:rPr>
                <w:sz w:val="20"/>
                <w:szCs w:val="20"/>
                <w:color w:val="auto"/>
              </w:rPr>
            </w:pPr>
            <w:r>
              <w:rPr>
                <w:rFonts w:ascii="Arial" w:cs="Arial" w:eastAsia="Arial" w:hAnsi="Arial"/>
                <w:sz w:val="18"/>
                <w:szCs w:val="18"/>
                <w:color w:val="auto"/>
                <w:w w:val="94"/>
              </w:rPr>
              <w:t>Officer</w:t>
            </w: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78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91"/>
              </w:rPr>
              <w:t>(Principal Financial Officer)</w:t>
            </w:r>
          </w:p>
        </w:tc>
        <w:tc>
          <w:tcPr>
            <w:tcW w:w="3080" w:type="dxa"/>
            <w:vAlign w:val="bottom"/>
          </w:tcPr>
          <w:p>
            <w:pPr>
              <w:ind w:left="34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88"/>
              </w:rPr>
              <w:t>Senior Vice President and Chief Accounting</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780" w:type="dxa"/>
            <w:vAlign w:val="bottom"/>
            <w:vMerge w:val="restart"/>
          </w:tcPr>
          <w:p>
            <w:pPr>
              <w:jc w:val="center"/>
              <w:ind w:right="32"/>
              <w:spacing w:after="0"/>
              <w:rPr>
                <w:sz w:val="20"/>
                <w:szCs w:val="20"/>
                <w:color w:val="auto"/>
              </w:rPr>
            </w:pPr>
            <w:r>
              <w:rPr>
                <w:rFonts w:ascii="Arial" w:cs="Arial" w:eastAsia="Arial" w:hAnsi="Arial"/>
                <w:sz w:val="18"/>
                <w:szCs w:val="18"/>
                <w:color w:val="auto"/>
                <w:w w:val="94"/>
              </w:rPr>
              <w:t>Officer</w:t>
            </w: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8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jc w:val="center"/>
              <w:ind w:right="32"/>
              <w:spacing w:after="0"/>
              <w:rPr>
                <w:sz w:val="20"/>
                <w:szCs w:val="20"/>
                <w:color w:val="auto"/>
              </w:rPr>
            </w:pPr>
            <w:r>
              <w:rPr>
                <w:rFonts w:ascii="Arial" w:cs="Arial" w:eastAsia="Arial" w:hAnsi="Arial"/>
                <w:sz w:val="18"/>
                <w:szCs w:val="18"/>
                <w:color w:val="auto"/>
                <w:w w:val="93"/>
              </w:rPr>
              <w:t>(Principal Accounting Officer)</w:t>
            </w:r>
          </w:p>
        </w:tc>
        <w:tc>
          <w:tcPr>
            <w:tcW w:w="3080" w:type="dxa"/>
            <w:vAlign w:val="bottom"/>
          </w:tcPr>
          <w:p>
            <w:pPr>
              <w:ind w:left="34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II-8</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60"/>
        <w:spacing w:after="0"/>
        <w:tabs>
          <w:tab w:leader="none" w:pos="6240" w:val="left"/>
          <w:tab w:leader="none" w:pos="9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676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OSCAR K. BROWN</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Oscar K. Brown</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/s/ VICTOR BURK</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Victor Burk</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EVERARDO GOYANES</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Everardo Goyanes</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/s/ GARY R. PETERSEN</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Gary R. Petersen</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JOHN T. RAYMOND</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John T. Raymond</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BOBBY S. SHACKOULS</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8"/>
              </w:rPr>
              <w:t>Bobby S. Shackouls</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8"/>
              </w:rPr>
              <w:t>Robert V. Sinnott</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J. TAFT SYMONDS</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J. Taft Symonds</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CHRISTOPHER M. TEMPLE</w:t>
            </w:r>
          </w:p>
        </w:tc>
        <w:tc>
          <w:tcPr>
            <w:tcW w:w="6860" w:type="dxa"/>
            <w:vAlign w:val="bottom"/>
            <w:vMerge w:val="restart"/>
          </w:tcPr>
          <w:p>
            <w:pPr>
              <w:ind w:left="1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6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Christopher M. Temple</w:t>
            </w:r>
          </w:p>
        </w:tc>
        <w:tc>
          <w:tcPr>
            <w:tcW w:w="6860" w:type="dxa"/>
            <w:vAlign w:val="bottom"/>
          </w:tcPr>
          <w:p>
            <w:pPr>
              <w:ind w:left="41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860" w:type="dxa"/>
            <w:vAlign w:val="bottom"/>
          </w:tcPr>
          <w:p>
            <w:pPr>
              <w:ind w:left="102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14, 2018.</w:t>
      </w:r>
    </w:p>
    <w:p>
      <w:pPr>
        <w:spacing w:after="0" w:line="18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PAA FINANCE CORP.</w:t>
      </w:r>
    </w:p>
    <w:p>
      <w:pPr>
        <w:spacing w:after="0" w:line="258"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71120</wp:posOffset>
            </wp:positionV>
            <wp:extent cx="2667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Richard K. McGee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Vice President, General Counsel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Secretary</w:t>
      </w:r>
    </w:p>
    <w:p>
      <w:pPr>
        <w:spacing w:after="0" w:line="200" w:lineRule="exact"/>
        <w:rPr>
          <w:sz w:val="20"/>
          <w:szCs w:val="20"/>
          <w:color w:val="auto"/>
        </w:rPr>
      </w:pPr>
    </w:p>
    <w:p>
      <w:pPr>
        <w:sectPr>
          <w:pgSz w:w="11900" w:h="16838" w:orient="portrait"/>
          <w:cols w:equalWidth="0" w:num="2">
            <w:col w:w="6580" w:space="420"/>
            <w:col w:w="4420"/>
          </w:cols>
          <w:pgMar w:left="240" w:top="131" w:right="239" w:bottom="1440" w:gutter="0" w:footer="0" w:header="0"/>
          <w:type w:val="continuous"/>
        </w:sect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PAA FINANCE CORP.</w:t>
      </w:r>
    </w:p>
    <w:p>
      <w:pPr>
        <w:spacing w:after="0" w:line="227" w:lineRule="exact"/>
        <w:rPr>
          <w:sz w:val="20"/>
          <w:szCs w:val="20"/>
          <w:color w:val="auto"/>
        </w:rPr>
      </w:pPr>
    </w:p>
    <w:p>
      <w:pPr>
        <w:ind w:left="2660"/>
        <w:spacing w:after="0"/>
        <w:tabs>
          <w:tab w:leader="none" w:pos="6240" w:val="left"/>
          <w:tab w:leader="none" w:pos="9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6769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760" w:type="dxa"/>
            <w:vAlign w:val="bottom"/>
            <w:vMerge w:val="restart"/>
          </w:tcPr>
          <w:p>
            <w:pPr>
              <w:jc w:val="center"/>
              <w:ind w:right="12"/>
              <w:spacing w:after="0"/>
              <w:rPr>
                <w:sz w:val="20"/>
                <w:szCs w:val="20"/>
                <w:color w:val="auto"/>
              </w:rPr>
            </w:pPr>
            <w:r>
              <w:rPr>
                <w:rFonts w:ascii="Arial" w:cs="Arial" w:eastAsia="Arial" w:hAnsi="Arial"/>
                <w:sz w:val="18"/>
                <w:szCs w:val="18"/>
                <w:color w:val="auto"/>
                <w:w w:val="92"/>
              </w:rPr>
              <w:t>Chief Executive Officer</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6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76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2"/>
              </w:rPr>
              <w:t>(Principal Executive Officer)</w:t>
            </w:r>
          </w:p>
        </w:tc>
        <w:tc>
          <w:tcPr>
            <w:tcW w:w="3100" w:type="dxa"/>
            <w:vAlign w:val="bottom"/>
            <w:vMerge w:val="restart"/>
          </w:tcPr>
          <w:p>
            <w:pPr>
              <w:ind w:left="3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7"/>
              </w:rPr>
              <w:t>/s/ WILLIE CHIANG</w:t>
            </w:r>
          </w:p>
        </w:tc>
        <w:tc>
          <w:tcPr>
            <w:tcW w:w="3760" w:type="dxa"/>
            <w:vAlign w:val="bottom"/>
            <w:vMerge w:val="restart"/>
          </w:tcPr>
          <w:p>
            <w:pPr>
              <w:jc w:val="center"/>
              <w:ind w:right="12"/>
              <w:spacing w:after="0"/>
              <w:rPr>
                <w:sz w:val="20"/>
                <w:szCs w:val="20"/>
                <w:color w:val="auto"/>
              </w:rPr>
            </w:pPr>
            <w:r>
              <w:rPr>
                <w:rFonts w:ascii="Arial" w:cs="Arial" w:eastAsia="Arial" w:hAnsi="Arial"/>
                <w:sz w:val="18"/>
                <w:szCs w:val="18"/>
                <w:color w:val="auto"/>
                <w:w w:val="91"/>
              </w:rPr>
              <w:t>Director</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6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Chiang</w:t>
            </w:r>
          </w:p>
        </w:tc>
        <w:tc>
          <w:tcPr>
            <w:tcW w:w="3760" w:type="dxa"/>
            <w:vAlign w:val="bottom"/>
            <w:vMerge w:val="continue"/>
          </w:tcPr>
          <w:p>
            <w:pPr>
              <w:spacing w:after="0"/>
              <w:rPr>
                <w:sz w:val="7"/>
                <w:szCs w:val="7"/>
                <w:color w:val="auto"/>
              </w:rPr>
            </w:pPr>
          </w:p>
        </w:tc>
        <w:tc>
          <w:tcPr>
            <w:tcW w:w="3100" w:type="dxa"/>
            <w:vAlign w:val="bottom"/>
            <w:vMerge w:val="restart"/>
          </w:tcPr>
          <w:p>
            <w:pPr>
              <w:ind w:left="3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760" w:type="dxa"/>
            <w:vAlign w:val="bottom"/>
          </w:tcPr>
          <w:p>
            <w:pPr>
              <w:jc w:val="center"/>
              <w:ind w:right="12"/>
              <w:spacing w:after="0"/>
              <w:rPr>
                <w:sz w:val="20"/>
                <w:szCs w:val="20"/>
                <w:color w:val="auto"/>
              </w:rPr>
            </w:pPr>
            <w:r>
              <w:rPr>
                <w:rFonts w:ascii="Arial" w:cs="Arial" w:eastAsia="Arial" w:hAnsi="Arial"/>
                <w:sz w:val="18"/>
                <w:szCs w:val="18"/>
                <w:color w:val="auto"/>
                <w:w w:val="89"/>
              </w:rPr>
              <w:t>Executive Vice President, Chief Financial</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760" w:type="dxa"/>
            <w:vAlign w:val="bottom"/>
            <w:vMerge w:val="restart"/>
          </w:tcPr>
          <w:p>
            <w:pPr>
              <w:jc w:val="center"/>
              <w:ind w:right="12"/>
              <w:spacing w:after="0"/>
              <w:rPr>
                <w:sz w:val="20"/>
                <w:szCs w:val="20"/>
                <w:color w:val="auto"/>
              </w:rPr>
            </w:pPr>
            <w:r>
              <w:rPr>
                <w:rFonts w:ascii="Arial" w:cs="Arial" w:eastAsia="Arial" w:hAnsi="Arial"/>
                <w:sz w:val="18"/>
                <w:szCs w:val="18"/>
                <w:color w:val="auto"/>
                <w:w w:val="91"/>
              </w:rPr>
              <w:t>Officer and Director (Principal Financial</w:t>
            </w: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76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60" w:type="dxa"/>
            <w:vAlign w:val="bottom"/>
          </w:tcPr>
          <w:p>
            <w:pPr>
              <w:jc w:val="center"/>
              <w:ind w:right="12"/>
              <w:spacing w:after="0"/>
              <w:rPr>
                <w:sz w:val="20"/>
                <w:szCs w:val="20"/>
                <w:color w:val="auto"/>
              </w:rPr>
            </w:pPr>
            <w:r>
              <w:rPr>
                <w:rFonts w:ascii="Arial" w:cs="Arial" w:eastAsia="Arial" w:hAnsi="Arial"/>
                <w:sz w:val="18"/>
                <w:szCs w:val="18"/>
                <w:color w:val="auto"/>
                <w:w w:val="98"/>
              </w:rPr>
              <w:t>Officer)</w:t>
            </w:r>
          </w:p>
        </w:tc>
        <w:tc>
          <w:tcPr>
            <w:tcW w:w="3100" w:type="dxa"/>
            <w:vAlign w:val="bottom"/>
          </w:tcPr>
          <w:p>
            <w:pPr>
              <w:ind w:left="3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60" w:type="dxa"/>
            <w:vAlign w:val="bottom"/>
          </w:tcPr>
          <w:p>
            <w:pPr>
              <w:jc w:val="center"/>
              <w:ind w:right="12"/>
              <w:spacing w:after="0"/>
              <w:rPr>
                <w:sz w:val="20"/>
                <w:szCs w:val="20"/>
                <w:color w:val="auto"/>
              </w:rPr>
            </w:pPr>
            <w:r>
              <w:rPr>
                <w:rFonts w:ascii="Arial" w:cs="Arial" w:eastAsia="Arial" w:hAnsi="Arial"/>
                <w:sz w:val="18"/>
                <w:szCs w:val="18"/>
                <w:color w:val="auto"/>
                <w:w w:val="88"/>
              </w:rPr>
              <w:t>Senior Vice President and Chief Accounting</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760" w:type="dxa"/>
            <w:vAlign w:val="bottom"/>
            <w:vMerge w:val="restart"/>
          </w:tcPr>
          <w:p>
            <w:pPr>
              <w:jc w:val="center"/>
              <w:ind w:right="12"/>
              <w:spacing w:after="0"/>
              <w:rPr>
                <w:sz w:val="20"/>
                <w:szCs w:val="20"/>
                <w:color w:val="auto"/>
              </w:rPr>
            </w:pPr>
            <w:r>
              <w:rPr>
                <w:rFonts w:ascii="Arial" w:cs="Arial" w:eastAsia="Arial" w:hAnsi="Arial"/>
                <w:sz w:val="18"/>
                <w:szCs w:val="18"/>
                <w:color w:val="auto"/>
                <w:w w:val="94"/>
              </w:rPr>
              <w:t>Officer</w:t>
            </w: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6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60" w:type="dxa"/>
            <w:vAlign w:val="bottom"/>
          </w:tcPr>
          <w:p>
            <w:pPr>
              <w:jc w:val="center"/>
              <w:ind w:right="12"/>
              <w:spacing w:after="0"/>
              <w:rPr>
                <w:sz w:val="20"/>
                <w:szCs w:val="20"/>
                <w:color w:val="auto"/>
              </w:rPr>
            </w:pPr>
            <w:r>
              <w:rPr>
                <w:rFonts w:ascii="Arial" w:cs="Arial" w:eastAsia="Arial" w:hAnsi="Arial"/>
                <w:sz w:val="18"/>
                <w:szCs w:val="18"/>
                <w:color w:val="auto"/>
                <w:w w:val="93"/>
              </w:rPr>
              <w:t>(Principal Accounting Officer)</w:t>
            </w:r>
          </w:p>
        </w:tc>
        <w:tc>
          <w:tcPr>
            <w:tcW w:w="3100" w:type="dxa"/>
            <w:vAlign w:val="bottom"/>
          </w:tcPr>
          <w:p>
            <w:pPr>
              <w:ind w:left="3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760" w:type="dxa"/>
            <w:vAlign w:val="bottom"/>
            <w:vMerge w:val="restart"/>
          </w:tcPr>
          <w:p>
            <w:pPr>
              <w:jc w:val="center"/>
              <w:ind w:right="12"/>
              <w:spacing w:after="0"/>
              <w:rPr>
                <w:sz w:val="20"/>
                <w:szCs w:val="20"/>
                <w:color w:val="auto"/>
              </w:rPr>
            </w:pPr>
            <w:r>
              <w:rPr>
                <w:rFonts w:ascii="Arial" w:cs="Arial" w:eastAsia="Arial" w:hAnsi="Arial"/>
                <w:sz w:val="18"/>
                <w:szCs w:val="18"/>
                <w:color w:val="auto"/>
                <w:w w:val="88"/>
              </w:rPr>
              <w:t>President and Director</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6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760" w:type="dxa"/>
            <w:vAlign w:val="bottom"/>
            <w:vMerge w:val="continue"/>
          </w:tcPr>
          <w:p>
            <w:pPr>
              <w:spacing w:after="0"/>
              <w:rPr>
                <w:sz w:val="7"/>
                <w:szCs w:val="7"/>
                <w:color w:val="auto"/>
              </w:rPr>
            </w:pPr>
          </w:p>
        </w:tc>
        <w:tc>
          <w:tcPr>
            <w:tcW w:w="3100" w:type="dxa"/>
            <w:vAlign w:val="bottom"/>
            <w:vMerge w:val="restart"/>
          </w:tcPr>
          <w:p>
            <w:pPr>
              <w:ind w:left="3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60" w:type="dxa"/>
            <w:vAlign w:val="bottom"/>
          </w:tcPr>
          <w:p>
            <w:pPr>
              <w:ind w:left="980"/>
              <w:spacing w:after="0"/>
              <w:rPr>
                <w:sz w:val="20"/>
                <w:szCs w:val="20"/>
                <w:color w:val="auto"/>
              </w:rPr>
            </w:pPr>
            <w:r>
              <w:rPr>
                <w:rFonts w:ascii="Arial" w:cs="Arial" w:eastAsia="Arial" w:hAnsi="Arial"/>
                <w:sz w:val="18"/>
                <w:szCs w:val="18"/>
                <w:color w:val="auto"/>
              </w:rPr>
              <w:t>II-10</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with respect to the preparation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on the date hereof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by the Partnership from time to time, pursuant to Rule 415 under the Securities Act, of:</w:t>
      </w:r>
    </w:p>
    <w:p>
      <w:pPr>
        <w:spacing w:after="0" w:line="211"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preferred units representing limited partner interests in the Partnership (the “</w:t>
      </w:r>
      <w:r>
        <w:rPr>
          <w:rFonts w:ascii="Arial" w:cs="Arial" w:eastAsia="Arial" w:hAnsi="Arial"/>
          <w:sz w:val="18"/>
          <w:szCs w:val="18"/>
          <w:b w:val="1"/>
          <w:bCs w:val="1"/>
          <w:i w:val="1"/>
          <w:iCs w:val="1"/>
          <w:color w:val="auto"/>
        </w:rPr>
        <w:t>Preferred Units</w:t>
      </w:r>
      <w:r>
        <w:rPr>
          <w:rFonts w:ascii="Arial" w:cs="Arial" w:eastAsia="Arial" w:hAnsi="Arial"/>
          <w:sz w:val="18"/>
          <w:szCs w:val="18"/>
          <w:color w:val="auto"/>
        </w:rPr>
        <w:t>”); and</w:t>
      </w:r>
    </w:p>
    <w:p>
      <w:pPr>
        <w:spacing w:after="0" w:line="225" w:lineRule="exact"/>
        <w:rPr>
          <w:sz w:val="20"/>
          <w:szCs w:val="20"/>
          <w:color w:val="auto"/>
        </w:rPr>
      </w:pPr>
    </w:p>
    <w:p>
      <w:pPr>
        <w:ind w:left="660" w:right="18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Common Units, the Preferred Units and Debt Securities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We have also participated in the preparation of the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contained in the Registration Statement to which this opinion is an exhibit.</w:t>
      </w:r>
    </w:p>
    <w:p>
      <w:pPr>
        <w:spacing w:after="0" w:line="147"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In rendering the opinions set forth below, we have examined and relied upon (i) the Delaware Revised Uniform Limited Partnership Act (the “</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(ii)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(iii) the Registration Statement, including the Prospectus, (iv) the Senior Indenture (the “</w:t>
      </w:r>
      <w:r>
        <w:rPr>
          <w:rFonts w:ascii="Arial" w:cs="Arial" w:eastAsia="Arial" w:hAnsi="Arial"/>
          <w:sz w:val="17"/>
          <w:szCs w:val="17"/>
          <w:b w:val="1"/>
          <w:bCs w:val="1"/>
          <w:i w:val="1"/>
          <w:iCs w:val="1"/>
          <w:color w:val="auto"/>
        </w:rPr>
        <w:t>Senior Indenture</w:t>
      </w:r>
      <w:r>
        <w:rPr>
          <w:rFonts w:ascii="Arial" w:cs="Arial" w:eastAsia="Arial" w:hAnsi="Arial"/>
          <w:sz w:val="17"/>
          <w:szCs w:val="17"/>
          <w:color w:val="auto"/>
        </w:rPr>
        <w:t>”), incorporated by reference as Exhibit 4.1 to the Registration Statement, (v) the form of Subordinated Indenture (the “</w:t>
      </w:r>
      <w:r>
        <w:rPr>
          <w:rFonts w:ascii="Arial" w:cs="Arial" w:eastAsia="Arial" w:hAnsi="Arial"/>
          <w:sz w:val="17"/>
          <w:szCs w:val="17"/>
          <w:b w:val="1"/>
          <w:bCs w:val="1"/>
          <w:i w:val="1"/>
          <w:iCs w:val="1"/>
          <w:color w:val="auto"/>
        </w:rPr>
        <w:t>Subordinated Indenture</w:t>
      </w:r>
      <w:r>
        <w:rPr>
          <w:rFonts w:ascii="Arial" w:cs="Arial" w:eastAsia="Arial" w:hAnsi="Arial"/>
          <w:sz w:val="17"/>
          <w:szCs w:val="17"/>
          <w:color w:val="auto"/>
        </w:rPr>
        <w:t>,” together with the Senior Indenture, the “</w:t>
      </w:r>
      <w:r>
        <w:rPr>
          <w:rFonts w:ascii="Arial" w:cs="Arial" w:eastAsia="Arial" w:hAnsi="Arial"/>
          <w:sz w:val="17"/>
          <w:szCs w:val="17"/>
          <w:b w:val="1"/>
          <w:bCs w:val="1"/>
          <w:i w:val="1"/>
          <w:iCs w:val="1"/>
          <w:color w:val="auto"/>
        </w:rPr>
        <w:t>Indentures</w:t>
      </w:r>
      <w:r>
        <w:rPr>
          <w:rFonts w:ascii="Arial" w:cs="Arial" w:eastAsia="Arial" w:hAnsi="Arial"/>
          <w:sz w:val="17"/>
          <w:szCs w:val="17"/>
          <w:color w:val="auto"/>
        </w:rPr>
        <w:t>”), incorporated by reference as Exhibit 4.2 to the Registration Statement, (vi) the Seventh Amended and Restated Agreement of Limited Partnership of the Partnership, as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1960" w:hanging="655"/>
        <w:spacing w:after="0"/>
        <w:tabs>
          <w:tab w:leader="none" w:pos="1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(including post-effective amendments), will have become effective;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Prospectus Supplement will have been prepared and filed with the Commission describing the Securities offered thereby;</w:t>
      </w:r>
    </w:p>
    <w:p>
      <w:pPr>
        <w:spacing w:after="0" w:line="236" w:lineRule="exact"/>
        <w:rPr>
          <w:rFonts w:ascii="Arial" w:cs="Arial" w:eastAsia="Arial" w:hAnsi="Arial"/>
          <w:sz w:val="17"/>
          <w:szCs w:val="17"/>
          <w:color w:val="auto"/>
        </w:rPr>
      </w:pPr>
    </w:p>
    <w:p>
      <w:pPr>
        <w:ind w:left="660" w:right="60" w:firstLine="645"/>
        <w:spacing w:after="0" w:line="277" w:lineRule="auto"/>
        <w:tabs>
          <w:tab w:leader="none" w:pos="19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660" w:right="140" w:firstLine="645"/>
        <w:spacing w:after="0" w:line="255" w:lineRule="auto"/>
        <w:tabs>
          <w:tab w:leader="none" w:pos="1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193" w:lineRule="exact"/>
        <w:rPr>
          <w:rFonts w:ascii="Arial" w:cs="Arial" w:eastAsia="Arial" w:hAnsi="Arial"/>
          <w:sz w:val="18"/>
          <w:szCs w:val="18"/>
          <w:color w:val="auto"/>
        </w:rPr>
      </w:pPr>
    </w:p>
    <w:p>
      <w:pPr>
        <w:ind w:left="660" w:right="140" w:firstLine="645"/>
        <w:spacing w:after="0" w:line="264" w:lineRule="auto"/>
        <w:tabs>
          <w:tab w:leader="none" w:pos="1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the Preferred Units, when (i) the Partnership has taken all necessary action to approve the issuance of such Preferred Units, the terms of the offering thereof and related matters; and (ii) the Preferred Units have been issued and delivered in accordance with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of the applicable definitive purchase, underwriting or similar agreement approved by the Partnership upon payment of the consideration thereof or provided for therein, then the Preferred Units will be validly issued, fully paid (to the extent required under the Partnership Agreement)and non-</w:t>
      </w:r>
    </w:p>
    <w:p>
      <w:pPr>
        <w:sectPr>
          <w:pgSz w:w="11900" w:h="16838" w:orient="portrait"/>
          <w:cols w:equalWidth="0" w:num="1">
            <w:col w:w="11420"/>
          </w:cols>
          <w:pgMar w:left="240" w:top="364" w:right="239" w:bottom="0" w:gutter="0" w:footer="0" w:header="0"/>
          <w:type w:val="continuous"/>
        </w:sectPr>
      </w:pPr>
    </w:p>
    <w:bookmarkStart w:id="65" w:name="page66"/>
    <w:bookmarkEnd w:id="65"/>
    <w:p>
      <w:pPr>
        <w:ind w:left="660"/>
        <w:spacing w:after="0"/>
        <w:rPr>
          <w:sz w:val="20"/>
          <w:szCs w:val="20"/>
          <w:color w:val="auto"/>
        </w:rPr>
      </w:pPr>
      <w:r>
        <w:rPr>
          <w:rFonts w:ascii="Arial" w:cs="Arial" w:eastAsia="Arial" w:hAnsi="Arial"/>
          <w:sz w:val="16"/>
          <w:szCs w:val="16"/>
          <w:color w:val="auto"/>
        </w:rPr>
        <w:t>assessable (as such nonassessability may be limited by Sections 17-303, 17-607 and 17-804 of the Delaware LP Act or the Partnership Agreement).</w:t>
      </w:r>
    </w:p>
    <w:p>
      <w:pPr>
        <w:spacing w:after="0" w:line="248" w:lineRule="exact"/>
        <w:rPr>
          <w:sz w:val="20"/>
          <w:szCs w:val="20"/>
          <w:color w:val="auto"/>
        </w:rPr>
      </w:pPr>
    </w:p>
    <w:p>
      <w:pPr>
        <w:ind w:left="660" w:firstLine="645"/>
        <w:spacing w:after="0" w:line="269" w:lineRule="auto"/>
        <w:tabs>
          <w:tab w:leader="none" w:pos="1964"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jc w:val="both"/>
        <w:ind w:left="660" w:right="60" w:firstLine="645"/>
        <w:spacing w:after="0" w:line="264"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81" w:lineRule="exact"/>
        <w:rPr>
          <w:rFonts w:ascii="Arial" w:cs="Arial" w:eastAsia="Arial" w:hAnsi="Arial"/>
          <w:sz w:val="18"/>
          <w:szCs w:val="18"/>
          <w:color w:val="auto"/>
        </w:rPr>
      </w:pPr>
    </w:p>
    <w:p>
      <w:pPr>
        <w:ind w:left="660" w:right="360" w:firstLine="645"/>
        <w:spacing w:after="0" w:line="342" w:lineRule="auto"/>
        <w:tabs>
          <w:tab w:leader="none" w:pos="19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23" w:lineRule="exact"/>
        <w:rPr>
          <w:rFonts w:ascii="Arial" w:cs="Arial" w:eastAsia="Arial" w:hAnsi="Arial"/>
          <w:sz w:val="16"/>
          <w:szCs w:val="16"/>
          <w:color w:val="auto"/>
        </w:rPr>
      </w:pPr>
    </w:p>
    <w:p>
      <w:pPr>
        <w:ind w:left="660" w:right="80" w:firstLine="645"/>
        <w:spacing w:after="0" w:line="279" w:lineRule="auto"/>
        <w:tabs>
          <w:tab w:leader="none" w:pos="19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ind w:left="660" w:firstLine="645"/>
        <w:spacing w:after="0" w:line="259"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opinion is limited in all respects to U.S. federal laws, the laws of the State of New York, the Delaware LP Act and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 Delaware limited partnership,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common units representing limited partner interests in the Partnership, preferred units representing limited partner interests in the Partnership, and debt securities, which may be co-issued by PAA Finance Corp., consisting of senior debt securities or subordinated debt securities.</w:t>
      </w:r>
    </w:p>
    <w:p>
      <w:pPr>
        <w:spacing w:after="0" w:line="19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260" w:right="1540"/>
        <w:spacing w:after="0" w:line="266"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8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noncontrolling interests and income from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investees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 (1)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Total Fixed Charges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preferred unit distributions (2)(3)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Series B preferred unit distributions (2)(4)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Combined Fixed Charges and Preferred Unit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2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1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 (5)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2.25x</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2.80x</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RATIO OF EARNINGS TO COMBINED FIXED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CHARGES AND PREFERRED UNIT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DISTRIBUTIONS (2)(5)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2.00x</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1.96x</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1.86x</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53" w:lineRule="auto"/>
        <w:tabs>
          <w:tab w:leader="none" w:pos="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3" w:lineRule="exact"/>
        <w:rPr>
          <w:rFonts w:ascii="Arial" w:cs="Arial" w:eastAsia="Arial" w:hAnsi="Arial"/>
          <w:sz w:val="18"/>
          <w:szCs w:val="18"/>
          <w:color w:val="auto"/>
        </w:rPr>
      </w:pPr>
    </w:p>
    <w:p>
      <w:pPr>
        <w:ind w:left="340" w:right="180" w:hanging="332"/>
        <w:spacing w:after="0" w:line="250" w:lineRule="auto"/>
        <w:tabs>
          <w:tab w:leader="none" w:pos="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ind w:left="340" w:right="40" w:hanging="332"/>
        <w:spacing w:after="0" w:line="265" w:lineRule="auto"/>
        <w:tabs>
          <w:tab w:leader="none" w:pos="347"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Distributions on our Series A convertible preferred units (the “Series A preferred units”) were paid in additional Series A preferred units for the years ended December 31, 2017 and 2016.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ind w:left="340" w:right="40" w:hanging="332"/>
        <w:spacing w:after="0" w:line="250" w:lineRule="auto"/>
        <w:tabs>
          <w:tab w:leader="none" w:pos="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Distributions on our Series B perpetual preferred units accrue and are cumulative at a rate of 6.125% per year from October 10, 2017, the date of original issue, and are payable in cash semiannually.</w:t>
      </w: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Plains All American Pipeline, L.P. of our report dated February 26, 2018 relating to the financial statements, and the effectiveness of internal control over financial reporting, which appears in Plains All American Pipeline, L.P.’s Annual Report on Form 10-K for the year ended December 31, 2017.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364" w:right="23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00"/>
          </w:cols>
          <w:pgMar w:left="240" w:top="364"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Alejandro Hoyos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Greenway Plaza,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212-7576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76-0582150</w:t>
            </w: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56-2464313</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333 Clay Street, Suite 1600</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Houston, Texas</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87"/>
              </w:rPr>
              <w:t>77002</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4080" w:hanging="980"/>
        <w:spacing w:after="0" w:line="258" w:lineRule="auto"/>
        <w:tabs>
          <w:tab w:leader="none" w:pos="130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64" w:right="239" w:bottom="0" w:gutter="0" w:footer="0" w:header="0"/>
          <w:type w:val="continuous"/>
        </w:sectPr>
      </w:pPr>
    </w:p>
    <w:bookmarkStart w:id="70" w:name="page71"/>
    <w:bookmarkEnd w:id="70"/>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560" w:hanging="320"/>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2018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00" w:right="3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14th of September, 2018.</w:t>
      </w:r>
    </w:p>
    <w:p>
      <w:pPr>
        <w:spacing w:after="0" w:line="16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420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F0F0F"/>
        </w:rPr>
        <w:t xml:space="preserve">I, Joseph Otting, Comptroller </w:t>
      </w:r>
      <w:r>
        <w:rPr>
          <w:rFonts w:ascii="Arial" w:cs="Arial" w:eastAsia="Arial" w:hAnsi="Arial"/>
          <w:sz w:val="18"/>
          <w:szCs w:val="18"/>
          <w:color w:val="212121"/>
        </w:rPr>
        <w:t>of the Currency, do hereby certify th</w:t>
      </w:r>
      <w:r>
        <w:rPr>
          <w:rFonts w:ascii="Arial" w:cs="Arial" w:eastAsia="Arial" w:hAnsi="Arial"/>
          <w:sz w:val="18"/>
          <w:szCs w:val="18"/>
          <w:color w:val="3D3D3D"/>
        </w:rPr>
        <w:t>a</w:t>
      </w:r>
      <w:r>
        <w:rPr>
          <w:rFonts w:ascii="Arial" w:cs="Arial" w:eastAsia="Arial" w:hAnsi="Arial"/>
          <w:sz w:val="18"/>
          <w:szCs w:val="18"/>
          <w:color w:val="212121"/>
        </w:rPr>
        <w:t>t:</w:t>
      </w:r>
    </w:p>
    <w:p>
      <w:pPr>
        <w:spacing w:after="0" w:line="239" w:lineRule="exact"/>
        <w:rPr>
          <w:sz w:val="20"/>
          <w:szCs w:val="20"/>
          <w:color w:val="auto"/>
        </w:rPr>
      </w:pPr>
    </w:p>
    <w:p>
      <w:pPr>
        <w:ind w:right="300" w:firstLine="8"/>
        <w:spacing w:after="0" w:line="277" w:lineRule="auto"/>
        <w:tabs>
          <w:tab w:leader="none" w:pos="201" w:val="left"/>
        </w:tabs>
        <w:numPr>
          <w:ilvl w:val="0"/>
          <w:numId w:val="63"/>
        </w:numPr>
        <w:rPr>
          <w:rFonts w:ascii="Arial" w:cs="Arial" w:eastAsia="Arial" w:hAnsi="Arial"/>
          <w:sz w:val="18"/>
          <w:szCs w:val="18"/>
          <w:color w:val="0F0F0F"/>
        </w:rPr>
      </w:pPr>
      <w:r>
        <w:rPr>
          <w:rFonts w:ascii="Arial" w:cs="Arial" w:eastAsia="Arial" w:hAnsi="Arial"/>
          <w:sz w:val="18"/>
          <w:szCs w:val="18"/>
          <w:color w:val="0F0F0F"/>
        </w:rPr>
        <w:t xml:space="preserve">The </w:t>
      </w:r>
      <w:r>
        <w:rPr>
          <w:rFonts w:ascii="Arial" w:cs="Arial" w:eastAsia="Arial" w:hAnsi="Arial"/>
          <w:sz w:val="18"/>
          <w:szCs w:val="18"/>
          <w:color w:val="212121"/>
        </w:rPr>
        <w:t>Comptroller</w:t>
      </w:r>
      <w:r>
        <w:rPr>
          <w:rFonts w:ascii="Arial" w:cs="Arial" w:eastAsia="Arial" w:hAnsi="Arial"/>
          <w:sz w:val="18"/>
          <w:szCs w:val="18"/>
          <w:color w:val="0F0F0F"/>
        </w:rPr>
        <w:t xml:space="preserve"> of the </w:t>
      </w:r>
      <w:r>
        <w:rPr>
          <w:rFonts w:ascii="Arial" w:cs="Arial" w:eastAsia="Arial" w:hAnsi="Arial"/>
          <w:sz w:val="18"/>
          <w:szCs w:val="18"/>
          <w:color w:val="212121"/>
        </w:rPr>
        <w:t>Currency, pursuant to Revised Statutes 324, et seq</w:t>
      </w:r>
      <w:r>
        <w:rPr>
          <w:rFonts w:ascii="Arial" w:cs="Arial" w:eastAsia="Arial" w:hAnsi="Arial"/>
          <w:sz w:val="18"/>
          <w:szCs w:val="18"/>
          <w:color w:val="3D3D3D"/>
        </w:rPr>
        <w:t>,</w:t>
      </w:r>
      <w:r>
        <w:rPr>
          <w:rFonts w:ascii="Arial" w:cs="Arial" w:eastAsia="Arial" w:hAnsi="Arial"/>
          <w:sz w:val="18"/>
          <w:szCs w:val="18"/>
          <w:color w:val="0F0F0F"/>
        </w:rPr>
        <w:t xml:space="preserve"> </w:t>
      </w:r>
      <w:r>
        <w:rPr>
          <w:rFonts w:ascii="Arial" w:cs="Arial" w:eastAsia="Arial" w:hAnsi="Arial"/>
          <w:sz w:val="18"/>
          <w:szCs w:val="18"/>
          <w:color w:val="212121"/>
        </w:rPr>
        <w:t>as</w:t>
      </w:r>
      <w:r>
        <w:rPr>
          <w:rFonts w:ascii="Arial" w:cs="Arial" w:eastAsia="Arial" w:hAnsi="Arial"/>
          <w:sz w:val="18"/>
          <w:szCs w:val="18"/>
          <w:color w:val="0F0F0F"/>
        </w:rPr>
        <w:t xml:space="preserve"> amended, </w:t>
      </w:r>
      <w:r>
        <w:rPr>
          <w:rFonts w:ascii="Arial" w:cs="Arial" w:eastAsia="Arial" w:hAnsi="Arial"/>
          <w:sz w:val="18"/>
          <w:szCs w:val="18"/>
          <w:color w:val="212121"/>
        </w:rPr>
        <w:t>and 12 USC</w:t>
      </w:r>
      <w:r>
        <w:rPr>
          <w:rFonts w:ascii="Arial" w:cs="Arial" w:eastAsia="Arial" w:hAnsi="Arial"/>
          <w:sz w:val="18"/>
          <w:szCs w:val="18"/>
          <w:color w:val="0F0F0F"/>
        </w:rPr>
        <w:t xml:space="preserve"> 1, </w:t>
      </w:r>
      <w:r>
        <w:rPr>
          <w:rFonts w:ascii="Arial" w:cs="Arial" w:eastAsia="Arial" w:hAnsi="Arial"/>
          <w:sz w:val="18"/>
          <w:szCs w:val="18"/>
          <w:color w:val="212121"/>
        </w:rPr>
        <w:t>et seq, as</w:t>
      </w:r>
      <w:r>
        <w:rPr>
          <w:rFonts w:ascii="Arial" w:cs="Arial" w:eastAsia="Arial" w:hAnsi="Arial"/>
          <w:sz w:val="18"/>
          <w:szCs w:val="18"/>
          <w:color w:val="0F0F0F"/>
        </w:rPr>
        <w:t xml:space="preserve"> amended, has </w:t>
      </w:r>
      <w:r>
        <w:rPr>
          <w:rFonts w:ascii="Arial" w:cs="Arial" w:eastAsia="Arial" w:hAnsi="Arial"/>
          <w:sz w:val="18"/>
          <w:szCs w:val="18"/>
          <w:color w:val="212121"/>
        </w:rPr>
        <w:t>possession,</w:t>
      </w:r>
      <w:r>
        <w:rPr>
          <w:rFonts w:ascii="Arial" w:cs="Arial" w:eastAsia="Arial" w:hAnsi="Arial"/>
          <w:sz w:val="18"/>
          <w:szCs w:val="18"/>
          <w:color w:val="0F0F0F"/>
        </w:rPr>
        <w:t xml:space="preserve"> custody, </w:t>
      </w:r>
      <w:r>
        <w:rPr>
          <w:rFonts w:ascii="Arial" w:cs="Arial" w:eastAsia="Arial" w:hAnsi="Arial"/>
          <w:sz w:val="18"/>
          <w:szCs w:val="18"/>
          <w:color w:val="212121"/>
        </w:rPr>
        <w:t xml:space="preserve">and control </w:t>
      </w:r>
      <w:r>
        <w:rPr>
          <w:rFonts w:ascii="Arial" w:cs="Arial" w:eastAsia="Arial" w:hAnsi="Arial"/>
          <w:sz w:val="18"/>
          <w:szCs w:val="18"/>
          <w:color w:val="0F0F0F"/>
        </w:rPr>
        <w:t>of</w:t>
      </w:r>
      <w:r>
        <w:rPr>
          <w:rFonts w:ascii="Arial" w:cs="Arial" w:eastAsia="Arial" w:hAnsi="Arial"/>
          <w:sz w:val="18"/>
          <w:szCs w:val="18"/>
          <w:color w:val="212121"/>
        </w:rPr>
        <w:t xml:space="preserve"> all </w:t>
      </w:r>
      <w:r>
        <w:rPr>
          <w:rFonts w:ascii="Arial" w:cs="Arial" w:eastAsia="Arial" w:hAnsi="Arial"/>
          <w:sz w:val="18"/>
          <w:szCs w:val="18"/>
          <w:color w:val="0F0F0F"/>
        </w:rPr>
        <w:t>records</w:t>
      </w:r>
      <w:r>
        <w:rPr>
          <w:rFonts w:ascii="Arial" w:cs="Arial" w:eastAsia="Arial" w:hAnsi="Arial"/>
          <w:sz w:val="18"/>
          <w:szCs w:val="18"/>
          <w:color w:val="212121"/>
        </w:rPr>
        <w:t xml:space="preserve"> pertaining to </w:t>
      </w:r>
      <w:r>
        <w:rPr>
          <w:rFonts w:ascii="Arial" w:cs="Arial" w:eastAsia="Arial" w:hAnsi="Arial"/>
          <w:sz w:val="18"/>
          <w:szCs w:val="18"/>
          <w:color w:val="0F0F0F"/>
        </w:rPr>
        <w:t>the chartering, regulation,</w:t>
      </w:r>
      <w:r>
        <w:rPr>
          <w:rFonts w:ascii="Arial" w:cs="Arial" w:eastAsia="Arial" w:hAnsi="Arial"/>
          <w:sz w:val="18"/>
          <w:szCs w:val="18"/>
          <w:color w:val="212121"/>
        </w:rPr>
        <w:t xml:space="preserve"> and </w:t>
      </w:r>
      <w:r>
        <w:rPr>
          <w:rFonts w:ascii="Arial" w:cs="Arial" w:eastAsia="Arial" w:hAnsi="Arial"/>
          <w:sz w:val="18"/>
          <w:szCs w:val="18"/>
          <w:color w:val="0F0F0F"/>
        </w:rPr>
        <w:t>supervision of</w:t>
      </w:r>
      <w:r>
        <w:rPr>
          <w:rFonts w:ascii="Arial" w:cs="Arial" w:eastAsia="Arial" w:hAnsi="Arial"/>
          <w:sz w:val="18"/>
          <w:szCs w:val="18"/>
          <w:color w:val="212121"/>
        </w:rPr>
        <w:t xml:space="preserve"> all national </w:t>
      </w:r>
      <w:r>
        <w:rPr>
          <w:rFonts w:ascii="Arial" w:cs="Arial" w:eastAsia="Arial" w:hAnsi="Arial"/>
          <w:sz w:val="18"/>
          <w:szCs w:val="18"/>
          <w:color w:val="0F0F0F"/>
        </w:rPr>
        <w:t>banking</w:t>
      </w:r>
      <w:r>
        <w:rPr>
          <w:rFonts w:ascii="Arial" w:cs="Arial" w:eastAsia="Arial" w:hAnsi="Arial"/>
          <w:sz w:val="18"/>
          <w:szCs w:val="18"/>
          <w:color w:val="212121"/>
        </w:rPr>
        <w:t xml:space="preserve"> associations</w:t>
      </w:r>
      <w:r>
        <w:rPr>
          <w:rFonts w:ascii="Arial" w:cs="Arial" w:eastAsia="Arial" w:hAnsi="Arial"/>
          <w:sz w:val="18"/>
          <w:szCs w:val="18"/>
          <w:color w:val="4F4F4F"/>
        </w:rPr>
        <w: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0F0F0F"/>
        </w:rPr>
        <w:t>2. “</w:t>
      </w:r>
      <w:r>
        <w:rPr>
          <w:rFonts w:ascii="Arial" w:cs="Arial" w:eastAsia="Arial" w:hAnsi="Arial"/>
          <w:sz w:val="18"/>
          <w:szCs w:val="18"/>
          <w:color w:val="212121"/>
        </w:rPr>
        <w:t>U.S.</w:t>
      </w:r>
      <w:r>
        <w:rPr>
          <w:rFonts w:ascii="Arial" w:cs="Arial" w:eastAsia="Arial" w:hAnsi="Arial"/>
          <w:sz w:val="18"/>
          <w:szCs w:val="18"/>
          <w:color w:val="0F0F0F"/>
        </w:rPr>
        <w:t xml:space="preserve"> Bank National </w:t>
      </w:r>
      <w:r>
        <w:rPr>
          <w:rFonts w:ascii="Arial" w:cs="Arial" w:eastAsia="Arial" w:hAnsi="Arial"/>
          <w:sz w:val="18"/>
          <w:szCs w:val="18"/>
          <w:color w:val="212121"/>
        </w:rPr>
        <w:t>Association,” Cincinnati, Ohio (Charter No. 24),</w:t>
      </w:r>
      <w:r>
        <w:rPr>
          <w:rFonts w:ascii="Arial" w:cs="Arial" w:eastAsia="Arial" w:hAnsi="Arial"/>
          <w:sz w:val="18"/>
          <w:szCs w:val="18"/>
          <w:color w:val="0F0F0F"/>
        </w:rPr>
        <w:t xml:space="preserve"> is </w:t>
      </w:r>
      <w:r>
        <w:rPr>
          <w:rFonts w:ascii="Arial" w:cs="Arial" w:eastAsia="Arial" w:hAnsi="Arial"/>
          <w:sz w:val="18"/>
          <w:szCs w:val="18"/>
          <w:color w:val="212121"/>
        </w:rPr>
        <w:t>a</w:t>
      </w:r>
      <w:r>
        <w:rPr>
          <w:rFonts w:ascii="Arial" w:cs="Arial" w:eastAsia="Arial" w:hAnsi="Arial"/>
          <w:sz w:val="18"/>
          <w:szCs w:val="18"/>
          <w:color w:val="0F0F0F"/>
        </w:rPr>
        <w:t xml:space="preserve"> national banking </w:t>
      </w:r>
      <w:r>
        <w:rPr>
          <w:rFonts w:ascii="Arial" w:cs="Arial" w:eastAsia="Arial" w:hAnsi="Arial"/>
          <w:sz w:val="18"/>
          <w:szCs w:val="18"/>
          <w:color w:val="212121"/>
        </w:rPr>
        <w:t>association formed under</w:t>
      </w:r>
      <w:r>
        <w:rPr>
          <w:rFonts w:ascii="Arial" w:cs="Arial" w:eastAsia="Arial" w:hAnsi="Arial"/>
          <w:sz w:val="18"/>
          <w:szCs w:val="18"/>
          <w:color w:val="0F0F0F"/>
        </w:rPr>
        <w:t xml:space="preserve"> the laws of </w:t>
      </w:r>
      <w:r>
        <w:rPr>
          <w:rFonts w:ascii="Arial" w:cs="Arial" w:eastAsia="Arial" w:hAnsi="Arial"/>
          <w:sz w:val="18"/>
          <w:szCs w:val="18"/>
          <w:color w:val="212121"/>
        </w:rPr>
        <w:t>the United States and</w:t>
      </w:r>
      <w:r>
        <w:rPr>
          <w:rFonts w:ascii="Arial" w:cs="Arial" w:eastAsia="Arial" w:hAnsi="Arial"/>
          <w:sz w:val="18"/>
          <w:szCs w:val="18"/>
          <w:color w:val="0F0F0F"/>
        </w:rPr>
        <w:t xml:space="preserve"> is </w:t>
      </w:r>
      <w:r>
        <w:rPr>
          <w:rFonts w:ascii="Arial" w:cs="Arial" w:eastAsia="Arial" w:hAnsi="Arial"/>
          <w:sz w:val="18"/>
          <w:szCs w:val="18"/>
          <w:color w:val="212121"/>
        </w:rPr>
        <w:t>authorized thereunder</w:t>
      </w:r>
      <w:r>
        <w:rPr>
          <w:rFonts w:ascii="Arial" w:cs="Arial" w:eastAsia="Arial" w:hAnsi="Arial"/>
          <w:sz w:val="18"/>
          <w:szCs w:val="18"/>
          <w:color w:val="0F0F0F"/>
        </w:rPr>
        <w:t xml:space="preserve"> to transact the </w:t>
      </w:r>
      <w:r>
        <w:rPr>
          <w:rFonts w:ascii="Arial" w:cs="Arial" w:eastAsia="Arial" w:hAnsi="Arial"/>
          <w:sz w:val="18"/>
          <w:szCs w:val="18"/>
          <w:color w:val="212121"/>
        </w:rPr>
        <w:t>business of</w:t>
      </w:r>
      <w:r>
        <w:rPr>
          <w:rFonts w:ascii="Arial" w:cs="Arial" w:eastAsia="Arial" w:hAnsi="Arial"/>
          <w:sz w:val="18"/>
          <w:szCs w:val="18"/>
          <w:color w:val="0F0F0F"/>
        </w:rPr>
        <w:t xml:space="preserve"> banking </w:t>
      </w:r>
      <w:r>
        <w:rPr>
          <w:rFonts w:ascii="Arial" w:cs="Arial" w:eastAsia="Arial" w:hAnsi="Arial"/>
          <w:sz w:val="18"/>
          <w:szCs w:val="18"/>
          <w:color w:val="212121"/>
        </w:rPr>
        <w:t>on</w:t>
      </w:r>
      <w:r>
        <w:rPr>
          <w:rFonts w:ascii="Arial" w:cs="Arial" w:eastAsia="Arial" w:hAnsi="Arial"/>
          <w:sz w:val="18"/>
          <w:szCs w:val="18"/>
          <w:color w:val="0F0F0F"/>
        </w:rPr>
        <w:t xml:space="preserve"> the da</w:t>
      </w:r>
      <w:r>
        <w:rPr>
          <w:rFonts w:ascii="Arial" w:cs="Arial" w:eastAsia="Arial" w:hAnsi="Arial"/>
          <w:sz w:val="18"/>
          <w:szCs w:val="18"/>
          <w:color w:val="3D3D3D"/>
        </w:rPr>
        <w:t>t</w:t>
      </w:r>
      <w:r>
        <w:rPr>
          <w:rFonts w:ascii="Arial" w:cs="Arial" w:eastAsia="Arial" w:hAnsi="Arial"/>
          <w:sz w:val="18"/>
          <w:szCs w:val="18"/>
          <w:color w:val="212121"/>
        </w:rPr>
        <w:t>e of</w:t>
      </w:r>
      <w:r>
        <w:rPr>
          <w:rFonts w:ascii="Arial" w:cs="Arial" w:eastAsia="Arial" w:hAnsi="Arial"/>
          <w:sz w:val="18"/>
          <w:szCs w:val="18"/>
          <w:color w:val="0F0F0F"/>
        </w:rPr>
        <w:t xml:space="preserve"> this c</w:t>
      </w:r>
      <w:r>
        <w:rPr>
          <w:rFonts w:ascii="Arial" w:cs="Arial" w:eastAsia="Arial" w:hAnsi="Arial"/>
          <w:sz w:val="18"/>
          <w:szCs w:val="18"/>
          <w:color w:val="3D3D3D"/>
        </w:rPr>
        <w:t>e</w:t>
      </w:r>
      <w:r>
        <w:rPr>
          <w:rFonts w:ascii="Arial" w:cs="Arial" w:eastAsia="Arial" w:hAnsi="Arial"/>
          <w:sz w:val="18"/>
          <w:szCs w:val="18"/>
          <w:color w:val="212121"/>
        </w:rPr>
        <w:t>rtificate.</w:t>
      </w:r>
    </w:p>
    <w:p>
      <w:pPr>
        <w:spacing w:after="0" w:line="170" w:lineRule="exact"/>
        <w:rPr>
          <w:sz w:val="20"/>
          <w:szCs w:val="20"/>
          <w:color w:val="auto"/>
        </w:rPr>
      </w:pPr>
    </w:p>
    <w:p>
      <w:pPr>
        <w:ind w:left="5960" w:right="40"/>
        <w:spacing w:after="0" w:line="259" w:lineRule="auto"/>
        <w:rPr>
          <w:sz w:val="20"/>
          <w:szCs w:val="20"/>
          <w:color w:val="auto"/>
        </w:rPr>
      </w:pPr>
      <w:r>
        <w:rPr>
          <w:rFonts w:ascii="Arial" w:cs="Arial" w:eastAsia="Arial" w:hAnsi="Arial"/>
          <w:sz w:val="18"/>
          <w:szCs w:val="18"/>
          <w:color w:val="auto"/>
        </w:rPr>
        <w:t>IN TESTIMONY WHEREOF, today, May 8,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1397635" cy="14751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397635" cy="1475105"/>
                    </a:xfrm>
                    <a:prstGeom prst="rect">
                      <a:avLst/>
                    </a:prstGeom>
                    <a:noFill/>
                  </pic:spPr>
                </pic:pic>
              </a:graphicData>
            </a:graphic>
          </wp:anchor>
        </w:drawing>
      </w:r>
    </w:p>
    <w:p>
      <w:pPr>
        <w:spacing w:after="0" w:line="38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Joseph Otting</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ectPr>
          <w:pgSz w:w="11900" w:h="16838" w:orient="portrait"/>
          <w:cols w:equalWidth="0" w:num="1">
            <w:col w:w="11420"/>
          </w:cols>
          <w:pgMar w:left="240" w:top="121" w:right="239" w:bottom="131" w:gutter="0" w:footer="0" w:header="0"/>
        </w:sectPr>
      </w:pPr>
    </w:p>
    <w:bookmarkStart w:id="71" w:name="page72"/>
    <w:bookmarkEnd w:id="71"/>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420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28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20"/>
        <w:spacing w:after="0" w:line="264" w:lineRule="auto"/>
        <w:tabs>
          <w:tab w:leader="none" w:pos="1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w:t>
      </w:r>
      <w:r>
        <w:rPr>
          <w:rFonts w:ascii="Arial" w:cs="Arial" w:eastAsia="Arial" w:hAnsi="Arial"/>
          <w:sz w:val="17"/>
          <w:szCs w:val="17"/>
          <w:color w:val="auto"/>
        </w:rPr>
        <w:t>full</w:t>
      </w:r>
      <w:r>
        <w:rPr>
          <w:rFonts w:ascii="Arial" w:cs="Arial" w:eastAsia="Arial" w:hAnsi="Arial"/>
          <w:sz w:val="18"/>
          <w:szCs w:val="18"/>
          <w:color w:val="auto"/>
        </w:rPr>
        <w:t xml:space="preserve"> force and effect on the date of this certificate.</w:t>
      </w:r>
    </w:p>
    <w:p>
      <w:pPr>
        <w:spacing w:after="0" w:line="181" w:lineRule="exact"/>
        <w:rPr>
          <w:sz w:val="20"/>
          <w:szCs w:val="20"/>
          <w:color w:val="auto"/>
        </w:rPr>
      </w:pPr>
    </w:p>
    <w:p>
      <w:pPr>
        <w:ind w:left="5960" w:right="40"/>
        <w:spacing w:after="0" w:line="259" w:lineRule="auto"/>
        <w:rPr>
          <w:sz w:val="20"/>
          <w:szCs w:val="20"/>
          <w:color w:val="auto"/>
        </w:rPr>
      </w:pPr>
      <w:r>
        <w:rPr>
          <w:rFonts w:ascii="Arial" w:cs="Arial" w:eastAsia="Arial" w:hAnsi="Arial"/>
          <w:sz w:val="18"/>
          <w:szCs w:val="18"/>
          <w:color w:val="auto"/>
        </w:rPr>
        <w:t>IN TESTIMONY WHEREOF, today, May 8,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1397635" cy="14751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397635" cy="1475105"/>
                    </a:xfrm>
                    <a:prstGeom prst="rect">
                      <a:avLst/>
                    </a:prstGeom>
                    <a:noFill/>
                  </pic:spPr>
                </pic:pic>
              </a:graphicData>
            </a:graphic>
          </wp:anchor>
        </w:drawing>
      </w:r>
    </w:p>
    <w:p>
      <w:pPr>
        <w:spacing w:after="0" w:line="38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Joseph Otting</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2018</w:t>
      </w:r>
    </w:p>
    <w:p>
      <w:pPr>
        <w:spacing w:after="0" w:line="225"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3"/>
              </w:rPr>
              <w:t>Exhibit 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89"/>
              </w:rPr>
              <w:t>U.S. Bank National Association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91"/>
              </w:rPr>
              <w:t>Statement of Financial Condition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6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90"/>
              </w:rPr>
              <w:t>As of 6/30/2018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18,933,741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279,066,037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26,714,957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453,023,045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350,952,197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34,319,863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Acceptances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405,226,423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1" w:orient="portrait"/>
          <w:cols w:equalWidth="0" w:num="1">
            <w:col w:w="11420"/>
          </w:cols>
          <w:pgMar w:left="240" w:top="125"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Surplus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800,078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47,796,622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453,023,045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364" w:right="23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00"/>
          </w:cols>
          <w:pgMar w:left="240" w:top="364"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Alejandro Hoyos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Greenway Plaza,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212-7576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76-0582150</w:t>
            </w: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56-2464313</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333 Clay Street, Suite 1600</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Houston, Texas</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87"/>
              </w:rPr>
              <w:t>77002</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Subordinated Debt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940" w:hanging="980"/>
        <w:spacing w:after="0" w:line="258" w:lineRule="auto"/>
        <w:tabs>
          <w:tab w:leader="none" w:pos="1438"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64" w:right="239" w:bottom="0" w:gutter="0" w:footer="0" w:header="0"/>
          <w:type w:val="continuous"/>
        </w:sectPr>
      </w:pPr>
    </w:p>
    <w:bookmarkStart w:id="74" w:name="page75"/>
    <w:bookmarkEnd w:id="74"/>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620" w:right="240" w:hanging="640"/>
        <w:spacing w:after="0" w:line="277"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2018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00" w:right="3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14th of September, 2018.</w:t>
      </w:r>
    </w:p>
    <w:p>
      <w:pPr>
        <w:spacing w:after="0" w:line="166"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F0F0F"/>
        </w:rPr>
        <w:t xml:space="preserve">I, Joseph Otting, Comptroller </w:t>
      </w:r>
      <w:r>
        <w:rPr>
          <w:rFonts w:ascii="Arial" w:cs="Arial" w:eastAsia="Arial" w:hAnsi="Arial"/>
          <w:sz w:val="18"/>
          <w:szCs w:val="18"/>
          <w:color w:val="212121"/>
        </w:rPr>
        <w:t>of the Currency, do hereby certify th</w:t>
      </w:r>
      <w:r>
        <w:rPr>
          <w:rFonts w:ascii="Arial" w:cs="Arial" w:eastAsia="Arial" w:hAnsi="Arial"/>
          <w:sz w:val="18"/>
          <w:szCs w:val="18"/>
          <w:color w:val="3D3D3D"/>
        </w:rPr>
        <w:t>a</w:t>
      </w:r>
      <w:r>
        <w:rPr>
          <w:rFonts w:ascii="Arial" w:cs="Arial" w:eastAsia="Arial" w:hAnsi="Arial"/>
          <w:sz w:val="18"/>
          <w:szCs w:val="18"/>
          <w:color w:val="212121"/>
        </w:rPr>
        <w:t>t:</w:t>
      </w:r>
    </w:p>
    <w:p>
      <w:pPr>
        <w:spacing w:after="0" w:line="239" w:lineRule="exact"/>
        <w:rPr>
          <w:sz w:val="20"/>
          <w:szCs w:val="20"/>
          <w:color w:val="auto"/>
        </w:rPr>
      </w:pPr>
    </w:p>
    <w:p>
      <w:pPr>
        <w:ind w:right="300" w:firstLine="8"/>
        <w:spacing w:after="0" w:line="277" w:lineRule="auto"/>
        <w:tabs>
          <w:tab w:leader="none" w:pos="201" w:val="left"/>
        </w:tabs>
        <w:numPr>
          <w:ilvl w:val="0"/>
          <w:numId w:val="68"/>
        </w:numPr>
        <w:rPr>
          <w:rFonts w:ascii="Arial" w:cs="Arial" w:eastAsia="Arial" w:hAnsi="Arial"/>
          <w:sz w:val="18"/>
          <w:szCs w:val="18"/>
          <w:color w:val="0F0F0F"/>
        </w:rPr>
      </w:pPr>
      <w:r>
        <w:rPr>
          <w:rFonts w:ascii="Arial" w:cs="Arial" w:eastAsia="Arial" w:hAnsi="Arial"/>
          <w:sz w:val="18"/>
          <w:szCs w:val="18"/>
          <w:color w:val="0F0F0F"/>
        </w:rPr>
        <w:t xml:space="preserve">The </w:t>
      </w:r>
      <w:r>
        <w:rPr>
          <w:rFonts w:ascii="Arial" w:cs="Arial" w:eastAsia="Arial" w:hAnsi="Arial"/>
          <w:sz w:val="18"/>
          <w:szCs w:val="18"/>
          <w:color w:val="212121"/>
        </w:rPr>
        <w:t>Comptroller</w:t>
      </w:r>
      <w:r>
        <w:rPr>
          <w:rFonts w:ascii="Arial" w:cs="Arial" w:eastAsia="Arial" w:hAnsi="Arial"/>
          <w:sz w:val="18"/>
          <w:szCs w:val="18"/>
          <w:color w:val="0F0F0F"/>
        </w:rPr>
        <w:t xml:space="preserve"> of the </w:t>
      </w:r>
      <w:r>
        <w:rPr>
          <w:rFonts w:ascii="Arial" w:cs="Arial" w:eastAsia="Arial" w:hAnsi="Arial"/>
          <w:sz w:val="18"/>
          <w:szCs w:val="18"/>
          <w:color w:val="212121"/>
        </w:rPr>
        <w:t>Currency, pursuant to Revised Statutes 324, et seq</w:t>
      </w:r>
      <w:r>
        <w:rPr>
          <w:rFonts w:ascii="Arial" w:cs="Arial" w:eastAsia="Arial" w:hAnsi="Arial"/>
          <w:sz w:val="18"/>
          <w:szCs w:val="18"/>
          <w:color w:val="3D3D3D"/>
        </w:rPr>
        <w:t>,</w:t>
      </w:r>
      <w:r>
        <w:rPr>
          <w:rFonts w:ascii="Arial" w:cs="Arial" w:eastAsia="Arial" w:hAnsi="Arial"/>
          <w:sz w:val="18"/>
          <w:szCs w:val="18"/>
          <w:color w:val="0F0F0F"/>
        </w:rPr>
        <w:t xml:space="preserve"> </w:t>
      </w:r>
      <w:r>
        <w:rPr>
          <w:rFonts w:ascii="Arial" w:cs="Arial" w:eastAsia="Arial" w:hAnsi="Arial"/>
          <w:sz w:val="18"/>
          <w:szCs w:val="18"/>
          <w:color w:val="212121"/>
        </w:rPr>
        <w:t>as</w:t>
      </w:r>
      <w:r>
        <w:rPr>
          <w:rFonts w:ascii="Arial" w:cs="Arial" w:eastAsia="Arial" w:hAnsi="Arial"/>
          <w:sz w:val="18"/>
          <w:szCs w:val="18"/>
          <w:color w:val="0F0F0F"/>
        </w:rPr>
        <w:t xml:space="preserve"> amended, </w:t>
      </w:r>
      <w:r>
        <w:rPr>
          <w:rFonts w:ascii="Arial" w:cs="Arial" w:eastAsia="Arial" w:hAnsi="Arial"/>
          <w:sz w:val="18"/>
          <w:szCs w:val="18"/>
          <w:color w:val="212121"/>
        </w:rPr>
        <w:t>and 12 USC</w:t>
      </w:r>
      <w:r>
        <w:rPr>
          <w:rFonts w:ascii="Arial" w:cs="Arial" w:eastAsia="Arial" w:hAnsi="Arial"/>
          <w:sz w:val="18"/>
          <w:szCs w:val="18"/>
          <w:color w:val="0F0F0F"/>
        </w:rPr>
        <w:t xml:space="preserve"> 1, </w:t>
      </w:r>
      <w:r>
        <w:rPr>
          <w:rFonts w:ascii="Arial" w:cs="Arial" w:eastAsia="Arial" w:hAnsi="Arial"/>
          <w:sz w:val="18"/>
          <w:szCs w:val="18"/>
          <w:color w:val="212121"/>
        </w:rPr>
        <w:t>et seq, as</w:t>
      </w:r>
      <w:r>
        <w:rPr>
          <w:rFonts w:ascii="Arial" w:cs="Arial" w:eastAsia="Arial" w:hAnsi="Arial"/>
          <w:sz w:val="18"/>
          <w:szCs w:val="18"/>
          <w:color w:val="0F0F0F"/>
        </w:rPr>
        <w:t xml:space="preserve"> amended, has </w:t>
      </w:r>
      <w:r>
        <w:rPr>
          <w:rFonts w:ascii="Arial" w:cs="Arial" w:eastAsia="Arial" w:hAnsi="Arial"/>
          <w:sz w:val="18"/>
          <w:szCs w:val="18"/>
          <w:color w:val="212121"/>
        </w:rPr>
        <w:t>possession,</w:t>
      </w:r>
      <w:r>
        <w:rPr>
          <w:rFonts w:ascii="Arial" w:cs="Arial" w:eastAsia="Arial" w:hAnsi="Arial"/>
          <w:sz w:val="18"/>
          <w:szCs w:val="18"/>
          <w:color w:val="0F0F0F"/>
        </w:rPr>
        <w:t xml:space="preserve"> custody, </w:t>
      </w:r>
      <w:r>
        <w:rPr>
          <w:rFonts w:ascii="Arial" w:cs="Arial" w:eastAsia="Arial" w:hAnsi="Arial"/>
          <w:sz w:val="18"/>
          <w:szCs w:val="18"/>
          <w:color w:val="212121"/>
        </w:rPr>
        <w:t xml:space="preserve">and control </w:t>
      </w:r>
      <w:r>
        <w:rPr>
          <w:rFonts w:ascii="Arial" w:cs="Arial" w:eastAsia="Arial" w:hAnsi="Arial"/>
          <w:sz w:val="18"/>
          <w:szCs w:val="18"/>
          <w:color w:val="0F0F0F"/>
        </w:rPr>
        <w:t>of</w:t>
      </w:r>
      <w:r>
        <w:rPr>
          <w:rFonts w:ascii="Arial" w:cs="Arial" w:eastAsia="Arial" w:hAnsi="Arial"/>
          <w:sz w:val="18"/>
          <w:szCs w:val="18"/>
          <w:color w:val="212121"/>
        </w:rPr>
        <w:t xml:space="preserve"> all </w:t>
      </w:r>
      <w:r>
        <w:rPr>
          <w:rFonts w:ascii="Arial" w:cs="Arial" w:eastAsia="Arial" w:hAnsi="Arial"/>
          <w:sz w:val="18"/>
          <w:szCs w:val="18"/>
          <w:color w:val="0F0F0F"/>
        </w:rPr>
        <w:t>records</w:t>
      </w:r>
      <w:r>
        <w:rPr>
          <w:rFonts w:ascii="Arial" w:cs="Arial" w:eastAsia="Arial" w:hAnsi="Arial"/>
          <w:sz w:val="18"/>
          <w:szCs w:val="18"/>
          <w:color w:val="212121"/>
        </w:rPr>
        <w:t xml:space="preserve"> pertaining to </w:t>
      </w:r>
      <w:r>
        <w:rPr>
          <w:rFonts w:ascii="Arial" w:cs="Arial" w:eastAsia="Arial" w:hAnsi="Arial"/>
          <w:sz w:val="18"/>
          <w:szCs w:val="18"/>
          <w:color w:val="0F0F0F"/>
        </w:rPr>
        <w:t>the chartering, regulation,</w:t>
      </w:r>
      <w:r>
        <w:rPr>
          <w:rFonts w:ascii="Arial" w:cs="Arial" w:eastAsia="Arial" w:hAnsi="Arial"/>
          <w:sz w:val="18"/>
          <w:szCs w:val="18"/>
          <w:color w:val="212121"/>
        </w:rPr>
        <w:t xml:space="preserve"> and </w:t>
      </w:r>
      <w:r>
        <w:rPr>
          <w:rFonts w:ascii="Arial" w:cs="Arial" w:eastAsia="Arial" w:hAnsi="Arial"/>
          <w:sz w:val="18"/>
          <w:szCs w:val="18"/>
          <w:color w:val="0F0F0F"/>
        </w:rPr>
        <w:t>supervision of</w:t>
      </w:r>
      <w:r>
        <w:rPr>
          <w:rFonts w:ascii="Arial" w:cs="Arial" w:eastAsia="Arial" w:hAnsi="Arial"/>
          <w:sz w:val="18"/>
          <w:szCs w:val="18"/>
          <w:color w:val="212121"/>
        </w:rPr>
        <w:t xml:space="preserve"> all national </w:t>
      </w:r>
      <w:r>
        <w:rPr>
          <w:rFonts w:ascii="Arial" w:cs="Arial" w:eastAsia="Arial" w:hAnsi="Arial"/>
          <w:sz w:val="18"/>
          <w:szCs w:val="18"/>
          <w:color w:val="0F0F0F"/>
        </w:rPr>
        <w:t>banking</w:t>
      </w:r>
      <w:r>
        <w:rPr>
          <w:rFonts w:ascii="Arial" w:cs="Arial" w:eastAsia="Arial" w:hAnsi="Arial"/>
          <w:sz w:val="18"/>
          <w:szCs w:val="18"/>
          <w:color w:val="212121"/>
        </w:rPr>
        <w:t xml:space="preserve"> associations</w:t>
      </w:r>
      <w:r>
        <w:rPr>
          <w:rFonts w:ascii="Arial" w:cs="Arial" w:eastAsia="Arial" w:hAnsi="Arial"/>
          <w:sz w:val="18"/>
          <w:szCs w:val="18"/>
          <w:color w:val="4F4F4F"/>
        </w:rPr>
        <w: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0F0F0F"/>
        </w:rPr>
        <w:t xml:space="preserve">2. </w:t>
      </w:r>
      <w:r>
        <w:rPr>
          <w:rFonts w:ascii="Arial" w:cs="Arial" w:eastAsia="Arial" w:hAnsi="Arial"/>
          <w:sz w:val="18"/>
          <w:szCs w:val="18"/>
          <w:color w:val="212121"/>
        </w:rPr>
        <w:t>“U.S.</w:t>
      </w:r>
      <w:r>
        <w:rPr>
          <w:rFonts w:ascii="Arial" w:cs="Arial" w:eastAsia="Arial" w:hAnsi="Arial"/>
          <w:sz w:val="18"/>
          <w:szCs w:val="18"/>
          <w:color w:val="0F0F0F"/>
        </w:rPr>
        <w:t xml:space="preserve"> Bank National </w:t>
      </w:r>
      <w:r>
        <w:rPr>
          <w:rFonts w:ascii="Arial" w:cs="Arial" w:eastAsia="Arial" w:hAnsi="Arial"/>
          <w:sz w:val="18"/>
          <w:szCs w:val="18"/>
          <w:color w:val="212121"/>
        </w:rPr>
        <w:t>Association,” Cincinnati, Ohio (Charter No. 24),</w:t>
      </w:r>
      <w:r>
        <w:rPr>
          <w:rFonts w:ascii="Arial" w:cs="Arial" w:eastAsia="Arial" w:hAnsi="Arial"/>
          <w:sz w:val="18"/>
          <w:szCs w:val="18"/>
          <w:color w:val="0F0F0F"/>
        </w:rPr>
        <w:t xml:space="preserve"> is </w:t>
      </w:r>
      <w:r>
        <w:rPr>
          <w:rFonts w:ascii="Arial" w:cs="Arial" w:eastAsia="Arial" w:hAnsi="Arial"/>
          <w:sz w:val="18"/>
          <w:szCs w:val="18"/>
          <w:color w:val="212121"/>
        </w:rPr>
        <w:t>a</w:t>
      </w:r>
      <w:r>
        <w:rPr>
          <w:rFonts w:ascii="Arial" w:cs="Arial" w:eastAsia="Arial" w:hAnsi="Arial"/>
          <w:sz w:val="18"/>
          <w:szCs w:val="18"/>
          <w:color w:val="0F0F0F"/>
        </w:rPr>
        <w:t xml:space="preserve"> national banking </w:t>
      </w:r>
      <w:r>
        <w:rPr>
          <w:rFonts w:ascii="Arial" w:cs="Arial" w:eastAsia="Arial" w:hAnsi="Arial"/>
          <w:sz w:val="18"/>
          <w:szCs w:val="18"/>
          <w:color w:val="212121"/>
        </w:rPr>
        <w:t>association formed under</w:t>
      </w:r>
      <w:r>
        <w:rPr>
          <w:rFonts w:ascii="Arial" w:cs="Arial" w:eastAsia="Arial" w:hAnsi="Arial"/>
          <w:sz w:val="18"/>
          <w:szCs w:val="18"/>
          <w:color w:val="0F0F0F"/>
        </w:rPr>
        <w:t xml:space="preserve"> the laws of </w:t>
      </w:r>
      <w:r>
        <w:rPr>
          <w:rFonts w:ascii="Arial" w:cs="Arial" w:eastAsia="Arial" w:hAnsi="Arial"/>
          <w:sz w:val="18"/>
          <w:szCs w:val="18"/>
          <w:color w:val="212121"/>
        </w:rPr>
        <w:t>the United States and</w:t>
      </w:r>
      <w:r>
        <w:rPr>
          <w:rFonts w:ascii="Arial" w:cs="Arial" w:eastAsia="Arial" w:hAnsi="Arial"/>
          <w:sz w:val="18"/>
          <w:szCs w:val="18"/>
          <w:color w:val="0F0F0F"/>
        </w:rPr>
        <w:t xml:space="preserve"> is </w:t>
      </w:r>
      <w:r>
        <w:rPr>
          <w:rFonts w:ascii="Arial" w:cs="Arial" w:eastAsia="Arial" w:hAnsi="Arial"/>
          <w:sz w:val="18"/>
          <w:szCs w:val="18"/>
          <w:color w:val="212121"/>
        </w:rPr>
        <w:t>authorized thereunder</w:t>
      </w:r>
      <w:r>
        <w:rPr>
          <w:rFonts w:ascii="Arial" w:cs="Arial" w:eastAsia="Arial" w:hAnsi="Arial"/>
          <w:sz w:val="18"/>
          <w:szCs w:val="18"/>
          <w:color w:val="0F0F0F"/>
        </w:rPr>
        <w:t xml:space="preserve"> to transact the </w:t>
      </w:r>
      <w:r>
        <w:rPr>
          <w:rFonts w:ascii="Arial" w:cs="Arial" w:eastAsia="Arial" w:hAnsi="Arial"/>
          <w:sz w:val="18"/>
          <w:szCs w:val="18"/>
          <w:color w:val="212121"/>
        </w:rPr>
        <w:t>business of</w:t>
      </w:r>
      <w:r>
        <w:rPr>
          <w:rFonts w:ascii="Arial" w:cs="Arial" w:eastAsia="Arial" w:hAnsi="Arial"/>
          <w:sz w:val="18"/>
          <w:szCs w:val="18"/>
          <w:color w:val="0F0F0F"/>
        </w:rPr>
        <w:t xml:space="preserve"> banking </w:t>
      </w:r>
      <w:r>
        <w:rPr>
          <w:rFonts w:ascii="Arial" w:cs="Arial" w:eastAsia="Arial" w:hAnsi="Arial"/>
          <w:sz w:val="18"/>
          <w:szCs w:val="18"/>
          <w:color w:val="212121"/>
        </w:rPr>
        <w:t>on</w:t>
      </w:r>
      <w:r>
        <w:rPr>
          <w:rFonts w:ascii="Arial" w:cs="Arial" w:eastAsia="Arial" w:hAnsi="Arial"/>
          <w:sz w:val="18"/>
          <w:szCs w:val="18"/>
          <w:color w:val="0F0F0F"/>
        </w:rPr>
        <w:t xml:space="preserve"> the da</w:t>
      </w:r>
      <w:r>
        <w:rPr>
          <w:rFonts w:ascii="Arial" w:cs="Arial" w:eastAsia="Arial" w:hAnsi="Arial"/>
          <w:sz w:val="18"/>
          <w:szCs w:val="18"/>
          <w:color w:val="3D3D3D"/>
        </w:rPr>
        <w:t>t</w:t>
      </w:r>
      <w:r>
        <w:rPr>
          <w:rFonts w:ascii="Arial" w:cs="Arial" w:eastAsia="Arial" w:hAnsi="Arial"/>
          <w:sz w:val="18"/>
          <w:szCs w:val="18"/>
          <w:color w:val="212121"/>
        </w:rPr>
        <w:t>e of</w:t>
      </w:r>
      <w:r>
        <w:rPr>
          <w:rFonts w:ascii="Arial" w:cs="Arial" w:eastAsia="Arial" w:hAnsi="Arial"/>
          <w:sz w:val="18"/>
          <w:szCs w:val="18"/>
          <w:color w:val="0F0F0F"/>
        </w:rPr>
        <w:t xml:space="preserve"> this c</w:t>
      </w:r>
      <w:r>
        <w:rPr>
          <w:rFonts w:ascii="Arial" w:cs="Arial" w:eastAsia="Arial" w:hAnsi="Arial"/>
          <w:sz w:val="18"/>
          <w:szCs w:val="18"/>
          <w:color w:val="3D3D3D"/>
        </w:rPr>
        <w:t>e</w:t>
      </w:r>
      <w:r>
        <w:rPr>
          <w:rFonts w:ascii="Arial" w:cs="Arial" w:eastAsia="Arial" w:hAnsi="Arial"/>
          <w:sz w:val="18"/>
          <w:szCs w:val="18"/>
          <w:color w:val="212121"/>
        </w:rPr>
        <w:t>rtificate.</w:t>
      </w:r>
    </w:p>
    <w:p>
      <w:pPr>
        <w:spacing w:after="0" w:line="170" w:lineRule="exact"/>
        <w:rPr>
          <w:sz w:val="20"/>
          <w:szCs w:val="20"/>
          <w:color w:val="auto"/>
        </w:rPr>
      </w:pPr>
    </w:p>
    <w:p>
      <w:pPr>
        <w:ind w:left="5960" w:right="40"/>
        <w:spacing w:after="0" w:line="259" w:lineRule="auto"/>
        <w:rPr>
          <w:sz w:val="20"/>
          <w:szCs w:val="20"/>
          <w:color w:val="auto"/>
        </w:rPr>
      </w:pPr>
      <w:r>
        <w:rPr>
          <w:rFonts w:ascii="Arial" w:cs="Arial" w:eastAsia="Arial" w:hAnsi="Arial"/>
          <w:sz w:val="18"/>
          <w:szCs w:val="18"/>
          <w:color w:val="auto"/>
        </w:rPr>
        <w:t>IN TESTIMONY WHEREOF, today, May 8,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1397635" cy="14751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397635" cy="1475105"/>
                    </a:xfrm>
                    <a:prstGeom prst="rect">
                      <a:avLst/>
                    </a:prstGeom>
                    <a:noFill/>
                  </pic:spPr>
                </pic:pic>
              </a:graphicData>
            </a:graphic>
          </wp:anchor>
        </w:drawing>
      </w:r>
    </w:p>
    <w:p>
      <w:pPr>
        <w:spacing w:after="0" w:line="38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Joseph Otting</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ectPr>
          <w:pgSz w:w="11900" w:h="16838" w:orient="portrait"/>
          <w:cols w:equalWidth="0" w:num="1">
            <w:col w:w="11420"/>
          </w:cols>
          <w:pgMar w:left="240" w:top="121" w:right="239" w:bottom="131" w:gutter="0" w:footer="0" w:header="0"/>
        </w:sectPr>
      </w:pPr>
    </w:p>
    <w:bookmarkStart w:id="75" w:name="page76"/>
    <w:bookmarkEnd w:id="75"/>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420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28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20"/>
        <w:spacing w:after="0" w:line="264" w:lineRule="auto"/>
        <w:tabs>
          <w:tab w:leader="none" w:pos="1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w:t>
      </w:r>
      <w:r>
        <w:rPr>
          <w:rFonts w:ascii="Arial" w:cs="Arial" w:eastAsia="Arial" w:hAnsi="Arial"/>
          <w:sz w:val="17"/>
          <w:szCs w:val="17"/>
          <w:color w:val="auto"/>
        </w:rPr>
        <w:t>full</w:t>
      </w:r>
      <w:r>
        <w:rPr>
          <w:rFonts w:ascii="Arial" w:cs="Arial" w:eastAsia="Arial" w:hAnsi="Arial"/>
          <w:sz w:val="18"/>
          <w:szCs w:val="18"/>
          <w:color w:val="auto"/>
        </w:rPr>
        <w:t xml:space="preserve"> force and effect on the date of this certificate.</w:t>
      </w:r>
    </w:p>
    <w:p>
      <w:pPr>
        <w:spacing w:after="0" w:line="181" w:lineRule="exact"/>
        <w:rPr>
          <w:sz w:val="20"/>
          <w:szCs w:val="20"/>
          <w:color w:val="auto"/>
        </w:rPr>
      </w:pPr>
    </w:p>
    <w:p>
      <w:pPr>
        <w:ind w:left="5960" w:right="40"/>
        <w:spacing w:after="0" w:line="259" w:lineRule="auto"/>
        <w:rPr>
          <w:sz w:val="20"/>
          <w:szCs w:val="20"/>
          <w:color w:val="auto"/>
        </w:rPr>
      </w:pPr>
      <w:r>
        <w:rPr>
          <w:rFonts w:ascii="Arial" w:cs="Arial" w:eastAsia="Arial" w:hAnsi="Arial"/>
          <w:sz w:val="18"/>
          <w:szCs w:val="18"/>
          <w:color w:val="auto"/>
        </w:rPr>
        <w:t>IN TESTIMONY WHEREOF, today, May 8,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1397635" cy="1475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397635" cy="1475105"/>
                    </a:xfrm>
                    <a:prstGeom prst="rect">
                      <a:avLst/>
                    </a:prstGeom>
                    <a:noFill/>
                  </pic:spPr>
                </pic:pic>
              </a:graphicData>
            </a:graphic>
          </wp:anchor>
        </w:drawing>
      </w:r>
    </w:p>
    <w:p>
      <w:pPr>
        <w:spacing w:after="0" w:line="38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Joseph Otting</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2018</w:t>
      </w:r>
    </w:p>
    <w:p>
      <w:pPr>
        <w:spacing w:after="0" w:line="225" w:lineRule="exact"/>
        <w:rPr>
          <w:sz w:val="20"/>
          <w:szCs w:val="20"/>
          <w:color w:val="auto"/>
        </w:rPr>
      </w:pPr>
    </w:p>
    <w:p>
      <w:pPr>
        <w:ind w:left="6100"/>
        <w:spacing w:after="0"/>
        <w:tabs>
          <w:tab w:leader="none" w:pos="65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-130810</wp:posOffset>
            </wp:positionV>
            <wp:extent cx="30784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3"/>
              </w:rPr>
              <w:t>Exhibit 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89"/>
              </w:rPr>
              <w:t>U.S. Bank National Association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91"/>
              </w:rPr>
              <w:t>Statement of Financial Condition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6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90"/>
              </w:rPr>
              <w:t>As of 6/30/2018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18,933,741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279,066,037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26,714,957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453,023,045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350,952,197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34,319,863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Acceptances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405,226,423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25"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Surplus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800,078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47,796,622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453,023,045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lowerLetter"/>
      <w:start w:val="1"/>
    </w:lvl>
    <w:lvl w:ilvl="1">
      <w:lvlJc w:val="left"/>
      <w:lvlText w:val="(%2)"/>
      <w:numFmt w:val="decimal"/>
      <w:start w:val="1"/>
    </w:lvl>
  </w:abstractNum>
  <w:abstractNum w:abstractNumId="18">
    <w:nsid w:val="725A06FB"/>
    <w:multiLevelType w:val="hybridMultilevel"/>
    <w:lvl w:ilvl="0">
      <w:lvlJc w:val="left"/>
      <w:lvlText w:val="(%1)"/>
      <w:numFmt w:val="lowerLetter"/>
      <w:start w:val="2"/>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lowerRoman"/>
      <w:start w:val="2"/>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2"/>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lvl w:ilvl="1">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lowerLetter"/>
      <w:start w:val="3"/>
    </w:lvl>
  </w:abstractNum>
  <w:abstractNum w:abstractNumId="44">
    <w:nsid w:val="1CF10FD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5">
    <w:nsid w:val="180115BE"/>
    <w:multiLevelType w:val="hybridMultilevel"/>
    <w:lvl w:ilvl="0">
      <w:lvlJc w:val="left"/>
      <w:lvlText w:val="(%1)"/>
      <w:numFmt w:val="lowerLetter"/>
      <w:start w:val="3"/>
    </w:lvl>
  </w:abstractNum>
  <w:abstractNum w:abstractNumId="46">
    <w:nsid w:val="235BA861"/>
    <w:multiLevelType w:val="hybridMultilevel"/>
    <w:lvl w:ilvl="0">
      <w:lvlJc w:val="left"/>
      <w:lvlText w:val="(%1)"/>
      <w:numFmt w:val="decimal"/>
      <w:start w:val="2"/>
    </w:lvl>
    <w:lvl w:ilvl="1">
      <w:lvlJc w:val="left"/>
      <w:lvlText w:val="(%2)"/>
      <w:numFmt w:val="lowerLetter"/>
      <w:start w:val="1"/>
    </w:lvl>
  </w:abstractNum>
  <w:abstractNum w:abstractNumId="47">
    <w:nsid w:val="47398C89"/>
    <w:multiLevelType w:val="hybridMultilevel"/>
    <w:lvl w:ilvl="0">
      <w:lvlJc w:val="left"/>
      <w:lvlText w:val="(%1)"/>
      <w:numFmt w:val="decimal"/>
      <w:start w:val="5"/>
    </w:lvl>
    <w:lvl w:ilvl="1">
      <w:lvlJc w:val="left"/>
      <w:lvlText w:val="(%2)"/>
      <w:numFmt w:val="lowerLetter"/>
      <w:start w:val="1"/>
    </w:lvl>
  </w:abstractNum>
  <w:abstractNum w:abstractNumId="48">
    <w:nsid w:val="354FE9F9"/>
    <w:multiLevelType w:val="hybridMultilevel"/>
    <w:lvl w:ilvl="0">
      <w:lvlJc w:val="left"/>
      <w:lvlText w:val="%1"/>
      <w:numFmt w:val="upperLetter"/>
      <w:start w:val="1"/>
    </w:lvl>
    <w:lvl w:ilvl="1">
      <w:lvlJc w:val="left"/>
      <w:lvlText w:val="(%2)"/>
      <w:numFmt w:val="lowerLetter"/>
      <w:start w:val="3"/>
    </w:lvl>
  </w:abstractNum>
  <w:abstractNum w:abstractNumId="49">
    <w:nsid w:val="15B5AF5C"/>
    <w:multiLevelType w:val="hybridMultilevel"/>
    <w:lvl w:ilvl="0">
      <w:lvlJc w:val="left"/>
      <w:lvlText w:val="%1."/>
      <w:numFmt w:val="upperLetter"/>
      <w:start w:val="2"/>
    </w:lvl>
    <w:lvl w:ilvl="1">
      <w:lvlJc w:val="left"/>
      <w:lvlText w:val="%2"/>
      <w:numFmt w:val="lowerLetter"/>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2"/>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3"/>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
      <w:numFmt w:val="bullet"/>
      <w:start w:val="1"/>
    </w:lvl>
    <w:lvl w:ilvl="1">
      <w:lvlJc w:val="left"/>
      <w:lvlText w:val="%2."/>
      <w:numFmt w:val="decimal"/>
      <w:start w:val="1"/>
    </w:lvl>
  </w:abstractNum>
  <w:abstractNum w:abstractNumId="61">
    <w:nsid w:val="25A70BF7"/>
    <w:multiLevelType w:val="hybridMultilevel"/>
    <w:lvl w:ilvl="0">
      <w:lvlJc w:val="left"/>
      <w:lvlText w:val="**"/>
      <w:numFmt w:val="bullet"/>
      <w:start w:val="1"/>
    </w:lvl>
    <w:lvl w:ilvl="1">
      <w:lvlJc w:val="left"/>
      <w:lvlText w:val="%2"/>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lvl w:ilvl="1">
      <w:lvlJc w:val="left"/>
      <w:lvlText w:val="%2."/>
      <w:numFmt w:val="decimal"/>
      <w:start w:val="2"/>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
      <w:numFmt w:val="bullet"/>
      <w:start w:val="1"/>
    </w:lvl>
    <w:lvl w:ilvl="1">
      <w:lvlJc w:val="left"/>
      <w:lvlText w:val="%2."/>
      <w:numFmt w:val="decimal"/>
      <w:start w:val="1"/>
    </w:lvl>
  </w:abstractNum>
  <w:abstractNum w:abstractNumId="66">
    <w:nsid w:val="5DB70AE5"/>
    <w:multiLevelType w:val="hybridMultilevel"/>
    <w:lvl w:ilvl="0">
      <w:lvlJc w:val="left"/>
      <w:lvlText w:val="**"/>
      <w:numFmt w:val="bullet"/>
      <w:start w:val="1"/>
    </w:lvl>
    <w:lvl w:ilvl="1">
      <w:lvlJc w:val="left"/>
      <w:lvlText w:val="%2"/>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jpeg"/><Relationship Id="rId111" Type="http://schemas.openxmlformats.org/officeDocument/2006/relationships/image" Target="media/image102.jpe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75" Type="http://schemas.openxmlformats.org/officeDocument/2006/relationships/hyperlink" Target="http://www.sec.gov/Archives/edgar/data/1070423/000089924302002834/dex41.txt" TargetMode="External"/><Relationship Id="rId76" Type="http://schemas.openxmlformats.org/officeDocument/2006/relationships/hyperlink" Target="http://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2020-01-12T22:37:02Z</dcterms:created>
  <dcterms:modified xsi:type="dcterms:W3CDTF">2020-01-12T22:37:02Z</dcterms:modified>
</cp:coreProperties>
</file>