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5520" w:type="dxa"/>
            <w:vAlign w:val="bottom"/>
            <w:gridSpan w:val="5"/>
          </w:tcPr>
          <w:p>
            <w:pPr>
              <w:ind w:left="80"/>
              <w:spacing w:after="0" w:line="207" w:lineRule="exact"/>
              <w:rPr>
                <w:rFonts w:ascii="Arial" w:cs="Arial" w:eastAsia="Arial" w:hAnsi="Arial"/>
                <w:sz w:val="20"/>
                <w:szCs w:val="20"/>
                <w:color w:val="0000EE"/>
              </w:rPr>
            </w:pPr>
            <w:hyperlink r:id="rId14">
              <w:r>
                <w:rPr>
                  <w:rFonts w:ascii="Arial" w:cs="Arial" w:eastAsia="Arial" w:hAnsi="Arial"/>
                  <w:sz w:val="20"/>
                  <w:szCs w:val="20"/>
                  <w:u w:val="single" w:color="auto"/>
                  <w:color w:val="0000EE"/>
                </w:rPr>
                <w:t>PLAINS ALL AMERICAN PIPELINE LP</w:t>
              </w:r>
              <w:r>
                <w:rPr>
                  <w:rFonts w:ascii="Arial" w:cs="Arial" w:eastAsia="Arial" w:hAnsi="Arial"/>
                  <w:sz w:val="20"/>
                  <w:szCs w:val="20"/>
                  <w:color w:val="0000EE"/>
                </w:rPr>
                <w:t xml:space="preserve">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820" w:type="dxa"/>
            <w:vAlign w:val="bottom"/>
            <w:gridSpan w:val="2"/>
          </w:tcPr>
          <w:p>
            <w:pPr>
              <w:ind w:left="80"/>
              <w:spacing w:after="0" w:line="147" w:lineRule="exact"/>
              <w:rPr>
                <w:sz w:val="20"/>
                <w:szCs w:val="20"/>
                <w:color w:val="auto"/>
              </w:rPr>
            </w:pPr>
            <w:r>
              <w:rPr>
                <w:rFonts w:ascii="Arial" w:cs="Arial" w:eastAsia="Arial" w:hAnsi="Arial"/>
                <w:sz w:val="16"/>
                <w:szCs w:val="16"/>
                <w:color w:val="auto"/>
              </w:rPr>
              <w:t>[</w:t>
            </w:r>
            <w:r>
              <w:rPr>
                <w:rFonts w:ascii="Arial" w:cs="Arial" w:eastAsia="Arial" w:hAnsi="Arial"/>
                <w:sz w:val="13"/>
                <w:szCs w:val="13"/>
                <w:color w:val="0000FF"/>
              </w:rPr>
              <w:t>PAA</w:t>
            </w: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05/15/2020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168910</wp:posOffset>
            </wp:positionV>
            <wp:extent cx="6964045" cy="1531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31620"/>
                    </a:xfrm>
                    <a:prstGeom prst="rect">
                      <a:avLst/>
                    </a:prstGeom>
                    <a:noFill/>
                  </pic:spPr>
                </pic:pic>
              </a:graphicData>
            </a:graphic>
          </wp:anchor>
        </w:drawing>
      </w:r>
    </w:p>
    <w:p>
      <w:pPr>
        <w:spacing w:after="0" w:line="327"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80" w:type="dxa"/>
            <w:vAlign w:val="bottom"/>
            <w:gridSpan w:val="5"/>
            <w:vMerge w:val="restart"/>
          </w:tcPr>
          <w:p>
            <w:pPr>
              <w:ind w:left="60"/>
              <w:spacing w:after="0"/>
              <w:rPr>
                <w:sz w:val="20"/>
                <w:szCs w:val="20"/>
                <w:color w:val="auto"/>
              </w:rPr>
            </w:pPr>
            <w:r>
              <w:rPr>
                <w:rFonts w:ascii="Arial" w:cs="Arial" w:eastAsia="Arial" w:hAnsi="Arial"/>
                <w:sz w:val="17"/>
                <w:szCs w:val="17"/>
                <w:color w:val="0000FF"/>
                <w:w w:val="98"/>
              </w:rPr>
              <w:t>Common Units (Limited Partner Interests)</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7"/>
                <w:szCs w:val="17"/>
                <w:color w:val="0000FF"/>
              </w:rPr>
              <w:t>05/15/2020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20,099</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18"/>
                <w:szCs w:val="18"/>
                <w:color w:val="auto"/>
              </w:rPr>
            </w:pPr>
          </w:p>
        </w:tc>
        <w:tc>
          <w:tcPr>
            <w:tcW w:w="540" w:type="dxa"/>
            <w:vAlign w:val="bottom"/>
            <w:gridSpan w:val="3"/>
            <w:vMerge w:val="restart"/>
          </w:tcPr>
          <w:p>
            <w:pPr>
              <w:jc w:val="right"/>
              <w:ind w:right="80"/>
              <w:spacing w:after="0" w:line="382"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248,394,405</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gridSpan w:val="5"/>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STE. 1600</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520" w:type="dxa"/>
            <w:vAlign w:val="bottom"/>
          </w:tcPr>
          <w:p>
            <w:pPr>
              <w:ind w:left="240"/>
              <w:spacing w:after="0"/>
              <w:rPr>
                <w:sz w:val="20"/>
                <w:szCs w:val="20"/>
                <w:color w:val="auto"/>
              </w:rPr>
            </w:pPr>
            <w:r>
              <w:rPr>
                <w:rFonts w:ascii="Arial" w:cs="Arial" w:eastAsia="Arial" w:hAnsi="Arial"/>
                <w:sz w:val="13"/>
                <w:szCs w:val="13"/>
                <w:color w:val="auto"/>
                <w:w w:val="97"/>
              </w:rPr>
              <w:t>(Zip)</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Plains AAP, L.P.</w:t>
              </w:r>
            </w:hyperlink>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SUITE 1600</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520" w:type="dxa"/>
            <w:vAlign w:val="bottom"/>
          </w:tcPr>
          <w:p>
            <w:pPr>
              <w:ind w:left="240"/>
              <w:spacing w:after="0"/>
              <w:rPr>
                <w:sz w:val="20"/>
                <w:szCs w:val="20"/>
                <w:color w:val="auto"/>
              </w:rPr>
            </w:pPr>
            <w:r>
              <w:rPr>
                <w:rFonts w:ascii="Arial" w:cs="Arial" w:eastAsia="Arial" w:hAnsi="Arial"/>
                <w:sz w:val="13"/>
                <w:szCs w:val="13"/>
                <w:color w:val="auto"/>
                <w:w w:val="97"/>
              </w:rPr>
              <w:t>(Zip)</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w w:val="97"/>
              </w:rPr>
            </w:pPr>
            <w:hyperlink r:id="rId17">
              <w:r>
                <w:rPr>
                  <w:rFonts w:ascii="Arial" w:cs="Arial" w:eastAsia="Arial" w:hAnsi="Arial"/>
                  <w:sz w:val="21"/>
                  <w:szCs w:val="21"/>
                  <w:u w:val="single" w:color="auto"/>
                  <w:color w:val="0000EE"/>
                  <w:w w:val="97"/>
                </w:rPr>
                <w:t>Plains All American GP LLC</w:t>
              </w:r>
            </w:hyperlink>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-5744845</wp:posOffset>
            </wp:positionV>
            <wp:extent cx="7031355" cy="615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15188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CLAY STREET,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151130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PLAINS GP HOLDINGS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333 CLAY ST., SUITE 1600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276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AAP is obligated to issue to PAGP a number of AAP Class A units equal to the number of PAGP Class A shares issued upon vesting of awards under PAGP's long-term incentive plan. The Omnibus Agreement also provides that immediately following such issuance, PAA is obligated to issue to AAP an equivalent number of PAA Common Units. On May 15, 2020, a total of 20,099 PAGP Class A shares were issued in connection with the vesting of outstanding LTIP awards under PAGP's long-term incentive plan. An equal number of AAP Class A units was issued to PAGP and an equal number of PAA Common Units was issued to AAP.</w:t>
      </w:r>
    </w:p>
    <w:p>
      <w:pPr>
        <w:spacing w:after="0" w:line="15" w:lineRule="exact"/>
        <w:rPr>
          <w:rFonts w:ascii="Arial" w:cs="Arial" w:eastAsia="Arial" w:hAnsi="Arial"/>
          <w:sz w:val="12"/>
          <w:szCs w:val="12"/>
          <w:color w:val="008000"/>
        </w:rPr>
      </w:pPr>
    </w:p>
    <w:p>
      <w:pPr>
        <w:ind w:left="20" w:right="48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05/21/2020</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13" Type="http://schemas.openxmlformats.org/officeDocument/2006/relationships/hyperlink" Target="http://www.sec.gov/cgi-bin/browse-edgar?action=getcompany&amp;CIK=0001581928" TargetMode="External"/><Relationship Id="rId14" Type="http://schemas.openxmlformats.org/officeDocument/2006/relationships/hyperlink" Target="http://www.sec.gov/cgi-bin/browse-edgar?action=getcompany&amp;CIK=0001070423" TargetMode="External"/><Relationship Id="rId16" Type="http://schemas.openxmlformats.org/officeDocument/2006/relationships/hyperlink" Target="http://www.sec.gov/cgi-bin/browse-edgar?action=getcompany&amp;CIK=0001490401" TargetMode="External"/><Relationship Id="rId17" Type="http://schemas.openxmlformats.org/officeDocument/2006/relationships/hyperlink" Target="http://www.sec.gov/cgi-bin/browse-edgar?action=getcompany&amp;CIK=0001490402" TargetMode="External"/><Relationship Id="rId20"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2020-05-21T17:16:33Z</dcterms:created>
  <dcterms:modified xsi:type="dcterms:W3CDTF">2020-05-21T17:16:33Z</dcterms:modified>
</cp:coreProperties>
</file>