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5, 2015</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May 5,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Plains All American Pipeline, L.P. (the “Partnership”) today issued a press release reporting its first-quarter 2015 results. We are furnishing the press release, attached as Exhibit 99.1, pursuant to Item 2.02 and Item 7.01 of Form 8-K. Pursuant to Item 7.01, we are also providing detailed guidance for financial performance for the second quarter and full year of 2015.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of Second-Quarter and Second-Half 2015 Guidance</w:t>
      </w:r>
    </w:p>
    <w:p>
      <w:pPr>
        <w:spacing w:after="0" w:line="229" w:lineRule="exact"/>
        <w:rPr>
          <w:sz w:val="24"/>
          <w:szCs w:val="24"/>
          <w:color w:val="auto"/>
        </w:rPr>
      </w:pPr>
    </w:p>
    <w:p>
      <w:pPr>
        <w:ind w:firstLine="648"/>
        <w:spacing w:after="0" w:line="288" w:lineRule="auto"/>
        <w:rPr>
          <w:sz w:val="20"/>
          <w:szCs w:val="20"/>
          <w:color w:val="auto"/>
        </w:rPr>
      </w:pPr>
      <w:r>
        <w:rPr>
          <w:rFonts w:ascii="Arial" w:cs="Arial" w:eastAsia="Arial" w:hAnsi="Arial"/>
          <w:sz w:val="16"/>
          <w:szCs w:val="16"/>
          <w:color w:val="auto"/>
        </w:rPr>
        <w:t>We based our guidance for the three-month period ending June 30, 2015 and six-month period ending December 31, 2015 on assumptions and estimates that we believe are reasonable, given our assessment of historical trends (modified for changes in market conditions, including an assumption that crude oil prices do not meaningfully increase from current levels during 2015 which we expect to result in continued reduced drilling activity and reduced oil production growth as compared to 2014),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May 4, 2015. We undertake no obligation to publicly update or revise any forward-looking statements.</w:t>
      </w:r>
    </w:p>
    <w:p>
      <w:pPr>
        <w:spacing w:after="0" w:line="169" w:lineRule="exact"/>
        <w:rPr>
          <w:sz w:val="24"/>
          <w:szCs w:val="24"/>
          <w:color w:val="auto"/>
        </w:rPr>
      </w:pPr>
    </w:p>
    <w:p>
      <w:pPr>
        <w:ind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100"/>
        <w:spacing w:after="0" w:line="268" w:lineRule="auto"/>
        <w:rPr>
          <w:sz w:val="20"/>
          <w:szCs w:val="20"/>
          <w:color w:val="auto"/>
        </w:rPr>
      </w:pPr>
      <w:r>
        <w:rPr>
          <w:rFonts w:ascii="Arial" w:cs="Arial" w:eastAsia="Arial" w:hAnsi="Arial"/>
          <w:sz w:val="17"/>
          <w:szCs w:val="17"/>
          <w:color w:val="auto"/>
        </w:rPr>
        <w:t xml:space="preserve">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EBITDA (as defined below in Note 1 to the “Operating and Financial Guidance” table) is a non-GAAP financial measure. Net income represents one of the two most directly comparable GAAP measures to EBITDA. In Note 9 below, we reconcile net income to EBITDA and adjusted EBITDA for the 2015 guidance periods presented. Cash flows from operating activities is the other most comparable GAAP measure. We do not, however, reconcile cash flows from operating activities to EBITDA, because such reconciliations are impractical for forecasted periods. We encourage you to visit our website at </w:t>
      </w:r>
      <w:r>
        <w:rPr>
          <w:rFonts w:ascii="Arial" w:cs="Arial" w:eastAsia="Arial" w:hAnsi="Arial"/>
          <w:sz w:val="17"/>
          <w:szCs w:val="17"/>
          <w:i w:val="1"/>
          <w:iCs w:val="1"/>
          <w:color w:val="auto"/>
        </w:rPr>
        <w:t xml:space="preserve">www.plainsallamerican.com </w:t>
      </w:r>
      <w:r>
        <w:rPr>
          <w:rFonts w:ascii="Arial" w:cs="Arial" w:eastAsia="Arial" w:hAnsi="Arial"/>
          <w:sz w:val="17"/>
          <w:szCs w:val="17"/>
          <w:color w:val="auto"/>
        </w:rPr>
        <w:t>(in particular the section under Investor Relations and Financial Information entitled “Non-GAAP Reconciliations”),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presents a historical reconciliation of EBITDA as well as certain other commonly used non-GAAP financial measures.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Guidance </w:t>
            </w:r>
            <w:r>
              <w:rPr>
                <w:rFonts w:ascii="Arial" w:cs="Arial" w:eastAsia="Arial" w:hAnsi="Arial"/>
                <w:sz w:val="8"/>
                <w:szCs w:val="8"/>
                <w:b w:val="1"/>
                <w:bCs w:val="1"/>
                <w:color w:val="auto"/>
              </w:rPr>
              <w:t>(a)</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Three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right"/>
              <w:ind w:right="49"/>
              <w:spacing w:after="0" w:line="119" w:lineRule="exact"/>
              <w:rPr>
                <w:sz w:val="20"/>
                <w:szCs w:val="20"/>
                <w:color w:val="auto"/>
              </w:rPr>
            </w:pPr>
            <w:r>
              <w:rPr>
                <w:rFonts w:ascii="Arial" w:cs="Arial" w:eastAsia="Arial" w:hAnsi="Arial"/>
                <w:sz w:val="13"/>
                <w:szCs w:val="13"/>
                <w:b w:val="1"/>
                <w:bCs w:val="1"/>
                <w:color w:val="auto"/>
              </w:rPr>
              <w:t>Three</w:t>
            </w: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Six</w:t>
            </w: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4"/>
          </w:tcPr>
          <w:p>
            <w:pPr>
              <w:jc w:val="center"/>
              <w:ind w:left="368"/>
              <w:spacing w:after="0" w:line="119" w:lineRule="exact"/>
              <w:rPr>
                <w:sz w:val="20"/>
                <w:szCs w:val="20"/>
                <w:color w:val="auto"/>
              </w:rPr>
            </w:pPr>
            <w:r>
              <w:rPr>
                <w:rFonts w:ascii="Arial" w:cs="Arial" w:eastAsia="Arial" w:hAnsi="Arial"/>
                <w:sz w:val="13"/>
                <w:szCs w:val="13"/>
                <w:b w:val="1"/>
                <w:bCs w:val="1"/>
                <w:color w:val="auto"/>
              </w:rPr>
              <w:t>Twelve</w:t>
            </w: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5"/>
          </w:tcPr>
          <w:p>
            <w:pPr>
              <w:jc w:val="right"/>
              <w:ind w:right="580"/>
              <w:spacing w:after="0" w:line="149" w:lineRule="exact"/>
              <w:rPr>
                <w:sz w:val="20"/>
                <w:szCs w:val="20"/>
                <w:color w:val="auto"/>
              </w:rPr>
            </w:pPr>
            <w:r>
              <w:rPr>
                <w:rFonts w:ascii="Arial" w:cs="Arial" w:eastAsia="Arial" w:hAnsi="Arial"/>
                <w:sz w:val="14"/>
                <w:szCs w:val="14"/>
                <w:b w:val="1"/>
                <w:bCs w:val="1"/>
                <w:color w:val="auto"/>
              </w:rPr>
              <w:t>Months Ending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Months Ending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Months 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 30, 2015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Dec 31, 2015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0"/>
              </w:rPr>
              <w:t>Dec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Mar 31, 2015</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33"/>
              <w:spacing w:after="0" w:line="142" w:lineRule="exact"/>
              <w:rPr>
                <w:sz w:val="20"/>
                <w:szCs w:val="20"/>
                <w:color w:val="auto"/>
              </w:rPr>
            </w:pPr>
            <w:r>
              <w:rPr>
                <w:rFonts w:ascii="Arial" w:cs="Arial" w:eastAsia="Arial" w:hAnsi="Arial"/>
                <w:sz w:val="14"/>
                <w:szCs w:val="14"/>
                <w:b w:val="1"/>
                <w:bCs w:val="1"/>
                <w:color w:val="auto"/>
              </w:rPr>
              <w:t>Low</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High</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Low</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top w:val="single" w:sz="8" w:color="CCEEFF"/>
              <w:left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Segment Profit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80" w:type="dxa"/>
            <w:vAlign w:val="bottom"/>
          </w:tcPr>
          <w:p>
            <w:pPr>
              <w:ind w:left="160"/>
              <w:spacing w:after="0" w:line="130" w:lineRule="exact"/>
              <w:rPr>
                <w:sz w:val="20"/>
                <w:szCs w:val="20"/>
                <w:color w:val="auto"/>
              </w:rPr>
            </w:pPr>
            <w:r>
              <w:rPr>
                <w:rFonts w:ascii="Arial" w:cs="Arial" w:eastAsia="Arial" w:hAnsi="Arial"/>
                <w:sz w:val="14"/>
                <w:szCs w:val="14"/>
                <w:color w:val="auto"/>
                <w:w w:val="98"/>
              </w:rPr>
              <w:t>Net revenues (including equity earnings from unconsolidated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ind w:left="340"/>
              <w:spacing w:after="0"/>
              <w:rPr>
                <w:sz w:val="20"/>
                <w:szCs w:val="20"/>
                <w:color w:val="auto"/>
              </w:rPr>
            </w:pPr>
            <w:r>
              <w:rPr>
                <w:rFonts w:ascii="Arial" w:cs="Arial" w:eastAsia="Arial" w:hAnsi="Arial"/>
                <w:sz w:val="14"/>
                <w:szCs w:val="14"/>
                <w:color w:val="auto"/>
              </w:rPr>
              <w:t>entities)</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937</w:t>
            </w:r>
          </w:p>
        </w:tc>
        <w:tc>
          <w:tcPr>
            <w:tcW w:w="140" w:type="dxa"/>
            <w:vAlign w:val="bottom"/>
          </w:tcPr>
          <w:p>
            <w:pPr>
              <w:spacing w:after="0"/>
              <w:rPr>
                <w:sz w:val="14"/>
                <w:szCs w:val="14"/>
                <w:color w:val="auto"/>
              </w:rPr>
            </w:pP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890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930</w:t>
            </w:r>
          </w:p>
        </w:tc>
        <w:tc>
          <w:tcPr>
            <w:tcW w:w="140" w:type="dxa"/>
            <w:vAlign w:val="bottom"/>
          </w:tcPr>
          <w:p>
            <w:pPr>
              <w:spacing w:after="0"/>
              <w:rPr>
                <w:sz w:val="14"/>
                <w:szCs w:val="14"/>
                <w:color w:val="auto"/>
              </w:rPr>
            </w:pP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73"/>
              <w:spacing w:after="0"/>
              <w:rPr>
                <w:sz w:val="20"/>
                <w:szCs w:val="20"/>
                <w:color w:val="auto"/>
              </w:rPr>
            </w:pPr>
            <w:r>
              <w:rPr>
                <w:rFonts w:ascii="Arial" w:cs="Arial" w:eastAsia="Arial" w:hAnsi="Arial"/>
                <w:sz w:val="14"/>
                <w:szCs w:val="14"/>
                <w:color w:val="auto"/>
              </w:rPr>
              <w:t>2,061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2,141</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3,888</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left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Field operating costs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(381)</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(731)</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(1,458)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General and administrative expenses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(158)</w:t>
            </w: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top w:val="single" w:sz="8" w:color="CCEEFF"/>
              <w:left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424</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1,172</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2,259</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 expense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(221)</w:t>
            </w: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(215)</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(56)</w:t>
            </w: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expense, net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196</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680</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left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 attributable to noncontrolling interests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Income Attributable to PAA</w:t>
            </w:r>
          </w:p>
        </w:tc>
        <w:tc>
          <w:tcPr>
            <w:tcW w:w="2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195</w:t>
            </w:r>
          </w:p>
        </w:tc>
        <w:tc>
          <w:tcPr>
            <w:tcW w:w="2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257</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678</w:t>
            </w: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1,156</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8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 xml:space="preserve">Net Income to Limited Partners </w:t>
            </w:r>
            <w:r>
              <w:rPr>
                <w:rFonts w:ascii="Arial" w:cs="Arial" w:eastAsia="Arial" w:hAnsi="Arial"/>
                <w:sz w:val="8"/>
                <w:szCs w:val="8"/>
                <w:color w:val="auto"/>
              </w:rPr>
              <w:t>(b)</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140" w:type="dxa"/>
            <w:vAlign w:val="bottom"/>
          </w:tcPr>
          <w:p>
            <w:pPr>
              <w:spacing w:after="0"/>
              <w:rPr>
                <w:sz w:val="12"/>
                <w:szCs w:val="12"/>
                <w:color w:val="auto"/>
              </w:rPr>
            </w:pPr>
          </w:p>
        </w:tc>
        <w:tc>
          <w:tcPr>
            <w:tcW w:w="2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140" w:type="dxa"/>
            <w:vAlign w:val="bottom"/>
          </w:tcPr>
          <w:p>
            <w:pPr>
              <w:spacing w:after="0"/>
              <w:rPr>
                <w:sz w:val="12"/>
                <w:szCs w:val="12"/>
                <w:color w:val="auto"/>
              </w:rPr>
            </w:pPr>
          </w:p>
        </w:tc>
        <w:tc>
          <w:tcPr>
            <w:tcW w:w="2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361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482</w:t>
            </w:r>
          </w:p>
        </w:tc>
        <w:tc>
          <w:tcPr>
            <w:tcW w:w="2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546</w:t>
            </w:r>
          </w:p>
        </w:tc>
        <w:tc>
          <w:tcPr>
            <w:tcW w:w="2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 xml:space="preserve">Basic Net Income Per Limited Partner Unit </w:t>
            </w:r>
            <w:r>
              <w:rPr>
                <w:rFonts w:ascii="Arial" w:cs="Arial" w:eastAsia="Arial" w:hAnsi="Arial"/>
                <w:sz w:val="8"/>
                <w:szCs w:val="8"/>
                <w:color w:val="auto"/>
              </w:rPr>
              <w:t>(b)</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Weighted Average Units 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397</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399</w:t>
            </w:r>
          </w:p>
        </w:tc>
        <w:tc>
          <w:tcPr>
            <w:tcW w:w="2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left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 Per Unit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0.36</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0.27</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0.90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 xml:space="preserve">Diluted Net Income Per Limited Partner Unit </w:t>
            </w:r>
            <w:r>
              <w:rPr>
                <w:rFonts w:ascii="Arial" w:cs="Arial" w:eastAsia="Arial" w:hAnsi="Arial"/>
                <w:sz w:val="8"/>
                <w:szCs w:val="8"/>
                <w:color w:val="auto"/>
              </w:rPr>
              <w:t>(b)</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Weighted Average Units 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401</w:t>
            </w:r>
          </w:p>
        </w:tc>
        <w:tc>
          <w:tcPr>
            <w:tcW w:w="2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left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 Per Unit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0.35</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0.27</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0.90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EBITDA</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509</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424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474</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1,172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1,272</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2,105</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2,255</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Selected Items Impacting Comparability</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000000"/>
          </w:tcPr>
          <w:p>
            <w:pPr>
              <w:spacing w:after="0"/>
              <w:rPr>
                <w:sz w:val="11"/>
                <w:szCs w:val="11"/>
                <w:color w:val="auto"/>
              </w:rPr>
            </w:pPr>
          </w:p>
        </w:tc>
        <w:tc>
          <w:tcPr>
            <w:tcW w:w="3880" w:type="dxa"/>
            <w:vAlign w:val="bottom"/>
            <w:tcBorders>
              <w:left w:val="single" w:sz="8" w:color="auto"/>
            </w:tcBorders>
          </w:tcPr>
          <w:p>
            <w:pPr>
              <w:ind w:left="180"/>
              <w:spacing w:after="0" w:line="130" w:lineRule="exact"/>
              <w:rPr>
                <w:sz w:val="20"/>
                <w:szCs w:val="20"/>
                <w:color w:val="auto"/>
              </w:rPr>
            </w:pPr>
            <w:r>
              <w:rPr>
                <w:rFonts w:ascii="Arial" w:cs="Arial" w:eastAsia="Arial" w:hAnsi="Arial"/>
                <w:sz w:val="14"/>
                <w:szCs w:val="14"/>
                <w:color w:val="auto"/>
              </w:rPr>
              <w:t>Gains/(losses) from derivative activities net of inventory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000000"/>
          </w:tcPr>
          <w:p>
            <w:pPr>
              <w:spacing w:after="0"/>
              <w:rPr>
                <w:sz w:val="14"/>
                <w:szCs w:val="14"/>
                <w:color w:val="auto"/>
              </w:rPr>
            </w:pPr>
          </w:p>
        </w:tc>
        <w:tc>
          <w:tcPr>
            <w:tcW w:w="3880" w:type="dxa"/>
            <w:vAlign w:val="bottom"/>
            <w:tcBorders>
              <w:left w:val="single" w:sz="8" w:color="auto"/>
            </w:tcBorders>
          </w:tcPr>
          <w:p>
            <w:pPr>
              <w:ind w:left="360"/>
              <w:spacing w:after="0"/>
              <w:rPr>
                <w:sz w:val="20"/>
                <w:szCs w:val="20"/>
                <w:color w:val="auto"/>
              </w:rPr>
            </w:pPr>
            <w:r>
              <w:rPr>
                <w:rFonts w:ascii="Arial" w:cs="Arial" w:eastAsia="Arial" w:hAnsi="Arial"/>
                <w:sz w:val="14"/>
                <w:szCs w:val="14"/>
                <w:color w:val="auto"/>
              </w:rPr>
              <w:t>valuation adjustments</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73"/>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Long-term inventory costing adjustments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color w:val="auto"/>
              </w:rPr>
              <w:t>Equity-indexed compensation expense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Net gain / (loss) on foreign currency revaluation</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color w:val="auto"/>
              </w:rPr>
              <w:t>Tax effect on selected items impacting comparability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Borders>
              <w:top w:val="single" w:sz="8" w:color="auto"/>
            </w:tcBorders>
            <w:shd w:val="clear" w:color="auto" w:fill="000000"/>
          </w:tcPr>
          <w:p>
            <w:pPr>
              <w:spacing w:after="0"/>
              <w:rPr>
                <w:sz w:val="9"/>
                <w:szCs w:val="9"/>
                <w:color w:val="auto"/>
              </w:rPr>
            </w:pPr>
          </w:p>
        </w:tc>
        <w:tc>
          <w:tcPr>
            <w:tcW w:w="3880" w:type="dxa"/>
            <w:vAlign w:val="bottom"/>
            <w:tcBorders>
              <w:top w:val="single" w:sz="8" w:color="CCEEFF"/>
              <w:left w:val="single" w:sz="8" w:color="auto"/>
            </w:tcBorders>
            <w:shd w:val="clear" w:color="auto" w:fill="CCEEFF"/>
          </w:tcPr>
          <w:p>
            <w:pPr>
              <w:ind w:left="180"/>
              <w:spacing w:after="0" w:line="110" w:lineRule="exact"/>
              <w:rPr>
                <w:sz w:val="20"/>
                <w:szCs w:val="20"/>
                <w:color w:val="auto"/>
              </w:rPr>
            </w:pPr>
            <w:r>
              <w:rPr>
                <w:rFonts w:ascii="Arial" w:cs="Arial" w:eastAsia="Arial" w:hAnsi="Arial"/>
                <w:sz w:val="12"/>
                <w:szCs w:val="12"/>
                <w:color w:val="auto"/>
              </w:rPr>
              <w:t>Selected Items Impacting Comparability of Net Income</w:t>
            </w: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000000"/>
          </w:tcPr>
          <w:p>
            <w:pPr>
              <w:spacing w:after="0"/>
              <w:rPr>
                <w:sz w:val="18"/>
                <w:szCs w:val="18"/>
                <w:color w:val="auto"/>
              </w:rPr>
            </w:pPr>
          </w:p>
        </w:tc>
        <w:tc>
          <w:tcPr>
            <w:tcW w:w="3880" w:type="dxa"/>
            <w:vAlign w:val="bottom"/>
            <w:tcBorders>
              <w:left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attributable to PAA</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w:t>
            </w:r>
          </w:p>
        </w:tc>
        <w:tc>
          <w:tcPr>
            <w:tcW w:w="260" w:type="dxa"/>
            <w:vAlign w:val="bottom"/>
            <w:tcBorders>
              <w:bottom w:val="single" w:sz="8" w:color="auto"/>
            </w:tcBorders>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auto"/>
            </w:tcBorders>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(118)</w:t>
            </w:r>
          </w:p>
        </w:tc>
        <w:tc>
          <w:tcPr>
            <w:tcW w:w="26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shd w:val="clear" w:color="auto" w:fill="000000"/>
          </w:tcPr>
          <w:p>
            <w:pPr>
              <w:spacing w:after="0"/>
              <w:rPr>
                <w:sz w:val="11"/>
                <w:szCs w:val="11"/>
                <w:color w:val="auto"/>
              </w:rPr>
            </w:pPr>
          </w:p>
        </w:tc>
        <w:tc>
          <w:tcPr>
            <w:tcW w:w="388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Excluding Selected Items Impacting Comparability</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tcPr>
          <w:p>
            <w:pPr>
              <w:spacing w:after="0" w:line="149" w:lineRule="exact"/>
              <w:rPr>
                <w:sz w:val="20"/>
                <w:szCs w:val="20"/>
                <w:color w:val="auto"/>
              </w:rPr>
            </w:pPr>
            <w:r>
              <w:rPr>
                <w:rFonts w:ascii="Arial" w:cs="Arial" w:eastAsia="Arial" w:hAnsi="Arial"/>
                <w:sz w:val="14"/>
                <w:szCs w:val="14"/>
                <w:color w:val="auto"/>
              </w:rPr>
              <w:t>Adjusted Segment Profit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Transportation</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660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680</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1,165</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w:t>
            </w:r>
          </w:p>
        </w:tc>
        <w:tc>
          <w:tcPr>
            <w:tcW w:w="1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color w:val="auto"/>
              </w:rPr>
              <w:t>Facilities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305</w:t>
            </w:r>
          </w:p>
        </w:tc>
        <w:tc>
          <w:tcPr>
            <w:tcW w:w="2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605</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Supply and Logistics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228</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w:t>
            </w:r>
          </w:p>
        </w:tc>
        <w:tc>
          <w:tcPr>
            <w:tcW w:w="1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000000"/>
          </w:tcPr>
          <w:p>
            <w:pPr>
              <w:spacing w:after="0"/>
              <w:rPr>
                <w:sz w:val="12"/>
                <w:szCs w:val="12"/>
                <w:color w:val="auto"/>
              </w:rPr>
            </w:pPr>
          </w:p>
        </w:tc>
        <w:tc>
          <w:tcPr>
            <w:tcW w:w="388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color w:val="auto"/>
              </w:rPr>
              <w:t>Other income, 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3880" w:type="dxa"/>
            <w:vAlign w:val="bottom"/>
            <w:tcBorders>
              <w:top w:val="single" w:sz="8" w:color="CCEEFF"/>
              <w:left w:val="single" w:sz="8" w:color="auto"/>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Adjusted EBITDA</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435</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2,250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2,400</w:t>
            </w:r>
          </w:p>
        </w:tc>
        <w:tc>
          <w:tcPr>
            <w:tcW w:w="12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3880" w:type="dxa"/>
            <w:vAlign w:val="bottom"/>
            <w:tcBorders>
              <w:left w:val="single" w:sz="8" w:color="auto"/>
            </w:tcBorders>
            <w:vMerge w:val="restart"/>
          </w:tcPr>
          <w:p>
            <w:pPr>
              <w:spacing w:after="0"/>
              <w:rPr>
                <w:sz w:val="20"/>
                <w:szCs w:val="20"/>
                <w:color w:val="auto"/>
              </w:rPr>
            </w:pPr>
            <w:r>
              <w:rPr>
                <w:rFonts w:ascii="Arial" w:cs="Arial" w:eastAsia="Arial" w:hAnsi="Arial"/>
                <w:sz w:val="14"/>
                <w:szCs w:val="14"/>
                <w:color w:val="auto"/>
              </w:rPr>
              <w:t>Adjusted Net Income Attributable to PAA</w:t>
            </w: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3880" w:type="dxa"/>
            <w:vAlign w:val="bottom"/>
            <w:tcBorders>
              <w:left w:val="single" w:sz="8" w:color="auto"/>
              <w:bottom w:val="single" w:sz="8" w:color="CCEEFF"/>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369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206</w:t>
            </w:r>
          </w:p>
        </w:tc>
        <w:tc>
          <w:tcPr>
            <w:tcW w:w="24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699</w:t>
            </w:r>
          </w:p>
        </w:tc>
        <w:tc>
          <w:tcPr>
            <w:tcW w:w="2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823</w:t>
            </w:r>
          </w:p>
        </w:tc>
        <w:tc>
          <w:tcPr>
            <w:tcW w:w="1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1,274</w:t>
            </w:r>
          </w:p>
        </w:tc>
        <w:tc>
          <w:tcPr>
            <w:tcW w:w="1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1,460</w:t>
            </w:r>
          </w:p>
        </w:tc>
        <w:tc>
          <w:tcPr>
            <w:tcW w:w="120" w:type="dxa"/>
            <w:vAlign w:val="bottom"/>
            <w:tcBorders>
              <w:bottom w:val="single" w:sz="8" w:color="CCEEFF"/>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shd w:val="clear" w:color="auto" w:fill="000000"/>
          </w:tcPr>
          <w:p>
            <w:pPr>
              <w:spacing w:after="0"/>
              <w:rPr>
                <w:sz w:val="11"/>
                <w:szCs w:val="11"/>
                <w:color w:val="auto"/>
              </w:rPr>
            </w:pPr>
          </w:p>
        </w:tc>
        <w:tc>
          <w:tcPr>
            <w:tcW w:w="3880" w:type="dxa"/>
            <w:vAlign w:val="bottom"/>
            <w:tcBorders>
              <w:left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 xml:space="preserve">Basic Adjusted Net Income Per Limited Partner Unit </w:t>
            </w:r>
            <w:r>
              <w:rPr>
                <w:rFonts w:ascii="Arial" w:cs="Arial" w:eastAsia="Arial" w:hAnsi="Arial"/>
                <w:sz w:val="8"/>
                <w:szCs w:val="8"/>
                <w:color w:val="auto"/>
              </w:rPr>
              <w:t>(b)</w:t>
            </w: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0.58</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0.14</w:t>
            </w: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0.29</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0.95</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3880" w:type="dxa"/>
            <w:vAlign w:val="bottom"/>
            <w:tcBorders>
              <w:left w:val="single" w:sz="8" w:color="auto"/>
            </w:tcBorders>
            <w:vMerge w:val="restart"/>
          </w:tcPr>
          <w:p>
            <w:pPr>
              <w:spacing w:after="0"/>
              <w:rPr>
                <w:sz w:val="20"/>
                <w:szCs w:val="20"/>
                <w:color w:val="auto"/>
              </w:rPr>
            </w:pPr>
            <w:r>
              <w:rPr>
                <w:rFonts w:ascii="Arial" w:cs="Arial" w:eastAsia="Arial" w:hAnsi="Arial"/>
                <w:sz w:val="14"/>
                <w:szCs w:val="14"/>
                <w:color w:val="auto"/>
              </w:rPr>
              <w:t xml:space="preserve">Diluted Adjusted Net Income Per Limited Partner Unit </w:t>
            </w:r>
            <w:r>
              <w:rPr>
                <w:rFonts w:ascii="Arial" w:cs="Arial" w:eastAsia="Arial" w:hAnsi="Arial"/>
                <w:sz w:val="8"/>
                <w:szCs w:val="8"/>
                <w:color w:val="auto"/>
              </w:rPr>
              <w:t>(b)</w:t>
            </w: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3880" w:type="dxa"/>
            <w:vAlign w:val="bottom"/>
            <w:tcBorders>
              <w:left w:val="single" w:sz="8" w:color="auto"/>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0.57</w:t>
            </w:r>
          </w:p>
        </w:tc>
        <w:tc>
          <w:tcPr>
            <w:tcW w:w="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0.14</w:t>
            </w:r>
          </w:p>
        </w:tc>
        <w:tc>
          <w:tcPr>
            <w:tcW w:w="2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0.29</w:t>
            </w:r>
          </w:p>
        </w:tc>
        <w:tc>
          <w:tcPr>
            <w:tcW w:w="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0.95</w:t>
            </w:r>
          </w:p>
        </w:tc>
        <w:tc>
          <w:tcPr>
            <w:tcW w:w="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1.25</w:t>
            </w:r>
          </w:p>
        </w:tc>
        <w:tc>
          <w:tcPr>
            <w:tcW w:w="1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1.66</w:t>
            </w:r>
          </w:p>
        </w:tc>
        <w:tc>
          <w:tcPr>
            <w:tcW w:w="1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2.11</w:t>
            </w: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60" w:hanging="652"/>
        <w:spacing w:after="0" w:line="187" w:lineRule="auto"/>
        <w:tabs>
          <w:tab w:leader="none" w:pos="655"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The assumed average foreign exchange rate is $1.25 Canadian dollar (CAD) to $1.00 U.S. dollar (USD) for the three-month period ending June 30, 2015 and the six-month period ending December 31, 2015. The rate as of May 4, 2015 was $1.21 CAD to $1.00 USD and the average for the three-month period ended on March 31, 2015 was $1.24 CAD to $1.00 USD. A $0.05 change in such average FX rate will impact the remaining nine months of 2015 adjusted EBITDA by approximately $6 million.</w:t>
      </w:r>
    </w:p>
    <w:p>
      <w:pPr>
        <w:ind w:left="660" w:right="80" w:hanging="652"/>
        <w:spacing w:after="0" w:line="191" w:lineRule="auto"/>
        <w:tabs>
          <w:tab w:leader="none" w:pos="64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22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ectPr>
          <w:pgSz w:w="11900" w:h="16838" w:orient="portrait"/>
          <w:cols w:equalWidth="0" w:num="1">
            <w:col w:w="11440"/>
          </w:cols>
          <w:pgMar w:left="240" w:top="125" w:right="21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EBITDA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Segment Profit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DCF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Bbls/d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NGL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G&amp;A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(GP)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Earnings before interest, taxes and depreciation and amortization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(including equity earnings, as applicable) less field operating costs and segment general and administrative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Barrels per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Natural gas liquids, including ethane and natural gasoline products as well as propane and butane, which are often referred to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the context requires, “general partner” or “GP” refers to any or all of (i) PAA GP LLC, the owner of our 2% general partner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(ii) Plains AAP, L.P., the sole member of PAA GP LLC and owner of our incentive distribution rights and (iii) Plains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American GP LLC, the general partner of Plains AAP, L.P.</w:t>
      </w:r>
    </w:p>
    <w:p>
      <w:pPr>
        <w:spacing w:after="0" w:line="200" w:lineRule="exact"/>
        <w:rPr>
          <w:sz w:val="20"/>
          <w:szCs w:val="20"/>
          <w:color w:val="auto"/>
        </w:rPr>
      </w:pPr>
    </w:p>
    <w:p>
      <w:pPr>
        <w:sectPr>
          <w:pgSz w:w="11900" w:h="16838" w:orient="portrait"/>
          <w:cols w:equalWidth="0" w:num="2">
            <w:col w:w="1520" w:space="680"/>
            <w:col w:w="9220"/>
          </w:cols>
          <w:pgMar w:left="240" w:top="341" w:right="239" w:bottom="0" w:gutter="0" w:footer="0" w:header="0"/>
        </w:sectPr>
      </w:pPr>
    </w:p>
    <w:p>
      <w:pPr>
        <w:spacing w:after="0" w:line="11" w:lineRule="exact"/>
        <w:rPr>
          <w:sz w:val="20"/>
          <w:szCs w:val="20"/>
          <w:color w:val="auto"/>
        </w:rPr>
      </w:pPr>
    </w:p>
    <w:p>
      <w:pPr>
        <w:ind w:left="660" w:righ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Transportation, Facilities and Supply and Logistics.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right="20" w:hanging="324"/>
        <w:spacing w:after="0" w:line="276" w:lineRule="auto"/>
        <w:rPr>
          <w:rFonts w:ascii="Arial" w:cs="Arial" w:eastAsia="Arial" w:hAnsi="Arial"/>
          <w:sz w:val="18"/>
          <w:szCs w:val="18"/>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Transportation.</w:t>
      </w:r>
      <w:r>
        <w:rPr>
          <w:rFonts w:ascii="Arial" w:cs="Arial" w:eastAsia="Arial" w:hAnsi="Arial"/>
          <w:sz w:val="17"/>
          <w:szCs w:val="17"/>
          <w:color w:val="auto"/>
        </w:rPr>
        <w:t xml:space="preserve"> 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 Our transportation segment also includes our equity earnings from investments in the Eagle Ford, White Cliffs, BridgeTex, Butte and Frontier pipeline systems as well as Settoon Towing, in which we own interests ranging from 22% to 50%. We account for these investments under the equity method of accounting.</w:t>
      </w:r>
    </w:p>
    <w:p>
      <w:pPr>
        <w:spacing w:after="0" w:line="172" w:lineRule="exact"/>
        <w:rPr>
          <w:rFonts w:ascii="Arial" w:cs="Arial" w:eastAsia="Arial" w:hAnsi="Arial"/>
          <w:sz w:val="18"/>
          <w:szCs w:val="18"/>
          <w:color w:val="auto"/>
        </w:rPr>
      </w:pPr>
    </w:p>
    <w:p>
      <w:pPr>
        <w:ind w:left="980" w:right="60"/>
        <w:spacing w:after="0" w:line="271" w:lineRule="auto"/>
        <w:rPr>
          <w:rFonts w:ascii="Arial" w:cs="Arial" w:eastAsia="Arial" w:hAnsi="Arial"/>
          <w:sz w:val="18"/>
          <w:szCs w:val="18"/>
          <w:color w:val="auto"/>
        </w:rPr>
      </w:pPr>
      <w:r>
        <w:rPr>
          <w:rFonts w:ascii="Arial" w:cs="Arial" w:eastAsia="Arial" w:hAnsi="Arial"/>
          <w:sz w:val="17"/>
          <w:szCs w:val="17"/>
          <w:color w:val="auto"/>
        </w:rPr>
        <w:t>Pipeline volume estimates are based on historical trends, anticipated future operating performance and assumed completion of capital projects. Actual volumes will be influenced by maintenance schedules at refineries, drilling and completion activity levels, production trends, weather and other natural occurrences including hurricanes, changes in the quantity of inventory held in tanks, variations due to market structure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Actual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Guidance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3"/>
              <w:spacing w:after="0" w:line="119" w:lineRule="exact"/>
              <w:rPr>
                <w:sz w:val="20"/>
                <w:szCs w:val="20"/>
                <w:color w:val="auto"/>
              </w:rPr>
            </w:pPr>
            <w:r>
              <w:rPr>
                <w:rFonts w:ascii="Arial" w:cs="Arial" w:eastAsia="Arial" w:hAnsi="Arial"/>
                <w:sz w:val="13"/>
                <w:szCs w:val="13"/>
                <w:b w:val="1"/>
                <w:bCs w:val="1"/>
                <w:color w:val="auto"/>
              </w:rPr>
              <w:t>Three Months</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Three Months</w:t>
            </w: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Six Months</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32"/>
              <w:spacing w:after="0" w:line="119" w:lineRule="exact"/>
              <w:rPr>
                <w:sz w:val="20"/>
                <w:szCs w:val="20"/>
                <w:color w:val="auto"/>
              </w:rPr>
            </w:pPr>
            <w:r>
              <w:rPr>
                <w:rFonts w:ascii="Arial" w:cs="Arial" w:eastAsia="Arial" w:hAnsi="Arial"/>
                <w:sz w:val="13"/>
                <w:szCs w:val="13"/>
                <w:b w:val="1"/>
                <w:bCs w:val="1"/>
                <w:color w:val="auto"/>
              </w:rPr>
              <w:t>Twelve Months</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Ending</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Ending</w:t>
            </w:r>
          </w:p>
        </w:tc>
        <w:tc>
          <w:tcPr>
            <w:tcW w:w="12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Mar 31, 2015</w:t>
            </w:r>
          </w:p>
        </w:tc>
        <w:tc>
          <w:tcPr>
            <w:tcW w:w="18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Jun 30, 2015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Dec 31, 2015</w:t>
            </w:r>
          </w:p>
        </w:tc>
        <w:tc>
          <w:tcPr>
            <w:tcW w:w="1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 31, 2015</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Crude Oil Pipelines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American</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Bakken Area Systems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Basin / Mesa / Sunrise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BridgeTex</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Cactus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Capline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Eagle Ford Area Systems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Line 63 / 2000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Manito</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Mid-Continent Area Systems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Permian Basin Area Systems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Rainbow</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Rangeland</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Salt Lake City Area Systems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 Saskatchewan</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White Cliffs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NGL Pipelines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Co-Ed</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Trucking</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Segment Profit per Barrel ($/Bbl)</w:t>
            </w: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Excluding Selected Items Impacting Comparability</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0.62</w:t>
            </w:r>
            <w:r>
              <w:rPr>
                <w:rFonts w:ascii="Arial" w:cs="Arial" w:eastAsia="Arial" w:hAnsi="Arial"/>
                <w:sz w:val="11"/>
                <w:szCs w:val="11"/>
                <w:color w:val="auto"/>
              </w:rPr>
              <w:t>(1)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0.72</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5"/>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ind w:left="980" w:right="26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Facilities</w:t>
      </w:r>
      <w:r>
        <w:rPr>
          <w:rFonts w:ascii="Arial" w:cs="Arial" w:eastAsia="Arial" w:hAnsi="Arial"/>
          <w:sz w:val="16"/>
          <w:szCs w:val="16"/>
          <w:color w:val="auto"/>
        </w:rPr>
        <w:t>. Our Facilities segment operations generally consist of fee-based activities associated with providing storage, terminalling and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throughput services for crude oil, refined products, NGL and natural gas, as well as NGL fractionation and isomerization services and natural</w:t>
      </w:r>
    </w:p>
    <w:p>
      <w:pPr>
        <w:sectPr>
          <w:pgSz w:w="11900" w:h="16838" w:orient="portrait"/>
          <w:cols w:equalWidth="0" w:num="1">
            <w:col w:w="11420"/>
          </w:cols>
          <w:pgMar w:left="240" w:top="341" w:right="239" w:bottom="0" w:gutter="0" w:footer="0" w:header="0"/>
          <w:type w:val="continuous"/>
        </w:sectPr>
      </w:pPr>
    </w:p>
    <w:bookmarkStart w:id="3" w:name="page4"/>
    <w:bookmarkEnd w:id="3"/>
    <w:p>
      <w:pPr>
        <w:ind w:left="980" w:right="360"/>
        <w:spacing w:after="0" w:line="277" w:lineRule="auto"/>
        <w:rPr>
          <w:sz w:val="20"/>
          <w:szCs w:val="20"/>
          <w:color w:val="auto"/>
        </w:rPr>
      </w:pPr>
      <w:r>
        <w:rPr>
          <w:rFonts w:ascii="Arial" w:cs="Arial" w:eastAsia="Arial" w:hAnsi="Arial"/>
          <w:sz w:val="18"/>
          <w:szCs w:val="18"/>
          <w:color w:val="auto"/>
        </w:rPr>
        <w:t>gas and condensate processing services. The Facilities segment generates revenue through a combination of month-to-month and multi-year agreements and processing arrangements.</w:t>
      </w:r>
    </w:p>
    <w:p>
      <w:pPr>
        <w:spacing w:after="0" w:line="170" w:lineRule="exact"/>
        <w:rPr>
          <w:sz w:val="20"/>
          <w:szCs w:val="20"/>
          <w:color w:val="auto"/>
        </w:rPr>
      </w:pPr>
    </w:p>
    <w:p>
      <w:pPr>
        <w:ind w:left="980" w:right="40"/>
        <w:spacing w:after="0" w:line="293" w:lineRule="auto"/>
        <w:rPr>
          <w:sz w:val="20"/>
          <w:szCs w:val="20"/>
          <w:color w:val="auto"/>
        </w:rPr>
      </w:pPr>
      <w:r>
        <w:rPr>
          <w:rFonts w:ascii="Arial" w:cs="Arial" w:eastAsia="Arial" w:hAnsi="Arial"/>
          <w:sz w:val="16"/>
          <w:szCs w:val="16"/>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 Adjusted segment profit is forecasted using the volume assumptions in the table below, priced at forecasted rates, less estimated field operating costs and G&amp;A expenses. Field operating costs do not include depreciation.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Actual</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Guidance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Three Months</w:t>
            </w: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Three Months</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Six Months</w:t>
            </w: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57"/>
              <w:spacing w:after="0" w:line="119" w:lineRule="exact"/>
              <w:rPr>
                <w:sz w:val="20"/>
                <w:szCs w:val="20"/>
                <w:color w:val="auto"/>
              </w:rPr>
            </w:pPr>
            <w:r>
              <w:rPr>
                <w:rFonts w:ascii="Arial" w:cs="Arial" w:eastAsia="Arial" w:hAnsi="Arial"/>
                <w:sz w:val="13"/>
                <w:szCs w:val="13"/>
                <w:b w:val="1"/>
                <w:bCs w:val="1"/>
                <w:color w:val="auto"/>
              </w:rPr>
              <w:t>Twelve Months</w:t>
            </w:r>
          </w:p>
        </w:tc>
        <w:tc>
          <w:tcPr>
            <w:tcW w:w="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Ending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Ending</w:t>
            </w:r>
          </w:p>
        </w:tc>
        <w:tc>
          <w:tcPr>
            <w:tcW w:w="140" w:type="dxa"/>
            <w:vAlign w:val="bottom"/>
          </w:tcPr>
          <w:p>
            <w:pPr>
              <w:spacing w:after="0"/>
              <w:rPr>
                <w:sz w:val="12"/>
                <w:szCs w:val="12"/>
                <w:color w:val="auto"/>
              </w:rPr>
            </w:pPr>
          </w:p>
        </w:tc>
        <w:tc>
          <w:tcPr>
            <w:tcW w:w="15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Mar 31, 2015</w:t>
            </w:r>
          </w:p>
        </w:tc>
        <w:tc>
          <w:tcPr>
            <w:tcW w:w="1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Jun 30, 2015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 31, 2015</w:t>
            </w:r>
          </w:p>
        </w:tc>
        <w:tc>
          <w:tcPr>
            <w:tcW w:w="140" w:type="dxa"/>
            <w:vAlign w:val="bottom"/>
          </w:tcPr>
          <w:p>
            <w:pPr>
              <w:spacing w:after="0"/>
              <w:rPr>
                <w:sz w:val="14"/>
                <w:szCs w:val="14"/>
                <w:color w:val="auto"/>
              </w:rPr>
            </w:pPr>
          </w:p>
        </w:tc>
        <w:tc>
          <w:tcPr>
            <w:tcW w:w="15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Dec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Data</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ind w:left="160"/>
              <w:spacing w:after="0" w:line="201" w:lineRule="exact"/>
              <w:rPr>
                <w:sz w:val="20"/>
                <w:szCs w:val="20"/>
                <w:color w:val="auto"/>
              </w:rPr>
            </w:pPr>
            <w:r>
              <w:rPr>
                <w:rFonts w:ascii="Arial" w:cs="Arial" w:eastAsia="Arial" w:hAnsi="Arial"/>
                <w:sz w:val="18"/>
                <w:szCs w:val="18"/>
                <w:color w:val="auto"/>
                <w:w w:val="97"/>
              </w:rPr>
              <w:t>Crude Oil, Refined Products, and NGL Terminalling and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restart"/>
          </w:tcPr>
          <w:p>
            <w:pPr>
              <w:ind w:left="90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Storage (MMBbls/Mo.)</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Rail Load / Unload Volumes (MBbls/d)</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ind w:left="900"/>
              <w:spacing w:after="0" w:line="196" w:lineRule="exact"/>
              <w:rPr>
                <w:sz w:val="20"/>
                <w:szCs w:val="20"/>
                <w:color w:val="auto"/>
              </w:rPr>
            </w:pPr>
            <w:r>
              <w:rPr>
                <w:rFonts w:ascii="Arial" w:cs="Arial" w:eastAsia="Arial" w:hAnsi="Arial"/>
                <w:sz w:val="18"/>
                <w:szCs w:val="18"/>
                <w:color w:val="auto"/>
                <w:w w:val="79"/>
              </w:rPr>
              <w:t>350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160"/>
              <w:spacing w:after="0"/>
              <w:rPr>
                <w:sz w:val="20"/>
                <w:szCs w:val="20"/>
                <w:color w:val="auto"/>
              </w:rPr>
            </w:pPr>
            <w:r>
              <w:rPr>
                <w:rFonts w:ascii="Arial" w:cs="Arial" w:eastAsia="Arial" w:hAnsi="Arial"/>
                <w:sz w:val="18"/>
                <w:szCs w:val="18"/>
                <w:color w:val="auto"/>
              </w:rPr>
              <w:t>Natural Gas Storage (Bcf/Mo.)</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80"/>
              <w:spacing w:after="0" w:line="196" w:lineRule="exact"/>
              <w:rPr>
                <w:sz w:val="20"/>
                <w:szCs w:val="20"/>
                <w:color w:val="auto"/>
              </w:rPr>
            </w:pPr>
            <w:r>
              <w:rPr>
                <w:rFonts w:ascii="Arial" w:cs="Arial" w:eastAsia="Arial" w:hAnsi="Arial"/>
                <w:sz w:val="18"/>
                <w:szCs w:val="18"/>
                <w:color w:val="auto"/>
                <w:w w:val="79"/>
              </w:rPr>
              <w:t>97</w:t>
            </w: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NGL Fractionation (MBbls/d)</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900"/>
              <w:spacing w:after="0" w:line="196" w:lineRule="exact"/>
              <w:rPr>
                <w:sz w:val="20"/>
                <w:szCs w:val="20"/>
                <w:color w:val="auto"/>
              </w:rPr>
            </w:pPr>
            <w:r>
              <w:rPr>
                <w:rFonts w:ascii="Arial" w:cs="Arial" w:eastAsia="Arial" w:hAnsi="Arial"/>
                <w:sz w:val="18"/>
                <w:szCs w:val="18"/>
                <w:color w:val="auto"/>
                <w:w w:val="79"/>
              </w:rPr>
              <w:t>115</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160"/>
              <w:spacing w:after="0"/>
              <w:rPr>
                <w:sz w:val="20"/>
                <w:szCs w:val="20"/>
                <w:color w:val="auto"/>
              </w:rPr>
            </w:pPr>
            <w:r>
              <w:rPr>
                <w:rFonts w:ascii="Arial" w:cs="Arial" w:eastAsia="Arial" w:hAnsi="Arial"/>
                <w:sz w:val="18"/>
                <w:szCs w:val="18"/>
                <w:color w:val="auto"/>
              </w:rPr>
              <w:t>Facilities Activities Total</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Avg. Capacity (MMBbls/Mo.)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per Barrel ($/Bbl)</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Excluding Selected Items Impacting Comparability</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0.39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r>
              <w:rPr>
                <w:rFonts w:ascii="Arial" w:cs="Arial" w:eastAsia="Arial" w:hAnsi="Arial"/>
                <w:sz w:val="11"/>
                <w:szCs w:val="11"/>
                <w:color w:val="auto"/>
              </w:rPr>
              <w:t>(2)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860"/>
              <w:spacing w:after="0"/>
              <w:rPr>
                <w:sz w:val="20"/>
                <w:szCs w:val="20"/>
                <w:color w:val="auto"/>
              </w:rPr>
            </w:pPr>
            <w:r>
              <w:rPr>
                <w:rFonts w:ascii="Arial" w:cs="Arial" w:eastAsia="Arial" w:hAnsi="Arial"/>
                <w:sz w:val="18"/>
                <w:szCs w:val="18"/>
                <w:color w:val="auto"/>
              </w:rPr>
              <w:t>0.40</w:t>
            </w:r>
            <w:r>
              <w:rPr>
                <w:rFonts w:ascii="Arial" w:cs="Arial" w:eastAsia="Arial" w:hAnsi="Arial"/>
                <w:sz w:val="11"/>
                <w:szCs w:val="11"/>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0.38</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20" w:hanging="320"/>
        <w:spacing w:after="0"/>
        <w:tabs>
          <w:tab w:leader="none" w:pos="1287" w:val="left"/>
        </w:tabs>
        <w:numPr>
          <w:ilvl w:val="2"/>
          <w:numId w:val="7"/>
        </w:numPr>
        <w:rPr>
          <w:rFonts w:ascii="Arial" w:cs="Arial" w:eastAsia="Arial" w:hAnsi="Arial"/>
          <w:sz w:val="23"/>
          <w:szCs w:val="23"/>
          <w:color w:val="auto"/>
          <w:vertAlign w:val="superscript"/>
        </w:rPr>
      </w:pPr>
      <w:r>
        <w:rPr>
          <w:rFonts w:ascii="Arial" w:cs="Arial" w:eastAsia="Arial" w:hAnsi="Arial"/>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70" w:lineRule="exact"/>
        <w:rPr>
          <w:rFonts w:ascii="Arial" w:cs="Arial" w:eastAsia="Arial" w:hAnsi="Arial"/>
          <w:sz w:val="23"/>
          <w:szCs w:val="23"/>
          <w:color w:val="auto"/>
          <w:vertAlign w:val="superscript"/>
        </w:rPr>
      </w:pPr>
    </w:p>
    <w:p>
      <w:pPr>
        <w:ind w:left="1300" w:hanging="320"/>
        <w:spacing w:after="0"/>
        <w:tabs>
          <w:tab w:leader="none" w:pos="1300" w:val="left"/>
        </w:tabs>
        <w:numPr>
          <w:ilvl w:val="2"/>
          <w:numId w:val="7"/>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color w:val="auto"/>
        </w:rPr>
        <w:t>c.</w:t>
      </w:r>
      <w:r>
        <w:rPr>
          <w:rFonts w:ascii="Arial" w:cs="Arial" w:eastAsia="Arial" w:hAnsi="Arial"/>
          <w:sz w:val="16"/>
          <w:szCs w:val="16"/>
          <w:i w:val="1"/>
          <w:iCs w:val="1"/>
          <w:color w:val="auto"/>
        </w:rPr>
        <w:t>Supply and Logistics</w:t>
      </w:r>
      <w:r>
        <w:rPr>
          <w:rFonts w:ascii="Arial" w:cs="Arial" w:eastAsia="Arial" w:hAnsi="Arial"/>
          <w:sz w:val="16"/>
          <w:szCs w:val="16"/>
          <w:color w:val="auto"/>
        </w:rPr>
        <w:t>. Our Supply and Logistics segment operations generally consist of the following merchant-related activities:</w:t>
      </w:r>
    </w:p>
    <w:p>
      <w:pPr>
        <w:spacing w:after="0" w:line="225" w:lineRule="exact"/>
        <w:rPr>
          <w:rFonts w:ascii="Arial" w:cs="Arial" w:eastAsia="Arial" w:hAnsi="Arial"/>
          <w:sz w:val="23"/>
          <w:szCs w:val="23"/>
          <w:color w:val="auto"/>
          <w:vertAlign w:val="superscript"/>
        </w:rPr>
      </w:pPr>
    </w:p>
    <w:p>
      <w:pPr>
        <w:ind w:left="1220" w:right="340" w:hanging="321"/>
        <w:spacing w:after="0" w:line="277"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pacing w:after="0" w:line="225" w:lineRule="exact"/>
        <w:rPr>
          <w:rFonts w:ascii="Arial" w:cs="Arial" w:eastAsia="Arial" w:hAnsi="Arial"/>
          <w:sz w:val="18"/>
          <w:szCs w:val="18"/>
          <w:color w:val="auto"/>
        </w:rPr>
      </w:pPr>
    </w:p>
    <w:p>
      <w:pPr>
        <w:ind w:left="1220" w:right="280" w:hanging="321"/>
        <w:spacing w:after="0" w:line="277"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June 30, 2015 reflect current market structure and for the six-month and twelve-month periods ending December 31, 2015 reflect the anticipated market structure as well as seasonal, and weather-related and other anticipated variations in crude oil, NGL and natural gas sales. Variations in weather, market structure or volatility could cause actual results to differ materially from forecasted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We forecast adjusted segment profit using the volume assumptions stated below, as well as estimates of unit margins, field operating costs, G&amp;A expenses and carrying costs for hedged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ind w:left="5240"/>
        <w:spacing w:after="0"/>
        <w:tabs>
          <w:tab w:leader="none" w:pos="8440" w:val="left"/>
        </w:tabs>
        <w:rPr>
          <w:sz w:val="20"/>
          <w:szCs w:val="20"/>
          <w:color w:val="auto"/>
        </w:rPr>
      </w:pPr>
      <w:r>
        <w:rPr>
          <w:rFonts w:ascii="Arial" w:cs="Arial" w:eastAsia="Arial" w:hAnsi="Arial"/>
          <w:sz w:val="13"/>
          <w:szCs w:val="13"/>
          <w:b w:val="1"/>
          <w:bCs w:val="1"/>
          <w:color w:val="auto"/>
        </w:rPr>
        <w:t>Actual</w:t>
      </w:r>
      <w:r>
        <w:rPr>
          <w:sz w:val="20"/>
          <w:szCs w:val="20"/>
          <w:color w:val="auto"/>
        </w:rPr>
        <w:tab/>
      </w:r>
      <w:r>
        <w:rPr>
          <w:rFonts w:ascii="Arial" w:cs="Arial" w:eastAsia="Arial" w:hAnsi="Arial"/>
          <w:sz w:val="13"/>
          <w:szCs w:val="13"/>
          <w:b w:val="1"/>
          <w:bCs w:val="1"/>
          <w:color w:val="auto"/>
        </w:rPr>
        <w:t>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13970</wp:posOffset>
            </wp:positionV>
            <wp:extent cx="4013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Ending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Ending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Mar 31, 2015</w:t>
            </w:r>
          </w:p>
        </w:tc>
        <w:tc>
          <w:tcPr>
            <w:tcW w:w="1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Jun 30, 2015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 31, 2015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Crude Oil Lease Gathering Purchases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3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Segment Profit per Barrel ($/Bbl)</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Excluding Selected Items Impacting Comparability</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0.63</w:t>
            </w:r>
            <w:r>
              <w:rPr>
                <w:rFonts w:ascii="Arial" w:cs="Arial" w:eastAsia="Arial" w:hAnsi="Arial"/>
                <w:sz w:val="11"/>
                <w:szCs w:val="11"/>
                <w:color w:val="auto"/>
              </w:rPr>
              <w:t>(1)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r>
              <w:rPr>
                <w:rFonts w:ascii="Arial" w:cs="Arial" w:eastAsia="Arial" w:hAnsi="Arial"/>
                <w:sz w:val="11"/>
                <w:szCs w:val="11"/>
                <w:color w:val="auto"/>
              </w:rPr>
              <w:t>(1)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ind w:left="340" w:right="16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also vary due to gains and losses on intermittent sales of assets, asset retirement obligations, asset impairments, acceleration of depreciation or foreign exchange rates.</w:t>
      </w:r>
    </w:p>
    <w:p>
      <w:pPr>
        <w:spacing w:after="0" w:line="181" w:lineRule="exact"/>
        <w:rPr>
          <w:rFonts w:ascii="Arial" w:cs="Arial" w:eastAsia="Arial" w:hAnsi="Arial"/>
          <w:sz w:val="18"/>
          <w:szCs w:val="18"/>
          <w:color w:val="auto"/>
        </w:rPr>
      </w:pPr>
    </w:p>
    <w:p>
      <w:pPr>
        <w:ind w:left="340" w:right="40" w:hanging="332"/>
        <w:spacing w:after="0" w:line="276" w:lineRule="auto"/>
        <w:tabs>
          <w:tab w:leader="none" w:pos="19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and Acquisitions. </w:t>
      </w:r>
      <w:r>
        <w:rPr>
          <w:rFonts w:ascii="Arial" w:cs="Arial" w:eastAsia="Arial" w:hAnsi="Arial"/>
          <w:sz w:val="17"/>
          <w:szCs w:val="17"/>
          <w:color w:val="auto"/>
        </w:rPr>
        <w:t>Although acquisitions constitute a key element of our growth strategy, the forecasted results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do not include any forecasts for acquisitions that we may commit to after the date hereof. We forecast capital expenditures during calendar year 2015 to be approximately $2.15 billion for expansion projects with an additional $205 to $225 million for maintenance capital projects. During the first three months of 2015, we spent $586 million and $50 million for expansion and maintenance projects, respectively. The following are some of the more notable projects and forecasted expenditures for the year ending December 31, 2015:</w:t>
      </w:r>
    </w:p>
    <w:p>
      <w:pPr>
        <w:spacing w:after="0" w:line="164"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Calendar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 Permian Basin Area Projects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 Fort Saskatchewan Facility Projects / NGL Line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Arial" w:cs="Arial" w:eastAsia="Arial" w:hAnsi="Arial"/>
                <w:sz w:val="18"/>
                <w:szCs w:val="18"/>
                <w:color w:val="auto"/>
              </w:rPr>
              <w:t xml:space="preserve">· Rail Terminal Projects </w:t>
            </w:r>
            <w:r>
              <w:rPr>
                <w:rFonts w:ascii="Arial" w:cs="Arial" w:eastAsia="Arial" w:hAnsi="Arial"/>
                <w:sz w:val="23"/>
                <w:szCs w:val="23"/>
                <w:color w:val="auto"/>
                <w:vertAlign w:val="superscript"/>
              </w:rPr>
              <w:t>(1)</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 Cactus Pipeline </w:t>
            </w:r>
            <w:r>
              <w:rPr>
                <w:rFonts w:ascii="Arial" w:cs="Arial" w:eastAsia="Arial" w:hAnsi="Arial"/>
                <w:sz w:val="23"/>
                <w:szCs w:val="23"/>
                <w:color w:val="auto"/>
                <w:vertAlign w:val="superscript"/>
              </w:rPr>
              <w:t>(2)</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 Diamond Pipeline</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 Red River Pipeline (Cushing to Longview)</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 Saddlehorn Pipeline</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 Eagle Ford JV Project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 Cowboy Pipeline (Cheyenne to Carr)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 Eagle Ford Area Projects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 Cushing Terminal Expansions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 Line 63 Reactivation</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Other Projects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450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(3)</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$50 + $100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Projected Expansion Capital Expenditures</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$2,100 - $2,250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$205 - $225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railcar purchases and projects located in or near St. James, LA and Kerrobert, Canada.</w:t>
      </w:r>
    </w:p>
    <w:p>
      <w:pPr>
        <w:spacing w:after="0" w:line="1" w:lineRule="exact"/>
        <w:rPr>
          <w:rFonts w:ascii="Arial" w:cs="Arial" w:eastAsia="Arial" w:hAnsi="Arial"/>
          <w:sz w:val="23"/>
          <w:szCs w:val="23"/>
          <w:color w:val="auto"/>
          <w:vertAlign w:val="superscript"/>
        </w:rPr>
      </w:pPr>
    </w:p>
    <w:p>
      <w:pPr>
        <w:ind w:left="1300" w:hanging="320"/>
        <w:spacing w:after="0" w:line="194" w:lineRule="auto"/>
        <w:tabs>
          <w:tab w:leader="none" w:pos="130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linefill costs associated with the project.</w:t>
      </w:r>
    </w:p>
    <w:p>
      <w:pPr>
        <w:spacing w:after="0" w:line="2" w:lineRule="exact"/>
        <w:rPr>
          <w:rFonts w:ascii="Arial" w:cs="Arial" w:eastAsia="Arial" w:hAnsi="Arial"/>
          <w:sz w:val="23"/>
          <w:szCs w:val="23"/>
          <w:color w:val="auto"/>
          <w:vertAlign w:val="superscript"/>
        </w:rPr>
      </w:pPr>
    </w:p>
    <w:p>
      <w:pPr>
        <w:ind w:left="1300" w:hanging="320"/>
        <w:spacing w:after="0" w:line="213" w:lineRule="auto"/>
        <w:tabs>
          <w:tab w:leader="none" w:pos="130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Potential variation to current capital costs estimates may result from (i) changes to project design, (ii) final cost of materials and labor and</w:t>
      </w:r>
    </w:p>
    <w:p>
      <w:pPr>
        <w:spacing w:after="0" w:line="1" w:lineRule="exact"/>
        <w:rPr>
          <w:rFonts w:ascii="Arial" w:cs="Arial" w:eastAsia="Arial" w:hAnsi="Arial"/>
          <w:sz w:val="21"/>
          <w:szCs w:val="21"/>
          <w:color w:val="auto"/>
          <w:vertAlign w:val="superscript"/>
        </w:rPr>
      </w:pPr>
    </w:p>
    <w:p>
      <w:pPr>
        <w:ind w:left="1620" w:hanging="315"/>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timing of incurrence of costs due to uncontrollable factors such as permits, regulatory approvals and weather.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46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Capital Structure. </w:t>
      </w:r>
      <w:r>
        <w:rPr>
          <w:rFonts w:ascii="Arial" w:cs="Arial" w:eastAsia="Arial" w:hAnsi="Arial"/>
          <w:sz w:val="18"/>
          <w:szCs w:val="18"/>
          <w:color w:val="auto"/>
        </w:rPr>
        <w:t>This guidance is based on our capital structure as of March 31, 2015 and adjusted for estimated equity issuances and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to fund our capital program.</w:t>
      </w:r>
    </w:p>
    <w:p>
      <w:pPr>
        <w:spacing w:after="0" w:line="170"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Debt balances are projected based on estimated cash flows, estimated distribution rates, estimated capital expenditures for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April 2015.</w:t>
      </w:r>
    </w:p>
    <w:p>
      <w:pPr>
        <w:spacing w:after="0" w:line="186" w:lineRule="exact"/>
        <w:rPr>
          <w:rFonts w:ascii="Arial" w:cs="Arial" w:eastAsia="Arial" w:hAnsi="Arial"/>
          <w:sz w:val="18"/>
          <w:szCs w:val="18"/>
          <w:color w:val="auto"/>
        </w:rPr>
      </w:pPr>
    </w:p>
    <w:p>
      <w:pPr>
        <w:ind w:left="340" w:right="220"/>
        <w:spacing w:after="0" w:line="264" w:lineRule="auto"/>
        <w:rPr>
          <w:rFonts w:ascii="Arial" w:cs="Arial" w:eastAsia="Arial" w:hAnsi="Arial"/>
          <w:sz w:val="18"/>
          <w:szCs w:val="18"/>
          <w:color w:val="auto"/>
        </w:rPr>
      </w:pPr>
      <w:r>
        <w:rPr>
          <w:rFonts w:ascii="Arial" w:cs="Arial" w:eastAsia="Arial" w:hAnsi="Arial"/>
          <w:sz w:val="18"/>
          <w:szCs w:val="18"/>
          <w:color w:val="auto"/>
        </w:rPr>
        <w:t>Interest expense is net of amounts capitalized for expansion capital projects and does not include interest on borrowings for hedged inventory. We treat interest on hedged inventory borrowings as carrying costs of crude oil, NGL, and natural gas and include it in purchases and related costs. Interest expense includes an assumed fixed rate senior notes offering in 2015.</w:t>
      </w:r>
    </w:p>
    <w:p>
      <w:pPr>
        <w:spacing w:after="0" w:line="181" w:lineRule="exact"/>
        <w:rPr>
          <w:rFonts w:ascii="Arial" w:cs="Arial" w:eastAsia="Arial" w:hAnsi="Arial"/>
          <w:sz w:val="18"/>
          <w:szCs w:val="18"/>
          <w:color w:val="auto"/>
        </w:rPr>
      </w:pPr>
    </w:p>
    <w:p>
      <w:pPr>
        <w:ind w:left="340" w:right="120" w:hanging="314"/>
        <w:spacing w:after="0" w:line="279" w:lineRule="auto"/>
        <w:tabs>
          <w:tab w:leader="none" w:pos="344"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expect our Canadian income tax expense to be approximately $7 million and $75 million for the three-month period ending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2015 and twelve-month period ending December 31,2015, respectively, of which approximately $6 million and $92 million, respectively, is classified as a current income tax expense. For the twelve-month period ending December 31, 2015 we expect to have a deferred tax benefit of $17 million. All or part of the annual income tax expense of $75 million may result in a tax credit to our equity holders.</w:t>
      </w:r>
    </w:p>
    <w:p>
      <w:pPr>
        <w:spacing w:after="0" w:line="171" w:lineRule="exact"/>
        <w:rPr>
          <w:sz w:val="20"/>
          <w:szCs w:val="20"/>
          <w:color w:val="auto"/>
        </w:rPr>
      </w:pPr>
    </w:p>
    <w:p>
      <w:pPr>
        <w:ind w:left="340" w:right="260" w:hanging="332"/>
        <w:spacing w:after="0" w:line="30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Equity-Indexed Compensation Plans. </w:t>
      </w:r>
      <w:r>
        <w:rPr>
          <w:rFonts w:ascii="Arial" w:cs="Arial" w:eastAsia="Arial" w:hAnsi="Arial"/>
          <w:sz w:val="16"/>
          <w:szCs w:val="16"/>
          <w:color w:val="auto"/>
        </w:rPr>
        <w:t>The majority of grants outstanding under our various equity-indexed compensation plans contain vesting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May 4, 2015, estimated vesting dates range from May 2015 to August 2019 and annualized benchmark distribution levels range from $2.075 to $3.20.</w:t>
      </w:r>
    </w:p>
    <w:p>
      <w:pPr>
        <w:sectPr>
          <w:pgSz w:w="11900" w:h="16958" w:orient="portrait"/>
          <w:cols w:equalWidth="0" w:num="1">
            <w:col w:w="11420"/>
          </w:cols>
          <w:pgMar w:left="240" w:top="104" w:right="239" w:bottom="0" w:gutter="0" w:footer="0" w:header="0"/>
        </w:sectPr>
      </w:pPr>
    </w:p>
    <w:bookmarkStart w:id="5" w:name="page6"/>
    <w:bookmarkEnd w:id="5"/>
    <w:p>
      <w:pPr>
        <w:ind w:left="340" w:right="180"/>
        <w:spacing w:after="0" w:line="271" w:lineRule="auto"/>
        <w:rPr>
          <w:sz w:val="20"/>
          <w:szCs w:val="20"/>
          <w:color w:val="auto"/>
        </w:rPr>
      </w:pPr>
      <w:r>
        <w:rPr>
          <w:rFonts w:ascii="Arial" w:cs="Arial" w:eastAsia="Arial" w:hAnsi="Arial"/>
          <w:sz w:val="17"/>
          <w:szCs w:val="17"/>
          <w:color w:val="auto"/>
        </w:rPr>
        <w:t>On April 7, 2015, we declared an annualized distribution of $2.74 payable on May 15, 2015 to our unitholders of record as of May 1, 2015. For the purposes of guidance, we have made the assessment that an annualized $2.90 distribution level is probable of occurring, and accordingly, guidance includes an accrual over the applicable service period at an assumed market price of $49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our then current probability assessment regarding distributions, and (iv) new equity-indexed compensation award grants, including the timing of such grant issuances. For example, a $2 change in the unit price would change the second-quarter equity-indexed compensation expense by approximately $5 million and the full year equity-indexed compensation expense by approximately $6 million. Therefore, actual net income could differ from our projections.</w:t>
      </w:r>
    </w:p>
    <w:p>
      <w:pPr>
        <w:spacing w:after="0" w:line="179" w:lineRule="exact"/>
        <w:rPr>
          <w:sz w:val="20"/>
          <w:szCs w:val="20"/>
          <w:color w:val="auto"/>
        </w:rPr>
      </w:pPr>
    </w:p>
    <w:p>
      <w:pPr>
        <w:ind w:left="340" w:right="28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EBITDA and Adjusted EBITDA. </w:t>
      </w:r>
      <w:r>
        <w:rPr>
          <w:rFonts w:ascii="Arial" w:cs="Arial" w:eastAsia="Arial" w:hAnsi="Arial"/>
          <w:sz w:val="18"/>
          <w:szCs w:val="18"/>
          <w:color w:val="auto"/>
        </w:rPr>
        <w:t>The following table reconciles net income to EBITDA and Adjusted EBITDA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Actual</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Guidance</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57"/>
              <w:spacing w:after="0" w:line="119" w:lineRule="exact"/>
              <w:rPr>
                <w:sz w:val="20"/>
                <w:szCs w:val="20"/>
                <w:color w:val="auto"/>
              </w:rPr>
            </w:pPr>
            <w:r>
              <w:rPr>
                <w:rFonts w:ascii="Arial" w:cs="Arial" w:eastAsia="Arial" w:hAnsi="Arial"/>
                <w:sz w:val="13"/>
                <w:szCs w:val="13"/>
                <w:b w:val="1"/>
                <w:bCs w:val="1"/>
                <w:color w:val="auto"/>
              </w:rPr>
              <w:t>Three Months</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4"/>
          </w:tcPr>
          <w:p>
            <w:pPr>
              <w:jc w:val="right"/>
              <w:spacing w:after="0" w:line="119" w:lineRule="exact"/>
              <w:rPr>
                <w:sz w:val="20"/>
                <w:szCs w:val="20"/>
                <w:color w:val="auto"/>
              </w:rPr>
            </w:pPr>
            <w:r>
              <w:rPr>
                <w:rFonts w:ascii="Arial" w:cs="Arial" w:eastAsia="Arial" w:hAnsi="Arial"/>
                <w:sz w:val="13"/>
                <w:szCs w:val="13"/>
                <w:b w:val="1"/>
                <w:bCs w:val="1"/>
                <w:color w:val="auto"/>
              </w:rPr>
              <w:t>Three Months Ending</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100" w:type="dxa"/>
            <w:vAlign w:val="bottom"/>
            <w:tcBorders>
              <w:top w:val="single" w:sz="8" w:color="auto"/>
            </w:tcBorders>
            <w:gridSpan w:val="5"/>
          </w:tcPr>
          <w:p>
            <w:pPr>
              <w:jc w:val="right"/>
              <w:ind w:right="680"/>
              <w:spacing w:after="0" w:line="119" w:lineRule="exact"/>
              <w:rPr>
                <w:sz w:val="20"/>
                <w:szCs w:val="20"/>
                <w:color w:val="auto"/>
              </w:rPr>
            </w:pPr>
            <w:r>
              <w:rPr>
                <w:rFonts w:ascii="Arial" w:cs="Arial" w:eastAsia="Arial" w:hAnsi="Arial"/>
                <w:sz w:val="13"/>
                <w:szCs w:val="13"/>
                <w:b w:val="1"/>
                <w:bCs w:val="1"/>
                <w:color w:val="auto"/>
              </w:rPr>
              <w:t>Six Months Ending</w:t>
            </w:r>
          </w:p>
        </w:tc>
        <w:tc>
          <w:tcPr>
            <w:tcW w:w="18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4"/>
          </w:tcPr>
          <w:p>
            <w:pPr>
              <w:jc w:val="right"/>
              <w:ind w:right="212"/>
              <w:spacing w:after="0" w:line="119" w:lineRule="exact"/>
              <w:rPr>
                <w:sz w:val="20"/>
                <w:szCs w:val="20"/>
                <w:color w:val="auto"/>
              </w:rPr>
            </w:pPr>
            <w:r>
              <w:rPr>
                <w:rFonts w:ascii="Arial" w:cs="Arial" w:eastAsia="Arial" w:hAnsi="Arial"/>
                <w:sz w:val="13"/>
                <w:szCs w:val="13"/>
                <w:b w:val="1"/>
                <w:bCs w:val="1"/>
                <w:color w:val="auto"/>
              </w:rPr>
              <w:t>Twelve Months Ending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Jun 30, 2015</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2015</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2015</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6"/>
              </w:rPr>
              <w:t>Mar 31, 2015</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96"/>
              </w:rPr>
              <w:t>High</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96"/>
              </w:rPr>
              <w:t>High</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to EBITDA and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840" w:type="dxa"/>
            <w:vAlign w:val="bottom"/>
            <w:gridSpan w:val="2"/>
          </w:tcPr>
          <w:p>
            <w:pPr>
              <w:jc w:val="right"/>
              <w:ind w:right="456"/>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258</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2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Selected Items Impacting</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60"/>
              <w:spacing w:after="0"/>
              <w:rPr>
                <w:sz w:val="20"/>
                <w:szCs w:val="20"/>
                <w:color w:val="auto"/>
              </w:rPr>
            </w:pPr>
            <w:r>
              <w:rPr>
                <w:rFonts w:ascii="Arial" w:cs="Arial" w:eastAsia="Arial" w:hAnsi="Arial"/>
                <w:sz w:val="18"/>
                <w:szCs w:val="18"/>
                <w:color w:val="auto"/>
              </w:rPr>
              <w:t>Comparability of EBITDA</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8</w:t>
            </w: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i w:val="1"/>
          <w:iCs w:val="1"/>
          <w:color w:val="auto"/>
        </w:rPr>
        <w:t>Implied DCF.</w:t>
      </w:r>
      <w:r>
        <w:rPr>
          <w:rFonts w:ascii="Arial" w:cs="Arial" w:eastAsia="Arial" w:hAnsi="Arial"/>
          <w:sz w:val="18"/>
          <w:szCs w:val="18"/>
          <w:color w:val="auto"/>
        </w:rPr>
        <w:t xml:space="preserve"> The following table reconciles adjusted EBITDA to implied DCF for the indicated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Actual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Mid-Point Guidance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19"/>
        </w:trPr>
        <w:tc>
          <w:tcPr>
            <w:tcW w:w="6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Three Months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Three Months</w:t>
            </w:r>
          </w:p>
        </w:tc>
        <w:tc>
          <w:tcPr>
            <w:tcW w:w="2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Six Months</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Twelve Months</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49"/>
        </w:trPr>
        <w:tc>
          <w:tcPr>
            <w:tcW w:w="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Ending</w:t>
            </w:r>
          </w:p>
        </w:tc>
        <w:tc>
          <w:tcPr>
            <w:tcW w:w="2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Ending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920" w:type="dxa"/>
            <w:vAlign w:val="bottom"/>
          </w:tcPr>
          <w:p>
            <w:pPr>
              <w:spacing w:after="0"/>
              <w:rPr>
                <w:sz w:val="12"/>
                <w:szCs w:val="12"/>
                <w:color w:val="auto"/>
              </w:rPr>
            </w:pPr>
          </w:p>
        </w:tc>
      </w:tr>
      <w:tr>
        <w:trPr>
          <w:trHeight w:val="171"/>
        </w:trPr>
        <w:tc>
          <w:tcPr>
            <w:tcW w:w="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 31, 2015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Jun 30, 2015</w:t>
            </w:r>
          </w:p>
        </w:tc>
        <w:tc>
          <w:tcPr>
            <w:tcW w:w="2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 31, 2015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 31, 2015</w:t>
            </w:r>
          </w:p>
        </w:tc>
        <w:tc>
          <w:tcPr>
            <w:tcW w:w="92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2,325</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18"/>
                <w:szCs w:val="18"/>
                <w:color w:val="auto"/>
              </w:rPr>
            </w:pPr>
          </w:p>
        </w:tc>
      </w:tr>
      <w:tr>
        <w:trPr>
          <w:trHeight w:val="210"/>
        </w:trPr>
        <w:tc>
          <w:tcPr>
            <w:tcW w:w="3600" w:type="dxa"/>
            <w:vAlign w:val="bottom"/>
            <w:gridSpan w:val="2"/>
          </w:tcPr>
          <w:p>
            <w:pPr>
              <w:ind w:left="660"/>
              <w:spacing w:after="0"/>
              <w:rPr>
                <w:sz w:val="20"/>
                <w:szCs w:val="20"/>
                <w:color w:val="auto"/>
              </w:rPr>
            </w:pPr>
            <w:r>
              <w:rPr>
                <w:rFonts w:ascii="Arial" w:cs="Arial" w:eastAsia="Arial" w:hAnsi="Arial"/>
                <w:sz w:val="18"/>
                <w:szCs w:val="18"/>
                <w:color w:val="auto"/>
              </w:rPr>
              <w:t>Implied DCF</w:t>
            </w: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29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229" w:lineRule="exact"/>
        <w:rPr>
          <w:sz w:val="20"/>
          <w:szCs w:val="20"/>
          <w:color w:val="auto"/>
        </w:rPr>
      </w:pPr>
    </w:p>
    <w:p>
      <w:pPr>
        <w:ind w:right="80" w:firstLine="285"/>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25" w:lineRule="exact"/>
        <w:rPr>
          <w:rFonts w:ascii="Arial" w:cs="Arial" w:eastAsia="Arial" w:hAnsi="Arial"/>
          <w:sz w:val="18"/>
          <w:szCs w:val="18"/>
          <w:color w:val="auto"/>
        </w:rPr>
      </w:pPr>
    </w:p>
    <w:p>
      <w:pPr>
        <w:ind w:left="340" w:right="160" w:hanging="332"/>
        <w:spacing w:after="0" w:line="286" w:lineRule="auto"/>
        <w:tabs>
          <w:tab w:leader="none" w:pos="3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5" w:lineRule="exact"/>
        <w:rPr>
          <w:rFonts w:ascii="Arial" w:cs="Arial" w:eastAsia="Arial" w:hAnsi="Arial"/>
          <w:sz w:val="17"/>
          <w:szCs w:val="17"/>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ectPr>
          <w:pgSz w:w="11900" w:h="16838" w:orient="portrait"/>
          <w:cols w:equalWidth="0" w:num="1">
            <w:col w:w="11460"/>
          </w:cols>
          <w:pgMar w:left="240" w:top="341" w:right="199" w:bottom="0" w:gutter="0" w:footer="0" w:header="0"/>
        </w:sectPr>
      </w:pPr>
    </w:p>
    <w:bookmarkStart w:id="6" w:name="page7"/>
    <w:bookmarkEnd w:id="6"/>
    <w:p>
      <w:pPr>
        <w:ind w:left="340" w:right="340" w:hanging="332"/>
        <w:spacing w:after="0" w:line="308" w:lineRule="auto"/>
        <w:tabs>
          <w:tab w:leader="none" w:pos="3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6" w:lineRule="exact"/>
        <w:rPr>
          <w:rFonts w:ascii="Arial" w:cs="Arial" w:eastAsia="Arial" w:hAnsi="Arial"/>
          <w:sz w:val="17"/>
          <w:szCs w:val="17"/>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520" w:hanging="332"/>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4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540" w:type="dxa"/>
            <w:vAlign w:val="bottom"/>
          </w:tcPr>
          <w:p>
            <w:pPr>
              <w:spacing w:after="0"/>
              <w:rPr>
                <w:sz w:val="24"/>
                <w:szCs w:val="24"/>
                <w:color w:val="auto"/>
              </w:rPr>
            </w:pPr>
          </w:p>
        </w:tc>
        <w:tc>
          <w:tcPr>
            <w:tcW w:w="2700" w:type="dxa"/>
            <w:vAlign w:val="bottom"/>
          </w:tcPr>
          <w:p>
            <w:pPr>
              <w:ind w:left="218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3540" w:type="dxa"/>
            <w:vAlign w:val="bottom"/>
          </w:tcPr>
          <w:p>
            <w:pPr>
              <w:spacing w:after="0"/>
              <w:rPr>
                <w:sz w:val="24"/>
                <w:szCs w:val="24"/>
                <w:color w:val="auto"/>
              </w:rPr>
            </w:pPr>
          </w:p>
        </w:tc>
        <w:tc>
          <w:tcPr>
            <w:tcW w:w="2700" w:type="dxa"/>
            <w:vAlign w:val="bottom"/>
          </w:tcPr>
          <w:p>
            <w:pPr>
              <w:ind w:left="218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PLAINS AAP, L. P., its sole member</w:t>
            </w:r>
          </w:p>
        </w:tc>
      </w:tr>
      <w:tr>
        <w:trPr>
          <w:trHeight w:val="432"/>
        </w:trPr>
        <w:tc>
          <w:tcPr>
            <w:tcW w:w="3540" w:type="dxa"/>
            <w:vAlign w:val="bottom"/>
          </w:tcPr>
          <w:p>
            <w:pPr>
              <w:spacing w:after="0"/>
              <w:rPr>
                <w:sz w:val="24"/>
                <w:szCs w:val="24"/>
                <w:color w:val="auto"/>
              </w:rPr>
            </w:pPr>
          </w:p>
        </w:tc>
        <w:tc>
          <w:tcPr>
            <w:tcW w:w="2700" w:type="dxa"/>
            <w:vAlign w:val="bottom"/>
          </w:tcPr>
          <w:p>
            <w:pPr>
              <w:ind w:left="218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5, 2015</w:t>
            </w:r>
          </w:p>
        </w:tc>
        <w:tc>
          <w:tcPr>
            <w:tcW w:w="2700" w:type="dxa"/>
            <w:vAlign w:val="bottom"/>
          </w:tcPr>
          <w:p>
            <w:pPr>
              <w:ind w:left="21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r>
      <w:tr>
        <w:trPr>
          <w:trHeight w:val="195"/>
        </w:trPr>
        <w:tc>
          <w:tcPr>
            <w:tcW w:w="35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Name: Sharon Spurlin</w:t>
            </w:r>
          </w:p>
        </w:tc>
      </w:tr>
      <w:tr>
        <w:trPr>
          <w:trHeight w:val="230"/>
        </w:trPr>
        <w:tc>
          <w:tcPr>
            <w:tcW w:w="3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Vice President and Treasurer</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154940</wp:posOffset>
            </wp:positionV>
            <wp:extent cx="6157595" cy="702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75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2015 Results</w:t>
      </w:r>
    </w:p>
    <w:p>
      <w:pPr>
        <w:spacing w:after="0" w:line="229" w:lineRule="exact"/>
        <w:rPr>
          <w:sz w:val="20"/>
          <w:szCs w:val="20"/>
          <w:color w:val="auto"/>
        </w:rPr>
      </w:pPr>
    </w:p>
    <w:p>
      <w:pPr>
        <w:ind w:right="260" w:firstLine="702"/>
        <w:spacing w:after="0" w:line="277" w:lineRule="auto"/>
        <w:rPr>
          <w:sz w:val="20"/>
          <w:szCs w:val="20"/>
          <w:color w:val="auto"/>
        </w:rPr>
      </w:pPr>
      <w:r>
        <w:rPr>
          <w:rFonts w:ascii="Arial" w:cs="Arial" w:eastAsia="Arial" w:hAnsi="Arial"/>
          <w:sz w:val="18"/>
          <w:szCs w:val="18"/>
          <w:color w:val="auto"/>
        </w:rPr>
        <w:t>(Houston — May 5, 2015) Plains All American Pipeline, L.P. (NYSE: PAA) and Plains GP Holdings (NYSE: PAGP) today reported first-quarter 2015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gridSpan w:val="3"/>
          </w:tcPr>
          <w:p>
            <w:pPr>
              <w:jc w:val="center"/>
              <w:ind w:right="306"/>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306"/>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0.73</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limited partner units outstanding</w:t>
            </w:r>
          </w:p>
        </w:tc>
        <w:tc>
          <w:tcPr>
            <w:tcW w:w="8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20" w:type="dxa"/>
            <w:vAlign w:val="bottom"/>
            <w:gridSpan w:val="3"/>
          </w:tcPr>
          <w:p>
            <w:pPr>
              <w:jc w:val="center"/>
              <w:ind w:right="306"/>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306"/>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0.57</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limited partner unit declared for the period</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0.685</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0.630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tabs>
          <w:tab w:leader="none" w:pos="64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reported solid first quarter results, with adjusted EBITDA coming in about $12 million above the high end of our quarterly guidance range,” said Greg L. Armstrong, Chairman and CEO of Plains All American. “PAA will pay a quarterly distribution of $0.685 per limited partner unit next week, which is the equivalent of $2.74 per unit on an annualized basis, while PAGP will pay a quarterly distribution of $0.222 per Class A share, or $0.888 per share on an annualized basis. Such distributions represent an 8.7% and 30.2% increase over comparative distributions paid in the same quarter of 2014,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“Over the intermediate to long-term, we remain very constructive on the outlook for the North American crude oil industry. As part of our ongoing effort to address the industry’s long-term infrastructure requirements, PAA increased its targeted 2015 expansion capital program by approximately 16% to $2.15 billion.”</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Armstrong added, “Over the near term, however, we are more cautious as high crude oil inventory levels present a challenge for the industry. As a result, despite PAA’s first quarter over-performance relative to guidance, we have elected to leave our full year operating and financial guidance essentially unchanged. Importantly, PAA remains well positioned to manage through industry down cycles. PAA ended the first quarter of 2015 with $4.4 billion of committed liquidity, a strong balance sheet and credit metrics that are consistent with or favorable to our targeted levels.”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first quarter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20"/>
          </w:cols>
          <w:pgMar w:left="240" w:top="121" w:right="239" w:bottom="0" w:gutter="0" w:footer="0" w:header="0"/>
        </w:sectPr>
      </w:pPr>
    </w:p>
    <w:bookmarkStart w:id="8" w:name="page9"/>
    <w:bookmarkEnd w:id="8"/>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jc w:val="center"/>
              <w:ind w:left="857"/>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4"/>
              </w:rPr>
              <w:t>March 31, 2015</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6"/>
              </w:rPr>
              <w:t>March 31,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Supply and</w:t>
            </w:r>
          </w:p>
        </w:tc>
        <w:tc>
          <w:tcPr>
            <w:tcW w:w="3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9"/>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246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144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i w:val="1"/>
                <w:iCs w:val="1"/>
                <w:color w:val="auto"/>
              </w:rPr>
              <w:t>231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9"/>
              </w:rPr>
              <w:t>Percentage change in adjusted segment</w:t>
            </w:r>
          </w:p>
        </w:tc>
        <w:tc>
          <w:tcPr>
            <w:tcW w:w="160" w:type="dxa"/>
            <w:vAlign w:val="bottom"/>
            <w:shd w:val="clear" w:color="auto" w:fill="CCEEFF"/>
          </w:tcPr>
          <w:p>
            <w:pPr>
              <w:spacing w:after="0"/>
              <w:rPr>
                <w:sz w:val="17"/>
                <w:szCs w:val="17"/>
                <w:color w:val="auto"/>
              </w:rPr>
            </w:pP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-9%</w:t>
            </w:r>
          </w:p>
        </w:tc>
        <w:tc>
          <w:tcPr>
            <w:tcW w:w="120" w:type="dxa"/>
            <w:vAlign w:val="bottom"/>
            <w:shd w:val="clear" w:color="auto" w:fill="CCEEFF"/>
          </w:tcPr>
          <w:p>
            <w:pPr>
              <w:spacing w:after="0"/>
              <w:rPr>
                <w:sz w:val="17"/>
                <w:szCs w:val="17"/>
                <w:color w:val="auto"/>
              </w:rPr>
            </w:pPr>
          </w:p>
        </w:tc>
        <w:tc>
          <w:tcPr>
            <w:tcW w:w="12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i w:val="1"/>
                <w:iCs w:val="1"/>
                <w:color w:val="auto"/>
              </w:rPr>
              <w:t>19%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40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4" w:orient="portrait"/>
          <w:cols w:equalWidth="0" w:num="1">
            <w:col w:w="11420"/>
          </w:cols>
          <w:pgMar w:left="240" w:top="104"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59" w:lineRule="auto"/>
        <w:rPr>
          <w:sz w:val="20"/>
          <w:szCs w:val="20"/>
          <w:color w:val="auto"/>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00" w:lineRule="exact"/>
        <w:rPr>
          <w:sz w:val="20"/>
          <w:szCs w:val="20"/>
          <w:color w:val="auto"/>
        </w:rPr>
      </w:pPr>
    </w:p>
    <w:p>
      <w:pPr>
        <w:sectPr>
          <w:pgSz w:w="11900" w:h="16864" w:orient="portrait"/>
          <w:cols w:equalWidth="0" w:num="2">
            <w:col w:w="140" w:space="500"/>
            <w:col w:w="10780"/>
          </w:cols>
          <w:pgMar w:left="240" w:top="104" w:right="239" w:bottom="0" w:gutter="0" w:footer="0" w:header="0"/>
          <w:type w:val="continuous"/>
        </w:sectPr>
      </w:pPr>
    </w:p>
    <w:p>
      <w:pPr>
        <w:spacing w:after="0" w:line="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First-quarter 2015 Transportation adjusted segment profit increased 15% versus comparable 2014 results. This increase was primarily driven by higher crude oil pipeline volumes associated with recently completed organic growth projects and earnings from our 50% interest in the BridgeTex pipeline. In addition, certain of our Canadian terminals were reclassified from the Facilities segment to the Transportation segment in the second quarter of 2014.</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First-quarter 2015 Facilities adjusted segment profit exceeded the high end of our quarterly guidance range but decreased by 9% over comparable 2014 results. This decrease was primarily due to lower revenues from our rail terminals due to lower fees related to the movement of certain volumes of Bakken crude oil, unfavorable foreign currency impacts on Canadian natural gas liquids (“NGL”) activities and the reclassification of certain Canadian terminals to the Transportation segment.</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First-quarter 2015 Supply and Logistics adjusted segment profit increased by 19% over comparable 2014 results. This increase was primarily driven by favorable NGL market conditions, offset partially by crude oil differentials that were not as favorable in 2015 as they were in 2014. Additionally, 2014’s first quarter results included costs to manage deliverability requirements associated with our natural gas storage activities, which were not incurred in the current year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39"/>
              <w:spacing w:after="0"/>
              <w:rPr>
                <w:sz w:val="20"/>
                <w:szCs w:val="20"/>
                <w:color w:val="auto"/>
              </w:rPr>
            </w:pPr>
            <w:r>
              <w:rPr>
                <w:rFonts w:ascii="Arial" w:cs="Arial" w:eastAsia="Arial" w:hAnsi="Arial"/>
                <w:sz w:val="14"/>
                <w:szCs w:val="14"/>
                <w:b w:val="1"/>
                <w:bCs w:val="1"/>
                <w:color w:val="auto"/>
              </w:rPr>
              <w:t>Q1 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Q4 2014</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Q1 2014</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0.17055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Q1 2015 distribution percentage growth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PAA and PAGP will hold a conference call on May 6, 2015 (see details below). Prior to this conference call, PAA will furnish a current report on Form 8-K, which will include material in this news release as well as PAA’s financial and operational guidance for the second quarter and full year of 2015.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EDT on Wednesday, May 6, 2015 to discuss the following items:</w:t>
      </w:r>
    </w:p>
    <w:p>
      <w:pPr>
        <w:spacing w:after="0" w:line="225"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PAA’s first-quarter 2015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and operating guidance for the second quarter and full year of 2015;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To access the Internet webcast of the conference call, please go to www.plainsallamerican.com, navigate to “Investor Relations,” select “PAA” or “PAGP,” then “News &amp; Events,” and then “Quarterly Earnings.” Following the live webcast, the call will be archived for a period of sixty (60) days on the website.</w:t>
      </w:r>
    </w:p>
    <w:p>
      <w:pPr>
        <w:sectPr>
          <w:pgSz w:w="11900" w:h="16864" w:orient="portrait"/>
          <w:cols w:equalWidth="0" w:num="1">
            <w:col w:w="11420"/>
          </w:cols>
          <w:pgMar w:left="240" w:top="104" w:right="239" w:bottom="0" w:gutter="0" w:footer="0" w:header="0"/>
          <w:type w:val="continuous"/>
        </w:sectPr>
      </w:pPr>
    </w:p>
    <w:bookmarkStart w:id="9" w:name="page10"/>
    <w:bookmarkEnd w:id="9"/>
    <w:p>
      <w:pPr>
        <w:ind w:right="6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230-1059. International callers should dial (612) 288-0337. No password is required. The slide presentation accompanying the conference call will be available a few minutes prior to the call at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356914. The replay will be available beginning Wednesday, May 6, 2015, at approximately 1:00 p.m. EDT and will continue until 12:59 a.m. EDT on June 6,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“PAA” under the “Investor Relations” tab on the home page, select the “Financial Information” tab and navigate to the “Non-GAAP Reconciliations” link.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failure to implement or capitalize, or delays in implementing or capitalizing, on planned growth projects;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 unanticipated changes in crude oil market structure, grade differentials and volatility (or lack thereof); environmental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effects of competition;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weather interference with business operations or project construction, including the impact of extreme weather events or conditions; continued creditworthiness of, and performance by, our counterparties, including financial institutions and trading companies with which we do business; maintenance of our credit rating and ability to receive open credit from our suppliers and trade counterparties;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w:t>
      </w:r>
    </w:p>
    <w:p>
      <w:pPr>
        <w:sectPr>
          <w:pgSz w:w="11900" w:h="16838" w:orient="portrait"/>
          <w:cols w:equalWidth="0" w:num="1">
            <w:col w:w="11400"/>
          </w:cols>
          <w:pgMar w:left="240" w:top="341" w:right="259" w:bottom="0" w:gutter="0" w:footer="0" w:header="0"/>
        </w:sectPr>
      </w:pPr>
    </w:p>
    <w:bookmarkStart w:id="10" w:name="page11"/>
    <w:bookmarkEnd w:id="10"/>
    <w:p>
      <w:pPr>
        <w:spacing w:after="0" w:line="291" w:lineRule="auto"/>
        <w:rPr>
          <w:sz w:val="20"/>
          <w:szCs w:val="20"/>
          <w:color w:val="auto"/>
        </w:rPr>
      </w:pPr>
      <w:r>
        <w:rPr>
          <w:rFonts w:ascii="Arial" w:cs="Arial" w:eastAsia="Arial" w:hAnsi="Arial"/>
          <w:sz w:val="16"/>
          <w:szCs w:val="16"/>
          <w:color w:val="auto"/>
        </w:rPr>
        <w:t>regulations, accounting standards and statements and related interpretations; non-utilization of our assets and facilities; increased costs, or lack of 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4.2 million barrels per day of crude oil and NGL on its pipelines.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0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5,042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8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tcPr>
          <w:p>
            <w:pPr>
              <w:ind w:left="160"/>
              <w:spacing w:after="0"/>
              <w:rPr>
                <w:sz w:val="20"/>
                <w:szCs w:val="20"/>
                <w:color w:val="auto"/>
              </w:rPr>
            </w:pPr>
            <w:r>
              <w:rPr>
                <w:rFonts w:ascii="Arial" w:cs="Arial" w:eastAsia="Arial" w:hAnsi="Arial"/>
                <w:sz w:val="18"/>
                <w:szCs w:val="18"/>
                <w:b w:val="1"/>
                <w:bCs w:val="1"/>
                <w:color w:val="auto"/>
              </w:rPr>
              <w:t>LIMITED PARTNERS</w:t>
            </w:r>
          </w:p>
        </w:tc>
        <w:tc>
          <w:tcPr>
            <w:tcW w:w="170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GENERAL PARTNER</w:t>
            </w: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170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170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WEIGHTED AVERAGE LIMITED PARTNER UNITS OUTSTANDING</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DILUTED WEIGHTED AVERAGE LIMITED PARTNER UNITS OUTSTANDING</w:t>
            </w:r>
          </w:p>
        </w:tc>
        <w:tc>
          <w:tcPr>
            <w:tcW w:w="8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5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1420"/>
          </w:cols>
          <w:pgMar w:left="240" w:top="125" w:right="239" w:bottom="0" w:gutter="0" w:footer="0" w:header="0"/>
        </w:sectPr>
      </w:pPr>
    </w:p>
    <w:p>
      <w:pPr>
        <w:ind w:left="9160"/>
        <w:spacing w:after="0"/>
        <w:rPr>
          <w:sz w:val="20"/>
          <w:szCs w:val="20"/>
          <w:color w:val="auto"/>
        </w:rPr>
      </w:pPr>
      <w:r>
        <w:rPr>
          <w:rFonts w:ascii="Arial" w:cs="Arial" w:eastAsia="Arial" w:hAnsi="Arial"/>
          <w:sz w:val="13"/>
          <w:szCs w:val="13"/>
          <w:b w:val="1"/>
          <w:bCs w:val="1"/>
          <w:color w:val="auto"/>
        </w:rPr>
        <w:t>Three Months Ended</w:t>
      </w:r>
    </w:p>
    <w:p>
      <w:pPr>
        <w:sectPr>
          <w:pgSz w:w="11900" w:h="16838" w:orient="portrait"/>
          <w:cols w:equalWidth="0" w:num="1">
            <w:col w:w="11420"/>
          </w:cols>
          <w:pgMar w:left="240" w:top="125"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2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8"/>
                <w:szCs w:val="18"/>
                <w:color w:val="auto"/>
              </w:rPr>
              <w:t>– more –</w:t>
            </w: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2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w w:val="99"/>
              </w:rPr>
              <w:t>713-646-4100 / 866-809-1291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010101"/>
            </w:tcBorders>
          </w:tcPr>
          <w:p>
            <w:pPr>
              <w:spacing w:after="0"/>
              <w:rPr>
                <w:sz w:val="24"/>
                <w:szCs w:val="24"/>
                <w:color w:val="auto"/>
              </w:rPr>
            </w:pPr>
          </w:p>
        </w:tc>
        <w:tc>
          <w:tcPr>
            <w:tcW w:w="458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8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3,453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2,435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960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8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3,531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4,755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12,888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8,778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partners’ capital</w:t>
            </w:r>
          </w:p>
        </w:tc>
        <w:tc>
          <w:tcPr>
            <w:tcW w:w="19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8,836</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9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8,763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8,762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8,836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980" w:type="dxa"/>
            <w:vAlign w:val="bottom"/>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gridSpan w:val="3"/>
            <w:vMerge w:val="continue"/>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18,152</w:t>
            </w:r>
          </w:p>
        </w:tc>
        <w:tc>
          <w:tcPr>
            <w:tcW w:w="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18,240</w:t>
            </w:r>
          </w:p>
        </w:tc>
        <w:tc>
          <w:tcPr>
            <w:tcW w:w="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more –</w:t>
            </w: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290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w w:val="99"/>
              </w:rPr>
              <w:t>713-646-4100 / 866-809-1291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bookmarkStart w:id="12" w:name="page13"/>
    <w:bookmarkEnd w:id="1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4"/>
              </w:rPr>
              <w:t>March 31,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8"/>
              </w:rPr>
              <w:t>March 31, 2014</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Transportation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Facilities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3"/>
              </w:rPr>
              <w:t>Transportation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90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(5,353)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Equity-indexed compensation expense - operations</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w w:val="99"/>
              </w:rPr>
              <w:t>Equity-indexed compensation expense - general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4240" w:type="dxa"/>
            <w:vAlign w:val="bottom"/>
            <w:gridSpan w:val="2"/>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23" w:lineRule="exact"/>
        <w:rPr>
          <w:sz w:val="20"/>
          <w:szCs w:val="20"/>
          <w:color w:val="auto"/>
        </w:rPr>
      </w:pPr>
    </w:p>
    <w:p>
      <w:pPr>
        <w:ind w:left="20" w:right="40" w:hanging="11"/>
        <w:spacing w:after="0" w:line="250"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1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00"/>
            <w:col w:w="1078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6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gridSpan w:val="2"/>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Tariff activities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All American</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Bakken Area Systems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Basin / Mesa / Sunrise</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821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BridgeTex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Capline</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Eagle Ford Area Systems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Line 63 / Line 2000</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136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Mid-Continent Area Systems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Rainbow</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Salt Lake City Area Systems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 Saskatchewan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White Cliffs</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4,123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Trucking</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 monthly capacity in millions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7"/>
                <w:szCs w:val="17"/>
                <w:color w:val="auto"/>
              </w:rPr>
            </w:pP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barrels)</w:t>
            </w:r>
          </w:p>
        </w:tc>
        <w:tc>
          <w:tcPr>
            <w:tcW w:w="4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80" w:type="dxa"/>
            <w:vAlign w:val="bottom"/>
            <w:tcBorders>
              <w:top w:val="single" w:sz="8" w:color="CCEEFF"/>
            </w:tcBorders>
            <w:shd w:val="clear" w:color="auto" w:fill="CCEEFF"/>
          </w:tcPr>
          <w:p>
            <w:pPr>
              <w:ind w:left="160"/>
              <w:spacing w:after="0" w:line="186" w:lineRule="exact"/>
              <w:rPr>
                <w:sz w:val="20"/>
                <w:szCs w:val="20"/>
                <w:color w:val="auto"/>
              </w:rPr>
            </w:pPr>
            <w:r>
              <w:rPr>
                <w:rFonts w:ascii="Arial" w:cs="Arial" w:eastAsia="Arial" w:hAnsi="Arial"/>
                <w:sz w:val="18"/>
                <w:szCs w:val="18"/>
                <w:color w:val="auto"/>
              </w:rPr>
              <w:t>Rail load / unload volumes (average volumes in thousands of barrels per day)</w:t>
            </w:r>
          </w:p>
        </w:tc>
        <w:tc>
          <w:tcPr>
            <w:tcW w:w="9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NGL fractionation (average volumes in thousands of barrels per day)</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Facilities segment total (average monthly volumes in millions of barrels) </w:t>
            </w:r>
            <w:r>
              <w:rPr>
                <w:rFonts w:ascii="Arial" w:cs="Arial" w:eastAsia="Arial" w:hAnsi="Arial"/>
                <w:sz w:val="23"/>
                <w:szCs w:val="23"/>
                <w:color w:val="auto"/>
                <w:vertAlign w:val="superscript"/>
              </w:rPr>
              <w:t>(2)</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NGL sales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Supply and Logistics segment 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40" w:hanging="11"/>
        <w:spacing w:after="0" w:line="258"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or months we employed the assets divided by the number of days or months in the period.</w:t>
      </w:r>
    </w:p>
    <w:p>
      <w:pPr>
        <w:spacing w:after="0" w:line="1" w:lineRule="exact"/>
        <w:rPr>
          <w:sz w:val="20"/>
          <w:szCs w:val="20"/>
          <w:color w:val="auto"/>
        </w:rPr>
      </w:pPr>
    </w:p>
    <w:p>
      <w:pPr>
        <w:ind w:left="20" w:hanging="11"/>
        <w:spacing w:after="0" w:line="295"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6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0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LIMITED PARTNER UNIT </w:t>
      </w:r>
      <w:r>
        <w:rPr>
          <w:rFonts w:ascii="Arial" w:cs="Arial" w:eastAsia="Arial" w:hAnsi="Arial"/>
          <w:sz w:val="18"/>
          <w:szCs w:val="18"/>
          <w:color w:val="auto"/>
        </w:rPr>
        <w:t>(in millions, except per unit data)</w:t>
      </w:r>
    </w:p>
    <w:p>
      <w:pPr>
        <w:spacing w:after="0" w:line="15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26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Undistributed earnings allocated and distributions to participating securities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income available to limited partners in accordance with application of the two-class method for MLPs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126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26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Undistributed earnings allocated and distributions to participating securities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income available to limited partners in accordance with application of the two-class method for MLPs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26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80" w:hanging="11"/>
        <w:spacing w:after="0" w:line="254" w:lineRule="auto"/>
        <w:rPr>
          <w:sz w:val="20"/>
          <w:szCs w:val="20"/>
          <w:color w:val="auto"/>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 w:lineRule="exact"/>
        <w:rPr>
          <w:sz w:val="20"/>
          <w:szCs w:val="20"/>
          <w:color w:val="auto"/>
        </w:rPr>
      </w:pPr>
    </w:p>
    <w:p>
      <w:pPr>
        <w:ind w:left="20" w:right="100" w:hanging="11"/>
        <w:spacing w:after="0" w:line="254" w:lineRule="auto"/>
        <w:rPr>
          <w:sz w:val="20"/>
          <w:szCs w:val="20"/>
          <w:color w:val="auto"/>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40" w:space="500"/>
            <w:col w:w="10780"/>
          </w:cols>
          <w:pgMar w:left="240" w:top="140" w:right="239" w:bottom="0" w:gutter="0" w:footer="0" w:header="0"/>
          <w:type w:val="continuous"/>
        </w:sectPr>
      </w:pPr>
    </w:p>
    <w:bookmarkStart w:id="14" w:name="page15"/>
    <w:bookmarkEnd w:id="1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(2)</w:t>
            </w:r>
          </w:p>
        </w:tc>
        <w:tc>
          <w:tcPr>
            <w:tcW w:w="2140" w:type="dxa"/>
            <w:vAlign w:val="bottom"/>
            <w:gridSpan w:val="2"/>
          </w:tcPr>
          <w:p>
            <w:pPr>
              <w:jc w:val="right"/>
              <w:ind w:right="73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foreign currency revaluation</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of net income attributable to PAA</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2140" w:type="dxa"/>
            <w:vAlign w:val="bottom"/>
            <w:gridSpan w:val="2"/>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122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733"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3" w:lineRule="exact"/>
        <w:rPr>
          <w:sz w:val="20"/>
          <w:szCs w:val="20"/>
          <w:color w:val="auto"/>
        </w:rPr>
      </w:pPr>
    </w:p>
    <w:p>
      <w:pPr>
        <w:ind w:left="20" w:right="240" w:hanging="11"/>
        <w:spacing w:after="0" w:line="250" w:lineRule="auto"/>
        <w:rPr>
          <w:sz w:val="20"/>
          <w:szCs w:val="20"/>
          <w:color w:val="auto"/>
        </w:rPr>
      </w:pPr>
      <w:r>
        <w:rPr>
          <w:rFonts w:ascii="Arial" w:cs="Arial" w:eastAsia="Arial" w:hAnsi="Arial"/>
          <w:sz w:val="18"/>
          <w:szCs w:val="18"/>
          <w:color w:val="auto"/>
        </w:rPr>
        <w:t>Includes mark-to-market gains and losses resulting from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p>
    <w:p>
      <w:pPr>
        <w:spacing w:after="0" w:line="1" w:lineRule="exact"/>
        <w:rPr>
          <w:sz w:val="20"/>
          <w:szCs w:val="20"/>
          <w:color w:val="auto"/>
        </w:rPr>
      </w:pPr>
    </w:p>
    <w:p>
      <w:pPr>
        <w:ind w:left="20" w:right="40" w:hanging="11"/>
        <w:spacing w:after="0" w:line="265" w:lineRule="auto"/>
        <w:rPr>
          <w:sz w:val="20"/>
          <w:szCs w:val="20"/>
          <w:color w:val="auto"/>
        </w:rPr>
      </w:pPr>
      <w:r>
        <w:rPr>
          <w:rFonts w:ascii="Arial" w:cs="Arial" w:eastAsia="Arial" w:hAnsi="Arial"/>
          <w:sz w:val="17"/>
          <w:szCs w:val="17"/>
          <w:color w:val="auto"/>
        </w:rPr>
        <w:t>Includes the impact of changes in the average cost of long-term inventory that result from fluctuations in market prices and writedowns of such inventory that result from price declines. Long-term inventory consists of minimum working inventory requirements in third-party assets and other working inventory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See Note 5 to our Consolidated Financial Statements included in Part IV of our 2014 Annual Report on Form 10-K for a complete discussion of our long-term inventory.</w:t>
      </w:r>
    </w:p>
    <w:p>
      <w:pPr>
        <w:spacing w:after="0" w:line="1" w:lineRule="exact"/>
        <w:rPr>
          <w:sz w:val="20"/>
          <w:szCs w:val="20"/>
          <w:color w:val="auto"/>
        </w:rPr>
      </w:pPr>
    </w:p>
    <w:p>
      <w:pPr>
        <w:ind w:left="20" w:right="380" w:hanging="11"/>
        <w:spacing w:after="0" w:line="323" w:lineRule="auto"/>
        <w:rPr>
          <w:sz w:val="20"/>
          <w:szCs w:val="20"/>
          <w:color w:val="auto"/>
        </w:rPr>
      </w:pPr>
      <w:r>
        <w:rPr>
          <w:rFonts w:ascii="Arial" w:cs="Arial" w:eastAsia="Arial" w:hAnsi="Arial"/>
          <w:sz w:val="16"/>
          <w:szCs w:val="16"/>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w:t>
      </w:r>
    </w:p>
    <w:p>
      <w:pPr>
        <w:spacing w:after="0" w:line="13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00"/>
            <w:col w:w="10780"/>
          </w:cols>
          <w:pgMar w:left="240" w:top="733"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5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9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0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10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Undistributed earnings allocated and distributions to participating securities </w:t>
            </w:r>
            <w:r>
              <w:rPr>
                <w:rFonts w:ascii="Arial" w:cs="Arial" w:eastAsia="Arial" w:hAnsi="Arial"/>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196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9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0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0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33" w:right="239" w:bottom="0" w:gutter="0" w:footer="0" w:header="0"/>
          <w:type w:val="continuous"/>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Undistributed earnings allocated and distributions to participating securities </w:t>
            </w:r>
            <w:r>
              <w:rPr>
                <w:rFonts w:ascii="Arial" w:cs="Arial" w:eastAsia="Arial" w:hAnsi="Arial"/>
                <w:sz w:val="23"/>
                <w:szCs w:val="23"/>
                <w:color w:val="auto"/>
                <w:vertAlign w:val="superscript"/>
              </w:rPr>
              <w:t>(2)</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16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3" w:lineRule="exact"/>
        <w:rPr>
          <w:sz w:val="20"/>
          <w:szCs w:val="20"/>
          <w:color w:val="auto"/>
        </w:rPr>
      </w:pPr>
    </w:p>
    <w:p>
      <w:pPr>
        <w:ind w:left="20" w:right="100" w:hanging="11"/>
        <w:spacing w:after="0" w:line="254" w:lineRule="auto"/>
        <w:rPr>
          <w:sz w:val="20"/>
          <w:szCs w:val="20"/>
          <w:color w:val="auto"/>
        </w:rPr>
      </w:pPr>
      <w:r>
        <w:rPr>
          <w:rFonts w:ascii="Arial" w:cs="Arial" w:eastAsia="Arial" w:hAnsi="Arial"/>
          <w:sz w:val="18"/>
          <w:szCs w:val="18"/>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90"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820"/>
          </w:cols>
          <w:pgMar w:left="240" w:top="140" w:right="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8"/>
        </w:trPr>
        <w:tc>
          <w:tcPr>
            <w:tcW w:w="78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to Earnings Before Interest, Taxes, Depreciation and Amortization (“EBITDA”) and</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Excluding Selected Items Impacting Comparability (“Adjusted EBITDA”) Reconciliations</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EBITDA</w:t>
            </w:r>
          </w:p>
        </w:tc>
        <w:tc>
          <w:tcPr>
            <w:tcW w:w="440" w:type="dxa"/>
            <w:vAlign w:val="bottom"/>
          </w:tcPr>
          <w:p>
            <w:pPr>
              <w:spacing w:after="0"/>
              <w:rPr>
                <w:sz w:val="18"/>
                <w:szCs w:val="18"/>
                <w:color w:val="auto"/>
              </w:rPr>
            </w:pPr>
          </w:p>
        </w:tc>
        <w:tc>
          <w:tcPr>
            <w:tcW w:w="98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Adjusted EBITDA</w:t>
            </w:r>
          </w:p>
        </w:tc>
        <w:tc>
          <w:tcPr>
            <w:tcW w:w="4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9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 Reconciliation</w:t>
            </w: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Adjusted EBITDA</w:t>
            </w:r>
          </w:p>
        </w:tc>
        <w:tc>
          <w:tcPr>
            <w:tcW w:w="20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7180" w:type="dxa"/>
            <w:vAlign w:val="bottom"/>
          </w:tcPr>
          <w:p>
            <w:pPr>
              <w:spacing w:after="0"/>
              <w:rPr>
                <w:sz w:val="20"/>
                <w:szCs w:val="20"/>
                <w:color w:val="auto"/>
              </w:rPr>
            </w:pPr>
            <w:r>
              <w:rPr>
                <w:rFonts w:ascii="Arial" w:cs="Arial" w:eastAsia="Arial" w:hAnsi="Arial"/>
                <w:sz w:val="18"/>
                <w:szCs w:val="18"/>
                <w:color w:val="auto"/>
              </w:rPr>
              <w:t>Implied DCF</w:t>
            </w:r>
          </w:p>
        </w:tc>
        <w:tc>
          <w:tcPr>
            <w:tcW w:w="1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9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Net Cash Provided by Operating Activities Reconciliation</w:t>
            </w:r>
          </w:p>
        </w:tc>
        <w:tc>
          <w:tcPr>
            <w:tcW w:w="2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EBITDA</w:t>
            </w:r>
          </w:p>
        </w:tc>
        <w:tc>
          <w:tcPr>
            <w:tcW w:w="2100" w:type="dxa"/>
            <w:vAlign w:val="bottom"/>
          </w:tcPr>
          <w:p>
            <w:pPr>
              <w:spacing w:after="0"/>
              <w:rPr>
                <w:sz w:val="18"/>
                <w:szCs w:val="18"/>
                <w:color w:val="auto"/>
              </w:rPr>
            </w:pPr>
          </w:p>
        </w:tc>
        <w:tc>
          <w:tcPr>
            <w:tcW w:w="25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2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Other items to reconcile to net cash provided by operating activities:</w:t>
            </w: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100" w:type="dxa"/>
            <w:vAlign w:val="bottom"/>
            <w:vMerge w:val="restart"/>
          </w:tcPr>
          <w:p>
            <w:pPr>
              <w:ind w:left="780"/>
              <w:spacing w:after="0"/>
              <w:rPr>
                <w:sz w:val="20"/>
                <w:szCs w:val="20"/>
                <w:color w:val="auto"/>
              </w:rPr>
            </w:pPr>
            <w:r>
              <w:rPr>
                <w:rFonts w:ascii="Arial" w:cs="Arial" w:eastAsia="Arial" w:hAnsi="Arial"/>
                <w:sz w:val="18"/>
                <w:szCs w:val="18"/>
                <w:color w:val="auto"/>
              </w:rPr>
              <w:t>– more –</w:t>
            </w:r>
          </w:p>
        </w:tc>
        <w:tc>
          <w:tcPr>
            <w:tcW w:w="1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62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2100" w:type="dxa"/>
            <w:vAlign w:val="bottom"/>
          </w:tcPr>
          <w:p>
            <w:pPr>
              <w:ind w:left="200"/>
              <w:spacing w:after="0"/>
              <w:rPr>
                <w:sz w:val="20"/>
                <w:szCs w:val="20"/>
                <w:color w:val="auto"/>
              </w:rPr>
            </w:pPr>
            <w:r>
              <w:rPr>
                <w:rFonts w:ascii="Arial" w:cs="Arial" w:eastAsia="Arial" w:hAnsi="Arial"/>
                <w:sz w:val="18"/>
                <w:szCs w:val="18"/>
                <w:b w:val="1"/>
                <w:bCs w:val="1"/>
                <w:color w:val="auto"/>
                <w:w w:val="99"/>
              </w:rPr>
              <w:t>Houston, Texas 77002</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w w:val="99"/>
              </w:rPr>
              <w:t>713-646-4100 / 866-809-1291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62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16" w:name="page17"/>
    <w:bookmarkEnd w:id="16"/>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March 31, 2015</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PAA</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5,042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10,670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earnings in unconsolidated entities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1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20" w:type="dxa"/>
            <w:vAlign w:val="bottom"/>
            <w:tcBorders>
              <w:right w:val="single" w:sz="8" w:color="auto"/>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60" w:type="dxa"/>
            <w:vAlign w:val="bottom"/>
            <w:gridSpan w:val="9"/>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2015</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December 31, 2014</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right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2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3,455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2,435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23,596</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84"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discount</w:t>
            </w: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8,758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8,758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9"/>
              </w:rPr>
              <w:t>Other long-term liabilities and deferred</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credits</w:t>
            </w: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1,804</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(6,476)</w:t>
            </w: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8,344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7,666</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Pr>
          <w:p>
            <w:pPr>
              <w:ind w:left="340"/>
              <w:spacing w:after="0" w:line="182" w:lineRule="exact"/>
              <w:rPr>
                <w:sz w:val="20"/>
                <w:szCs w:val="20"/>
                <w:color w:val="auto"/>
              </w:rPr>
            </w:pPr>
            <w:r>
              <w:rPr>
                <w:rFonts w:ascii="Arial" w:cs="Arial" w:eastAsia="Arial" w:hAnsi="Arial"/>
                <w:sz w:val="18"/>
                <w:szCs w:val="18"/>
                <w:color w:val="auto"/>
              </w:rPr>
              <w:t>Total liabilities and partners’</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21,724</w:t>
            </w: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1,872</w:t>
            </w:r>
          </w:p>
        </w:tc>
        <w:tc>
          <w:tcPr>
            <w:tcW w:w="160" w:type="dxa"/>
            <w:vAlign w:val="bottom"/>
          </w:tcPr>
          <w:p>
            <w:pPr>
              <w:spacing w:after="0"/>
              <w:rPr>
                <w:sz w:val="15"/>
                <w:szCs w:val="15"/>
                <w:color w:val="auto"/>
              </w:rPr>
            </w:pP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23,596</w:t>
            </w:r>
          </w:p>
        </w:tc>
        <w:tc>
          <w:tcPr>
            <w:tcW w:w="22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22,256</w:t>
            </w: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1,727</w:t>
            </w:r>
          </w:p>
        </w:tc>
        <w:tc>
          <w:tcPr>
            <w:tcW w:w="340" w:type="dxa"/>
            <w:vAlign w:val="bottom"/>
            <w:vMerge w:val="restart"/>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23,983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Pr>
          <w:p>
            <w:pPr>
              <w:ind w:left="520"/>
              <w:spacing w:after="0"/>
              <w:rPr>
                <w:sz w:val="20"/>
                <w:szCs w:val="20"/>
                <w:color w:val="auto"/>
              </w:rPr>
            </w:pPr>
            <w:r>
              <w:rPr>
                <w:rFonts w:ascii="Arial" w:cs="Arial" w:eastAsia="Arial" w:hAnsi="Arial"/>
                <w:sz w:val="18"/>
                <w:szCs w:val="18"/>
                <w:color w:val="auto"/>
              </w:rPr>
              <w:t>capital</w:t>
            </w:r>
          </w:p>
        </w:tc>
        <w:tc>
          <w:tcPr>
            <w:tcW w:w="3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Q1 2015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Q1 2015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5/1/15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AAP Owners &amp; AAP Management (65.7%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PAGP (34.3%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5/1/15</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AAP, L.P. (“AAP”) is the general partner of PAA.</w:t>
      </w:r>
    </w:p>
    <w:p>
      <w:pPr>
        <w:spacing w:after="0" w:line="21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jc w:val="right"/>
        <w:ind w:right="2300"/>
        <w:spacing w:after="0"/>
        <w:tabs>
          <w:tab w:leader="none" w:pos="4280" w:val="left"/>
          <w:tab w:leader="none" w:pos="216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 PER CLASS A SHARE</w:t>
      </w:r>
    </w:p>
    <w:p>
      <w:pPr>
        <w:sectPr>
          <w:pgSz w:w="11900" w:h="16838" w:orient="portrait"/>
          <w:cols w:equalWidth="0" w:num="1">
            <w:col w:w="11420"/>
          </w:cols>
          <w:pgMar w:left="240" w:top="140" w:right="239" w:bottom="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(in millions, except per share data)</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7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27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3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300" w:type="dxa"/>
            <w:vAlign w:val="bottom"/>
          </w:tcPr>
          <w:p>
            <w:pPr>
              <w:ind w:left="1120"/>
              <w:spacing w:after="0"/>
              <w:rPr>
                <w:sz w:val="20"/>
                <w:szCs w:val="20"/>
                <w:color w:val="auto"/>
              </w:rPr>
            </w:pPr>
            <w:r>
              <w:rPr>
                <w:rFonts w:ascii="Arial" w:cs="Arial" w:eastAsia="Arial" w:hAnsi="Arial"/>
                <w:sz w:val="18"/>
                <w:szCs w:val="18"/>
                <w:color w:val="auto"/>
              </w:rPr>
              <w:t>Al Swanson</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300" w:type="dxa"/>
            <w:vAlign w:val="bottom"/>
          </w:tcPr>
          <w:p>
            <w:pPr>
              <w:ind w:left="1120"/>
              <w:spacing w:after="0"/>
              <w:rPr>
                <w:sz w:val="20"/>
                <w:szCs w:val="20"/>
                <w:color w:val="auto"/>
              </w:rPr>
            </w:pPr>
            <w:r>
              <w:rPr>
                <w:rFonts w:ascii="Arial" w:cs="Arial" w:eastAsia="Arial" w:hAnsi="Arial"/>
                <w:sz w:val="18"/>
                <w:szCs w:val="18"/>
                <w:color w:val="auto"/>
                <w:w w:val="94"/>
              </w:rPr>
              <w:t>(800) 564-3036</w:t>
            </w: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0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64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20" w:type="dxa"/>
            <w:vAlign w:val="bottom"/>
          </w:tcPr>
          <w:p>
            <w:pPr>
              <w:jc w:val="right"/>
              <w:ind w:right="2210"/>
              <w:spacing w:after="0"/>
              <w:rPr>
                <w:sz w:val="20"/>
                <w:szCs w:val="20"/>
                <w:color w:val="auto"/>
              </w:rPr>
            </w:pPr>
            <w:r>
              <w:rPr>
                <w:rFonts w:ascii="Arial" w:cs="Arial" w:eastAsia="Arial" w:hAnsi="Arial"/>
                <w:sz w:val="18"/>
                <w:szCs w:val="18"/>
                <w:b w:val="1"/>
                <w:bCs w:val="1"/>
                <w:color w:val="auto"/>
                <w:w w:val="91"/>
              </w:rPr>
              <w:t>713-646-4100 / 866-809-1291</w:t>
            </w:r>
          </w:p>
        </w:tc>
        <w:tc>
          <w:tcPr>
            <w:tcW w:w="40" w:type="dxa"/>
            <w:vAlign w:val="bottom"/>
          </w:tcPr>
          <w:p>
            <w:pPr>
              <w:spacing w:after="0"/>
              <w:rPr>
                <w:sz w:val="19"/>
                <w:szCs w:val="19"/>
                <w:color w:val="auto"/>
              </w:rPr>
            </w:pPr>
          </w:p>
        </w:tc>
      </w:tr>
      <w:tr>
        <w:trPr>
          <w:trHeight w:val="330"/>
        </w:trPr>
        <w:tc>
          <w:tcPr>
            <w:tcW w:w="64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4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1)"/>
      <w:numFmt w:val="lowerLetter"/>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lvl w:ilvl="1">
      <w:lvlJc w:val="left"/>
      <w:lvlText w:val="%2"/>
      <w:numFmt w:val="lowerLetter"/>
      <w:start w:val="1"/>
    </w:lvl>
  </w:abstractNum>
  <w:abstractNum w:abstractNumId="4">
    <w:nsid w:val="109CF92E"/>
    <w:multiLevelType w:val="hybridMultilevel"/>
    <w:lvl w:ilvl="0">
      <w:lvlJc w:val="left"/>
      <w:lvlText w:val="%1"/>
      <w:numFmt w:val="lowerLetter"/>
      <w:start w:val="1"/>
    </w:lvl>
    <w:lvl w:ilvl="1">
      <w:lvlJc w:val="left"/>
      <w:lvlText w:val="(%2)"/>
      <w:numFmt w:val="decimal"/>
      <w:start w:val="1"/>
    </w:lvl>
  </w:abstractNum>
  <w:abstractNum w:abstractNumId="5">
    <w:nsid w:val="DED7263"/>
    <w:multiLevelType w:val="hybridMultilevel"/>
    <w:lvl w:ilvl="0">
      <w:lvlJc w:val="left"/>
      <w:lvlText w:val="%1."/>
      <w:numFmt w:val="lowerLetter"/>
      <w:start w:val="2"/>
    </w:lvl>
    <w:lvl w:ilvl="1">
      <w:lvlJc w:val="left"/>
      <w:lvlText w:val="%2"/>
      <w:numFmt w:val="decimal"/>
      <w:start w:val="1"/>
    </w:lvl>
  </w:abstractNum>
  <w:abstractNum w:abstractNumId="6">
    <w:nsid w:val="7FDCC233"/>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7">
    <w:nsid w:val="1BEFD79F"/>
    <w:multiLevelType w:val="hybridMultilevel"/>
    <w:lvl w:ilvl="0">
      <w:lvlJc w:val="left"/>
      <w:lvlText w:val="%1"/>
      <w:numFmt w:val="decimal"/>
      <w:start w:val="1"/>
    </w:lvl>
    <w:lvl w:ilvl="1">
      <w:lvlJc w:val="left"/>
      <w:lvlText w:val="(%2)"/>
      <w:numFmt w:val="decimal"/>
      <w:start w:val="1"/>
    </w:lvl>
  </w:abstractNum>
  <w:abstractNum w:abstractNumId="8">
    <w:nsid w:val="41A7C4C9"/>
    <w:multiLevelType w:val="hybridMultilevel"/>
    <w:lvl w:ilvl="0">
      <w:lvlJc w:val="left"/>
      <w:lvlText w:val="%1."/>
      <w:numFmt w:val="decimal"/>
      <w:start w:val="3"/>
    </w:lvl>
    <w:lvl w:ilvl="1">
      <w:lvlJc w:val="left"/>
      <w:lvlText w:val="%2"/>
      <w:numFmt w:val="decimal"/>
      <w:start w:val="1"/>
    </w:lvl>
  </w:abstractNum>
  <w:abstractNum w:abstractNumId="9">
    <w:nsid w:val="6B68079A"/>
    <w:multiLevelType w:val="hybridMultilevel"/>
    <w:lvl w:ilvl="0">
      <w:lvlJc w:val="left"/>
      <w:lvlText w:val="(%1)"/>
      <w:numFmt w:val="decimal"/>
      <w:start w:val="1"/>
    </w:lvl>
    <w:lvl w:ilvl="1">
      <w:lvlJc w:val="left"/>
      <w:lvlText w:val="(%2)"/>
      <w:numFmt w:val="lowerRoman"/>
      <w:start w:val="3"/>
    </w:lvl>
  </w:abstractNum>
  <w:abstractNum w:abstractNumId="10">
    <w:nsid w:val="4E6AFB66"/>
    <w:multiLevelType w:val="hybridMultilevel"/>
    <w:lvl w:ilvl="0">
      <w:lvlJc w:val="left"/>
      <w:lvlText w:val="%1."/>
      <w:numFmt w:val="decimal"/>
      <w:start w:val="5"/>
    </w:lvl>
    <w:lvl w:ilvl="1">
      <w:lvlJc w:val="left"/>
      <w:lvlText w:val="%2."/>
      <w:numFmt w:val="decimal"/>
      <w:start w:val="7"/>
    </w:lvl>
  </w:abstractNum>
  <w:abstractNum w:abstractNumId="11">
    <w:nsid w:val="25E45D32"/>
    <w:multiLevelType w:val="hybridMultilevel"/>
    <w:lvl w:ilvl="0">
      <w:lvlJc w:val="left"/>
      <w:lvlText w:val="%1."/>
      <w:numFmt w:val="decimal"/>
      <w:start w:val="8"/>
    </w:lvl>
  </w:abstractNum>
  <w:abstractNum w:abstractNumId="12">
    <w:nsid w:val="519B500D"/>
    <w:multiLevelType w:val="hybridMultilevel"/>
    <w:lvl w:ilvl="0">
      <w:lvlJc w:val="left"/>
      <w:lvlText w:val="%1."/>
      <w:numFmt w:val="decimal"/>
      <w:start w:val="9"/>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2020-01-23T10:16:35Z</dcterms:created>
  <dcterms:modified xsi:type="dcterms:W3CDTF">2020-01-23T10:16:35Z</dcterms:modified>
</cp:coreProperties>
</file>