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-227965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-587375</wp:posOffset>
            </wp:positionV>
            <wp:extent cx="8255" cy="5880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3944620</wp:posOffset>
            </wp:positionH>
            <wp:positionV relativeFrom="paragraph">
              <wp:posOffset>-595630</wp:posOffset>
            </wp:positionV>
            <wp:extent cx="8255" cy="596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-571500</wp:posOffset>
            </wp:positionV>
            <wp:extent cx="1271905" cy="548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24765</wp:posOffset>
            </wp:positionV>
            <wp:extent cx="6972300" cy="1565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6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8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Herbold Chris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PLAINS ALL AMERICAN PIPELINE LP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Sr. VP and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01/18/2021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-2437765</wp:posOffset>
            </wp:positionH>
            <wp:positionV relativeFrom="paragraph">
              <wp:posOffset>144145</wp:posOffset>
            </wp:positionV>
            <wp:extent cx="6972300" cy="850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-15240</wp:posOffset>
            </wp:positionV>
            <wp:extent cx="7035800" cy="2130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48,939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48,939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6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B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46,068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Units/Class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46,068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138,204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200" w:hanging="2"/>
        <w:spacing w:after="0" w:line="229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limited partnership agreement of Plains AAP, L.P. ("AAP"), a holder of vested Class B Units of AAP (the "Class B Units") may convert (the "Conversion Right"), at any time and from time to time, such Class B Units into an equal number of Class A Units of AAP (the "Class A Units") and Class B Shares (the "Class B Shares") of Plains GP Holdings, L.P. ("PAGP"), at a conversion ratio of approximately 0.941 Class A Units and Class B Shares for each Class B Unit. The Conversion Right does not expire. On January 18, 2021, the Reporting Person exercised his right to convert 48,939 vested Class B Units into 46,068 Class A Units and Class B Shares.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hanging="2"/>
        <w:spacing w:after="0" w:line="320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limited partnership agreement of AAP, Reporting Person has the right, at any time and from time to time, to redeem (the "Redemption Right") his Class A Units, together with a like number of Class B Shares, for common units of Plains All American Pipeline, L.P. on a one-for-one basis. Reporting Person has not yet exercised the Redemption Right; the Redemption Right does not expire.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Chris Herbold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01/19/2021</w:t>
            </w:r>
          </w:p>
        </w:tc>
      </w:tr>
      <w:tr>
        <w:trPr>
          <w:trHeight w:val="216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7929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2021-01-19T15:51:37Z</dcterms:created>
  <dcterms:modified xsi:type="dcterms:W3CDTF">2021-01-19T15:51:37Z</dcterms:modified>
</cp:coreProperties>
</file>