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720" w:right="300" w:hanging="388"/>
        <w:spacing w:after="0" w:line="262" w:lineRule="auto"/>
        <w:tabs>
          <w:tab w:leader="none" w:pos="588"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720" w:right="240" w:hanging="388"/>
        <w:spacing w:after="0" w:line="262" w:lineRule="auto"/>
        <w:tabs>
          <w:tab w:leader="none" w:pos="628"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66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90-1005472</w:t>
            </w:r>
          </w:p>
        </w:tc>
      </w:tr>
      <w:tr>
        <w:trPr>
          <w:trHeight w:val="216"/>
        </w:trPr>
        <w:tc>
          <w:tcPr>
            <w:tcW w:w="6660" w:type="dxa"/>
            <w:vAlign w:val="bottom"/>
          </w:tcPr>
          <w:p>
            <w:pPr>
              <w:jc w:val="center"/>
              <w:ind w:right="32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660" w:type="dxa"/>
            <w:vAlign w:val="bottom"/>
          </w:tcPr>
          <w:p>
            <w:pPr>
              <w:jc w:val="center"/>
              <w:ind w:right="32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6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333 Clay Street, Suite 1600, Houston, Texas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6660" w:type="dxa"/>
            <w:vAlign w:val="bottom"/>
          </w:tcPr>
          <w:p>
            <w:pPr>
              <w:jc w:val="center"/>
              <w:ind w:right="32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666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(713) 646-4100</w:t>
            </w:r>
          </w:p>
        </w:tc>
        <w:tc>
          <w:tcPr>
            <w:tcW w:w="1500" w:type="dxa"/>
            <w:vAlign w:val="bottom"/>
          </w:tcPr>
          <w:p>
            <w:pPr>
              <w:spacing w:after="0"/>
              <w:rPr>
                <w:sz w:val="24"/>
                <w:szCs w:val="24"/>
                <w:color w:val="auto"/>
              </w:rPr>
            </w:pPr>
          </w:p>
        </w:tc>
      </w:tr>
      <w:tr>
        <w:trPr>
          <w:trHeight w:val="234"/>
        </w:trPr>
        <w:tc>
          <w:tcPr>
            <w:tcW w:w="66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76"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76"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2" w:lineRule="exact"/>
        <w:rPr>
          <w:sz w:val="24"/>
          <w:szCs w:val="24"/>
          <w:color w:val="auto"/>
        </w:rPr>
      </w:pPr>
    </w:p>
    <w:p>
      <w:pPr>
        <w:ind w:left="1900"/>
        <w:spacing w:after="0"/>
        <w:tabs>
          <w:tab w:leader="none" w:pos="792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o</w:t>
      </w:r>
    </w:p>
    <w:p>
      <w:pPr>
        <w:spacing w:after="0" w:line="225" w:lineRule="exact"/>
        <w:rPr>
          <w:sz w:val="24"/>
          <w:szCs w:val="24"/>
          <w:color w:val="auto"/>
        </w:rPr>
      </w:pPr>
    </w:p>
    <w:p>
      <w:pPr>
        <w:ind w:left="1960"/>
        <w:spacing w:after="0"/>
        <w:tabs>
          <w:tab w:leader="none" w:pos="7540" w:val="left"/>
        </w:tabs>
        <w:rPr>
          <w:sz w:val="20"/>
          <w:szCs w:val="20"/>
          <w:color w:val="auto"/>
        </w:rPr>
      </w:pPr>
      <w:r>
        <w:rPr>
          <w:rFonts w:ascii="Times New Roman" w:cs="Times New Roman" w:eastAsia="Times New Roman" w:hAnsi="Times New Roman"/>
          <w:sz w:val="18"/>
          <w:szCs w:val="18"/>
          <w:color w:val="auto"/>
        </w:rPr>
        <w:t>Non-accelerated filer x</w:t>
      </w:r>
      <w:r>
        <w:rPr>
          <w:sz w:val="20"/>
          <w:szCs w:val="20"/>
          <w:color w:val="auto"/>
        </w:rPr>
        <w:tab/>
      </w:r>
      <w:r>
        <w:rPr>
          <w:rFonts w:ascii="Times New Roman" w:cs="Times New Roman" w:eastAsia="Times New Roman" w:hAnsi="Times New Roman"/>
          <w:sz w:val="18"/>
          <w:szCs w:val="18"/>
          <w:color w:val="auto"/>
        </w:rPr>
        <w:t>Smaller reporting company o</w:t>
      </w:r>
    </w:p>
    <w:p>
      <w:pPr>
        <w:spacing w:after="0" w:line="2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August 4, 2014, there were 136,046,637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11380"/>
          </w:cols>
          <w:pgMar w:left="240" w:top="229" w:right="279" w:bottom="0" w:gutter="0" w:footer="0" w:header="0"/>
        </w:sectPr>
      </w:pPr>
    </w:p>
    <w:p>
      <w:pPr>
        <w:spacing w:after="0" w:line="200" w:lineRule="exact"/>
        <w:rPr>
          <w:sz w:val="24"/>
          <w:szCs w:val="24"/>
          <w:color w:val="auto"/>
        </w:rPr>
      </w:pPr>
    </w:p>
    <w:p>
      <w:pPr>
        <w:ind w:left="1098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6891655</wp:posOffset>
            </wp:positionH>
            <wp:positionV relativeFrom="paragraph">
              <wp:posOffset>7620</wp:posOffset>
            </wp:positionV>
            <wp:extent cx="360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ectPr>
          <w:pgSz w:w="11900" w:h="16838" w:orient="portrait"/>
          <w:cols w:equalWidth="0" w:num="1">
            <w:col w:w="11380"/>
          </w:cols>
          <w:pgMar w:left="240" w:top="229"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8"/>
          </w:tcPr>
          <w:p>
            <w:pPr>
              <w:spacing w:after="0"/>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PART I. FINANCIAL INFORMATION</w:t>
              </w:r>
            </w:hyperlink>
          </w:p>
        </w:tc>
        <w:tc>
          <w:tcPr>
            <w:tcW w:w="7780" w:type="dxa"/>
            <w:vAlign w:val="bottom"/>
            <w:gridSpan w:val="18"/>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Item 1. UNAUDITED CONDENSED CONSOLIDATED FINANCIAL STATEMENTS:</w:t>
              </w:r>
            </w:hyperlink>
          </w:p>
        </w:tc>
        <w:tc>
          <w:tcPr>
            <w:tcW w:w="444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0860" w:type="dxa"/>
            <w:vAlign w:val="bottom"/>
            <w:gridSpan w:val="36"/>
          </w:tcPr>
          <w:p>
            <w:pPr>
              <w:spacing w:after="0" w:line="19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Condensed Consolidated Balance Sheets: As of June 30, 2014 and December 31, 2013</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0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For the three and six months ended June 30, 2014 and 2013</w:t>
              </w:r>
            </w:hyperlink>
          </w:p>
        </w:tc>
        <w:tc>
          <w:tcPr>
            <w:tcW w:w="280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9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Income: For the three and six months ended June 30, 2014 and 2013</w:t>
              </w:r>
            </w:hyperlink>
          </w:p>
        </w:tc>
        <w:tc>
          <w:tcPr>
            <w:tcW w:w="188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0860" w:type="dxa"/>
            <w:vAlign w:val="bottom"/>
            <w:gridSpan w:val="3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Changes in Accumulated Other Comprehensive Income / (Loss): For the six months ended June 30, 2014</w:t>
              </w:r>
            </w:hyperlink>
          </w:p>
        </w:tc>
        <w:tc>
          <w:tcPr>
            <w:tcW w:w="6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and 2013</w:t>
              </w:r>
            </w:hyperlink>
          </w:p>
        </w:tc>
        <w:tc>
          <w:tcPr>
            <w:tcW w:w="9600" w:type="dxa"/>
            <w:vAlign w:val="bottom"/>
            <w:tcBorders>
              <w:top w:val="single" w:sz="8" w:color="0000EE"/>
            </w:tcBorders>
            <w:gridSpan w:val="31"/>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74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Cash Flows: For the six months ended June 30, 2014 and 2013</w:t>
              </w:r>
            </w:hyperlink>
          </w:p>
        </w:tc>
        <w:tc>
          <w:tcPr>
            <w:tcW w:w="346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0860" w:type="dxa"/>
            <w:vAlign w:val="bottom"/>
            <w:gridSpan w:val="3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Changes in Partners’ Capital / Members’ Equity: For the six months ended June 30, 2014 and 2013</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32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the Condensed Consolidated Financial Statements:</w:t>
              </w:r>
            </w:hyperlink>
          </w:p>
        </w:tc>
        <w:tc>
          <w:tcPr>
            <w:tcW w:w="5700" w:type="dxa"/>
            <w:vAlign w:val="bottom"/>
            <w:tcBorders>
              <w:top w:val="single" w:sz="8" w:color="0000EE"/>
            </w:tcBorders>
            <w:gridSpan w:val="11"/>
          </w:tcPr>
          <w:p>
            <w:pPr>
              <w:spacing w:after="0"/>
              <w:rPr>
                <w:sz w:val="17"/>
                <w:szCs w:val="17"/>
                <w:color w:val="auto"/>
              </w:rPr>
            </w:pPr>
          </w:p>
        </w:tc>
        <w:tc>
          <w:tcPr>
            <w:tcW w:w="84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1.</w:t>
              </w:r>
            </w:hyperlink>
          </w:p>
        </w:tc>
        <w:tc>
          <w:tcPr>
            <w:tcW w:w="10480" w:type="dxa"/>
            <w:vAlign w:val="bottom"/>
            <w:gridSpan w:val="34"/>
          </w:tcPr>
          <w:p>
            <w:pPr>
              <w:ind w:left="8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Organization and Basis of Consolidation and Presentation</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80" w:type="dxa"/>
            <w:vAlign w:val="bottom"/>
          </w:tcPr>
          <w:p>
            <w:pPr>
              <w:spacing w:after="0"/>
              <w:rPr>
                <w:sz w:val="17"/>
                <w:szCs w:val="17"/>
                <w:color w:val="auto"/>
              </w:rPr>
            </w:pPr>
          </w:p>
        </w:tc>
        <w:tc>
          <w:tcPr>
            <w:tcW w:w="20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2.</w:t>
              </w:r>
            </w:hyperlink>
          </w:p>
        </w:tc>
        <w:tc>
          <w:tcPr>
            <w:tcW w:w="4240" w:type="dxa"/>
            <w:vAlign w:val="bottom"/>
            <w:tcBorders>
              <w:top w:val="single" w:sz="8" w:color="0000EE"/>
            </w:tcBorders>
            <w:gridSpan w:val="22"/>
          </w:tcPr>
          <w:p>
            <w:pPr>
              <w:ind w:left="8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Recent Accounting Pronouncements</w:t>
              </w:r>
            </w:hyperlink>
          </w:p>
        </w:tc>
        <w:tc>
          <w:tcPr>
            <w:tcW w:w="624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3.</w:t>
              </w:r>
            </w:hyperlink>
          </w:p>
        </w:tc>
        <w:tc>
          <w:tcPr>
            <w:tcW w:w="1600" w:type="dxa"/>
            <w:vAlign w:val="bottom"/>
            <w:tcBorders>
              <w:top w:val="single" w:sz="8" w:color="0000EE"/>
              <w:bottom w:val="single" w:sz="8" w:color="0000EE"/>
            </w:tcBorders>
            <w:gridSpan w:val="8"/>
          </w:tcPr>
          <w:p>
            <w:pPr>
              <w:ind w:left="60"/>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Accounts Receivable</w:t>
              </w:r>
            </w:hyperlink>
          </w:p>
        </w:tc>
        <w:tc>
          <w:tcPr>
            <w:tcW w:w="1100" w:type="dxa"/>
            <w:vAlign w:val="bottom"/>
            <w:tcBorders>
              <w:top w:val="single" w:sz="8" w:color="0000EE"/>
            </w:tcBorders>
            <w:gridSpan w:val="8"/>
          </w:tcPr>
          <w:p>
            <w:pPr>
              <w:spacing w:after="0"/>
              <w:rPr>
                <w:sz w:val="17"/>
                <w:szCs w:val="17"/>
                <w:color w:val="auto"/>
              </w:rPr>
            </w:pPr>
          </w:p>
        </w:tc>
        <w:tc>
          <w:tcPr>
            <w:tcW w:w="778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4.</w:t>
              </w:r>
            </w:hyperlink>
          </w:p>
        </w:tc>
        <w:tc>
          <w:tcPr>
            <w:tcW w:w="10480" w:type="dxa"/>
            <w:vAlign w:val="bottom"/>
            <w:gridSpan w:val="34"/>
          </w:tcPr>
          <w:p>
            <w:pPr>
              <w:ind w:left="80"/>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Inventory, Linefill and Base Gas and Long-term Inventory</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c>
          <w:tcPr>
            <w:tcW w:w="760" w:type="dxa"/>
            <w:vAlign w:val="bottom"/>
            <w:tcBorders>
              <w:top w:val="single" w:sz="8" w:color="0000EE"/>
              <w:bottom w:val="single" w:sz="8" w:color="0000EE"/>
            </w:tcBorders>
            <w:gridSpan w:val="4"/>
          </w:tcPr>
          <w:p>
            <w:pPr>
              <w:ind w:left="80"/>
              <w:spacing w:after="0" w:line="196" w:lineRule="exact"/>
              <w:rPr>
                <w:rFonts w:ascii="Times New Roman" w:cs="Times New Roman" w:eastAsia="Times New Roman" w:hAnsi="Times New Roman"/>
                <w:sz w:val="18"/>
                <w:szCs w:val="18"/>
                <w:color w:val="0000EE"/>
                <w:w w:val="96"/>
              </w:rPr>
            </w:pPr>
            <w:hyperlink w:anchor="page8">
              <w:r>
                <w:rPr>
                  <w:rFonts w:ascii="Times New Roman" w:cs="Times New Roman" w:eastAsia="Times New Roman" w:hAnsi="Times New Roman"/>
                  <w:sz w:val="18"/>
                  <w:szCs w:val="18"/>
                  <w:color w:val="0000EE"/>
                  <w:w w:val="96"/>
                </w:rPr>
                <w:t>Goodwill</w:t>
              </w:r>
            </w:hyperlink>
          </w:p>
        </w:tc>
        <w:tc>
          <w:tcPr>
            <w:tcW w:w="3520" w:type="dxa"/>
            <w:vAlign w:val="bottom"/>
            <w:tcBorders>
              <w:top w:val="single" w:sz="8" w:color="0000EE"/>
            </w:tcBorders>
            <w:gridSpan w:val="19"/>
          </w:tcPr>
          <w:p>
            <w:pPr>
              <w:spacing w:after="0"/>
              <w:rPr>
                <w:sz w:val="17"/>
                <w:szCs w:val="17"/>
                <w:color w:val="auto"/>
              </w:rPr>
            </w:pPr>
          </w:p>
        </w:tc>
        <w:tc>
          <w:tcPr>
            <w:tcW w:w="620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6.</w:t>
              </w:r>
            </w:hyperlink>
          </w:p>
        </w:tc>
        <w:tc>
          <w:tcPr>
            <w:tcW w:w="10480" w:type="dxa"/>
            <w:vAlign w:val="bottom"/>
            <w:gridSpan w:val="34"/>
          </w:tcPr>
          <w:p>
            <w:pPr>
              <w:ind w:left="80"/>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Debt</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7.</w:t>
              </w:r>
            </w:hyperlink>
          </w:p>
        </w:tc>
        <w:tc>
          <w:tcPr>
            <w:tcW w:w="10480" w:type="dxa"/>
            <w:vAlign w:val="bottom"/>
            <w:gridSpan w:val="34"/>
          </w:tcPr>
          <w:p>
            <w:pPr>
              <w:ind w:left="80"/>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Net Income Per Class A Share</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8.</w:t>
              </w:r>
            </w:hyperlink>
          </w:p>
        </w:tc>
        <w:tc>
          <w:tcPr>
            <w:tcW w:w="10480" w:type="dxa"/>
            <w:vAlign w:val="bottom"/>
            <w:gridSpan w:val="34"/>
          </w:tcPr>
          <w:p>
            <w:pPr>
              <w:ind w:left="80"/>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Partners’ Capital and Distributions</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9.</w:t>
              </w:r>
            </w:hyperlink>
          </w:p>
        </w:tc>
        <w:tc>
          <w:tcPr>
            <w:tcW w:w="2720" w:type="dxa"/>
            <w:vAlign w:val="bottom"/>
            <w:tcBorders>
              <w:bottom w:val="single" w:sz="8" w:color="0000EE"/>
            </w:tcBorders>
            <w:gridSpan w:val="17"/>
          </w:tcPr>
          <w:p>
            <w:pPr>
              <w:ind w:left="80"/>
              <w:spacing w:after="0" w:line="196" w:lineRule="exact"/>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Equity-Indexed Compensation Plans</w:t>
              </w:r>
            </w:hyperlink>
          </w:p>
        </w:tc>
        <w:tc>
          <w:tcPr>
            <w:tcW w:w="776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80" w:type="dxa"/>
            <w:vAlign w:val="bottom"/>
          </w:tcPr>
          <w:p>
            <w:pPr>
              <w:spacing w:after="0"/>
              <w:rPr>
                <w:sz w:val="17"/>
                <w:szCs w:val="17"/>
                <w:color w:val="auto"/>
              </w:rPr>
            </w:pPr>
          </w:p>
        </w:tc>
        <w:tc>
          <w:tcPr>
            <w:tcW w:w="3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10. Derivatives and Risk Management Activities</w:t>
              </w:r>
            </w:hyperlink>
          </w:p>
        </w:tc>
        <w:tc>
          <w:tcPr>
            <w:tcW w:w="716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26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11. Commitments and Contingencies</w:t>
              </w:r>
            </w:hyperlink>
          </w:p>
        </w:tc>
        <w:tc>
          <w:tcPr>
            <w:tcW w:w="800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80" w:type="dxa"/>
            <w:vAlign w:val="bottom"/>
          </w:tcPr>
          <w:p>
            <w:pPr>
              <w:spacing w:after="0"/>
              <w:rPr>
                <w:sz w:val="17"/>
                <w:szCs w:val="17"/>
                <w:color w:val="auto"/>
              </w:rPr>
            </w:pPr>
          </w:p>
        </w:tc>
        <w:tc>
          <w:tcPr>
            <w:tcW w:w="10680" w:type="dxa"/>
            <w:vAlign w:val="bottom"/>
            <w:gridSpan w:val="35"/>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12. Operating Segments</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13. Related Party Transactions</w:t>
              </w:r>
            </w:hyperlink>
          </w:p>
        </w:tc>
        <w:tc>
          <w:tcPr>
            <w:tcW w:w="8460" w:type="dxa"/>
            <w:vAlign w:val="bottom"/>
            <w:gridSpan w:val="2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412"/>
        </w:trPr>
        <w:tc>
          <w:tcPr>
            <w:tcW w:w="94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13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96"/>
        </w:trPr>
        <w:tc>
          <w:tcPr>
            <w:tcW w:w="10860" w:type="dxa"/>
            <w:vAlign w:val="bottom"/>
            <w:gridSpan w:val="36"/>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3. QUANTITATIVE AND QUALITATIVE DISCLOSURES ABOUT MARKET RISK</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67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 CONTROLS AND PROCEDURES</w:t>
              </w:r>
            </w:hyperlink>
          </w:p>
        </w:tc>
        <w:tc>
          <w:tcPr>
            <w:tcW w:w="416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412"/>
        </w:trPr>
        <w:tc>
          <w:tcPr>
            <w:tcW w:w="27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b w:val="1"/>
                <w:bCs w:val="1"/>
                <w:color w:val="0000EE"/>
                <w:w w:val="98"/>
              </w:rPr>
            </w:pPr>
            <w:hyperlink w:anchor="page33">
              <w:r>
                <w:rPr>
                  <w:rFonts w:ascii="Times New Roman" w:cs="Times New Roman" w:eastAsia="Times New Roman" w:hAnsi="Times New Roman"/>
                  <w:sz w:val="18"/>
                  <w:szCs w:val="18"/>
                  <w:b w:val="1"/>
                  <w:bCs w:val="1"/>
                  <w:color w:val="0000EE"/>
                  <w:w w:val="98"/>
                </w:rPr>
                <w:t>PART II. OTHER INFORMATION</w:t>
              </w:r>
            </w:hyperlink>
          </w:p>
        </w:tc>
        <w:tc>
          <w:tcPr>
            <w:tcW w:w="380" w:type="dxa"/>
            <w:vAlign w:val="bottom"/>
            <w:tcBorders>
              <w:top w:val="single" w:sz="8" w:color="0000EE"/>
            </w:tcBorders>
            <w:gridSpan w:val="6"/>
          </w:tcPr>
          <w:p>
            <w:pPr>
              <w:spacing w:after="0"/>
              <w:rPr>
                <w:sz w:val="24"/>
                <w:szCs w:val="24"/>
                <w:color w:val="auto"/>
              </w:rPr>
            </w:pPr>
          </w:p>
        </w:tc>
        <w:tc>
          <w:tcPr>
            <w:tcW w:w="7700" w:type="dxa"/>
            <w:vAlign w:val="bottom"/>
            <w:gridSpan w:val="16"/>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Item 1. LEGAL PROCEEDINGS</w:t>
              </w:r>
            </w:hyperlink>
          </w:p>
        </w:tc>
        <w:tc>
          <w:tcPr>
            <w:tcW w:w="8420" w:type="dxa"/>
            <w:vAlign w:val="bottom"/>
            <w:gridSpan w:val="2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860" w:type="dxa"/>
            <w:vAlign w:val="bottom"/>
            <w:gridSpan w:val="36"/>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1A. RISK FACTORS</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Item 2. UNREGISTERED SALES OF EQUITY SECURITIES AND USE OF PROCEEDS</w:t>
              </w:r>
            </w:hyperlink>
          </w:p>
        </w:tc>
        <w:tc>
          <w:tcPr>
            <w:tcW w:w="422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860" w:type="dxa"/>
            <w:vAlign w:val="bottom"/>
            <w:gridSpan w:val="3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3. DEFAULTS UPON SENIOR SECURITIES</w:t>
              </w:r>
            </w:hyperlink>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7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 MINE SAFETY DISCLOSURES</w:t>
              </w:r>
            </w:hyperlink>
          </w:p>
        </w:tc>
        <w:tc>
          <w:tcPr>
            <w:tcW w:w="712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0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5. OTHER INFORMATION</w:t>
              </w:r>
            </w:hyperlink>
          </w:p>
        </w:tc>
        <w:tc>
          <w:tcPr>
            <w:tcW w:w="786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24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6. EXHIBITS</w:t>
              </w:r>
            </w:hyperlink>
          </w:p>
        </w:tc>
        <w:tc>
          <w:tcPr>
            <w:tcW w:w="8420" w:type="dxa"/>
            <w:vAlign w:val="bottom"/>
            <w:gridSpan w:val="2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3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SIGNATURES</w:t>
              </w:r>
            </w:hyperlink>
          </w:p>
        </w:tc>
        <w:tc>
          <w:tcPr>
            <w:tcW w:w="9480" w:type="dxa"/>
            <w:vAlign w:val="bottom"/>
            <w:gridSpan w:val="2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453"/>
        </w:trPr>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gridSpan w:val="3"/>
          </w:tcPr>
          <w:p>
            <w:pPr>
              <w:spacing w:after="0"/>
              <w:rPr>
                <w:sz w:val="24"/>
                <w:szCs w:val="24"/>
                <w:color w:val="auto"/>
              </w:rPr>
            </w:pPr>
          </w:p>
        </w:tc>
        <w:tc>
          <w:tcPr>
            <w:tcW w:w="5140" w:type="dxa"/>
            <w:vAlign w:val="bottom"/>
            <w:gridSpan w:val="21"/>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4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PLAINS GP HOLDINGS, L.P. AND SUBSIDIARIES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4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4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data)</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4"/>
          </w:tcPr>
          <w:p>
            <w:pPr>
              <w:jc w:val="right"/>
              <w:ind w:right="8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7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2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7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22,594</w:t>
            </w:r>
          </w:p>
        </w:tc>
        <w:tc>
          <w:tcPr>
            <w:tcW w:w="3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4,302</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3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3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 of $16 and $15, respectively</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7,409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3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3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Shareholders (136,046,637 and 133,833,637 shares outstanding, respectively)</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B Shareholders (469,983,136 and 472,196,136 shares outstanding, respectively)</w:t>
            </w:r>
          </w:p>
        </w:tc>
        <w:tc>
          <w:tcPr>
            <w:tcW w:w="3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7,638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3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22,594</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center"/>
              <w:ind w:left="39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left="35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10,856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9,933</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22,201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revenues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Facilities segment revenues</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10,280</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20,950</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capitalized interest of $10, $10, $22 and $19, respectively)</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PAGP</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WEIGHTED AVERAGE CLASS A SHARES</w:t>
            </w:r>
          </w:p>
        </w:tc>
        <w:tc>
          <w:tcPr>
            <w:tcW w:w="2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7" w:right="239" w:bottom="5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5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COMPREHENSIVE INCOME (in millions)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center"/>
              <w:ind w:left="39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left="35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PAGP</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loss on cash flow hedges, net of tax</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Total period activity</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gain on cash flow hedges, net of tax</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period activity</w:t>
            </w:r>
          </w:p>
        </w:tc>
        <w:tc>
          <w:tcPr>
            <w:tcW w:w="2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2013</w:t>
            </w:r>
          </w:p>
        </w:tc>
        <w:tc>
          <w:tcPr>
            <w:tcW w:w="2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sales of linefill and base gas</w:t>
            </w:r>
          </w:p>
        </w:tc>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foreign currency revaluation</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of terminated interest rate hedging instruments</w:t>
            </w:r>
          </w:p>
        </w:tc>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earnings in unconsolidated entities, net of distributions</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property, equipment and other</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for sales of linefill and base gas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purchases of linefill and base gas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repayments under PAA senior secured hedged inventory facility (Note 6)</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repayments under PAA senior unsecured revolving credit facility (Note 6)</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repayments under PNG credit agreement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borrowings under AAP revolving credit facility (Note 6)</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repayments under PAA commercial paper program (Note 6)</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PAA senior notes (Note 6)</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the issuance of common units by subsidiaries (Note 8)</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interests related to the issuance of common units by subsidiaries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noncontrolling interests (Note 8)</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to Class A shareholders (Note 8)</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members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translation adjustment on cash</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52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PARTNERS’ CAPITAL /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8"/>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(Excluding Noncontrolling Interests)</w:t>
            </w:r>
          </w:p>
        </w:tc>
        <w:tc>
          <w:tcPr>
            <w:tcW w:w="9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3100" w:type="dxa"/>
            <w:vAlign w:val="bottom"/>
            <w:gridSpan w:val="7"/>
          </w:tcPr>
          <w:p>
            <w:pPr>
              <w:ind w:left="10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right"/>
              <w:ind w:right="782"/>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5"/>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240" w:type="dxa"/>
            <w:vAlign w:val="bottom"/>
            <w:tcBorders>
              <w:top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8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68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472.2</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7,244</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618</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ownership interest in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AAP unit exchanges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units by subsidiaries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PAA common units under</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LTIP, net of units tendered by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employees to satisfy tax withholding</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equivalent right payments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Noncontrolling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832</w:t>
            </w:r>
          </w:p>
        </w:tc>
        <w:tc>
          <w:tcPr>
            <w:tcW w:w="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units by subsidiaries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198"/>
        </w:trPr>
        <w:tc>
          <w:tcPr>
            <w:tcW w:w="45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Contributions from noncontrolling interests related to the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units by subsidiaries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PAA common units under LTIP, net of units</w:t>
            </w:r>
          </w:p>
        </w:tc>
        <w:tc>
          <w:tcPr>
            <w:tcW w:w="100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tendered by employees to satisfy tax withholding</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0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equivalent right payments</w:t>
            </w:r>
          </w:p>
        </w:tc>
        <w:tc>
          <w:tcPr>
            <w:tcW w:w="100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2013</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NOTES TO THE CONDENSED CONSOLIDATED FINANCIAL STATEMENTS (unaudited)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completed our initial public offering (“IPO”) on October 21, 2013. Immediately prior to our IPO, certain owners of Plains AAP, L.P. (“AAP”) sold a portion of their interests in AAP to us, resulting in our ownership of Class A units of AAP (“AAP units”), which represent limited partnership interests in AAP. As of June 30, 2014, we owned 136,046,637 AAP units (representing an approximate 22.4% limited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Also, through a series of transactions prior to our IPO with Plains GP Holdings LLC (our general partner), a Delaware limited liability company, and the owners of Plains All American GP LLC (“GP LLC”), a Delaware limited liability company formed on May 2, 2001, GP LLC’s general partner interest in AAP became a non-economic interest, and we became the owner of a 100% managing member interest in GP LLC. See “Basis of Consolidation and Presentation” below for the resulting accounting impacts.</w:t>
      </w:r>
    </w:p>
    <w:p>
      <w:pPr>
        <w:spacing w:after="0" w:line="18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8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When used in this Form 10-Q, NGL refers to all NGL products including LPG.</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(i) Transportation, (ii) Facilities and (iii) Supply and Logistics. See Note 12 for further discussion of our operating segments.</w:t>
      </w:r>
    </w:p>
    <w:p>
      <w:pPr>
        <w:spacing w:after="0" w:line="18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used in this Form 10-Q and unless the context suggests otherwise (taking into account the fact that PAGP has no operating activities apart from those conducted by PAA and its subsidiaries), the terms “PAGP,” “Partnership,” “Plains,” “we,” “us,” “our,” “ours” and similar terms refer to PAGP and its consolidated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DERs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 equivalent rights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IntercontinentalExchange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incentive plan</w:t>
            </w:r>
          </w:p>
        </w:tc>
      </w:tr>
    </w:tbl>
    <w:p>
      <w:pPr>
        <w:spacing w:after="0" w:line="198" w:lineRule="exact"/>
        <w:rPr>
          <w:sz w:val="20"/>
          <w:szCs w:val="20"/>
          <w:color w:val="auto"/>
        </w:rPr>
      </w:pPr>
    </w:p>
    <w:p>
      <w:pPr>
        <w:sectPr>
          <w:pgSz w:w="11900" w:h="16838" w:orient="portrait"/>
          <w:cols w:equalWidth="0" w:num="1">
            <w:col w:w="11420"/>
          </w:cols>
          <w:pgMar w:left="240" w:top="121" w:right="239" w:bottom="5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0" w:gutter="0" w:footer="0" w:header="0"/>
          <w:type w:val="continuous"/>
        </w:sectPr>
      </w:pPr>
    </w:p>
    <w:bookmarkStart w:id="6" w:name="page7"/>
    <w:bookmarkEnd w:id="6"/>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540" w:type="dxa"/>
            <w:vAlign w:val="bottom"/>
          </w:tcPr>
          <w:p>
            <w:pPr>
              <w:spacing w:after="0"/>
              <w:rPr>
                <w:sz w:val="17"/>
                <w:szCs w:val="17"/>
                <w:color w:val="auto"/>
              </w:rPr>
            </w:pPr>
          </w:p>
        </w:tc>
        <w:tc>
          <w:tcPr>
            <w:tcW w:w="624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Mcf</w:t>
            </w:r>
          </w:p>
        </w:tc>
        <w:tc>
          <w:tcPr>
            <w:tcW w:w="280" w:type="dxa"/>
            <w:vAlign w:val="bottom"/>
          </w:tcPr>
          <w:p>
            <w:pPr>
              <w:spacing w:after="0"/>
              <w:rPr>
                <w:sz w:val="24"/>
                <w:szCs w:val="24"/>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Natural gas liquids including ethane, natural gasoline, products, propane and butane</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NYMEX</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loss allowance</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PNG</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PAA Natural Gas Storage, L.P.</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Cliffs</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White Cliffs Pipeline, LLC</w:t>
            </w:r>
          </w:p>
        </w:tc>
      </w:t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WTI</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notes thereto should be read in conjunction with our 2013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consolidated balance sheet data as of December 31, 2013 was derived from audited financial statements, but does not include all disclosures required by GAAP. The results of operations for the three and six months ended June 30, 2014 should not be taken as indicative of results to be expected for the entire year. These financials include PAGP and all of our wholly owned subsidiaries and those entities that we control. Under GAAP, we consolidate PAA, AAP and GP LLC. Amounts associated with the interests in these entities not owned by us are reflected in our results of operations as net income attributable to noncontrolling interests and in our balance sheet partners’ capital section as noncontrolling interests.</w:t>
      </w:r>
    </w:p>
    <w:p>
      <w:pPr>
        <w:spacing w:after="0" w:line="18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For periods prior to our IPO, the accompanying condensed consolidated financial statements reflect the financial statements of GP LLC, the predecessor of PAGP, and are based on the historical ownership percentages of GP LLC and AAP. These financial statements, to the extent they relate to periods prior to our IPO, have been prepared from the separate financial records maintained by GP LLC and may not necessarily be indicative of the actual results of operations that might have occurred if PAGP had operated separately during those periods.</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2—Recent Accounting Pronouncements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Other than as discussed below and in our 2013 Annual Report on Form 10-K, no new accounting pronouncements have become effective or have been issued during the six months ended June 30, 2014 that are of significance or potential significance to us.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becomes effective for interim and annual periods beginning after December 15, 2016 and can be adopted either with a full retrospective approach or a modified retrospective approach with a cumulative-effect adjustment as of the date of adoption. We are currently evaluating which transition approach to apply and the effect that adopting this guidance will have on our financial position, results of operations and cash flows.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Early adoption is permitted but only for disposals (or classifications as held for sale) that have not been reported in financial statements previously issued or available for issue. We are currently evaluating the provisions of this authoritative guidance and assessing its impact, but do not believe our adoption will have a material impact on our financial position, results of operations or cash flows.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became effective for interim and annual periods beginning after December 15, 2013. We adopted this guidance on January 1, 2014. Our adoption did not have a material impact on our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3—Accounts Receivable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advance cash payments, standby letters of credit or parental guarantees. As of June 30, 2014 and December 31, 2013, we had received approximately $157 million and $117 million, respectively, of advance cash payments from third parties to mitigate credit risk. Furthermore, as of June 30, 2014 and December 31, 2013, we had received approximately $384 million and $426 million, respectively, of standby letters of credit to support obligations due from third parties, a portion of which applies to future business.</w:t>
      </w:r>
    </w:p>
    <w:p>
      <w:pPr>
        <w:sectPr>
          <w:pgSz w:w="11900" w:h="16867" w:orient="portrait"/>
          <w:cols w:equalWidth="0" w:num="1">
            <w:col w:w="11420"/>
          </w:cols>
          <w:pgMar w:left="240" w:top="351" w:right="239" w:bottom="0" w:gutter="0" w:footer="0" w:header="0"/>
        </w:sectPr>
      </w:pPr>
    </w:p>
    <w:bookmarkStart w:id="7" w:name="page8"/>
    <w:bookmarkEnd w:id="7"/>
    <w:p>
      <w:pPr>
        <w:spacing w:after="0" w:line="6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2014 and December 31, 2013, substantially all of our accounts receivable (net of allowance for doubtful accounts) were less than 30 days past their scheduled invoice date. Our allowance for doubtful accounts receivable totaled approximately $5 million at both June 30, 2014 and December 31, 2013. Although we consider our allowance for doubtful accounts receivable to be adequate, actual amounts could vary significantly from estimated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4—Inventory, Linefill and Base Gas and Long-term Inventory</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Inventory, linefill and base gas and long-term inventory consisted of the following as of the dates indicated (barrels and natural gas volumes in thousands and carrying value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60" w:type="dxa"/>
            <w:vAlign w:val="bottom"/>
          </w:tcPr>
          <w:p>
            <w:pPr>
              <w:spacing w:after="0"/>
              <w:rPr>
                <w:sz w:val="10"/>
                <w:szCs w:val="10"/>
                <w:color w:val="auto"/>
              </w:rPr>
            </w:pPr>
          </w:p>
        </w:tc>
        <w:tc>
          <w:tcPr>
            <w:tcW w:w="10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Unit of</w:t>
            </w:r>
          </w:p>
        </w:tc>
        <w:tc>
          <w:tcPr>
            <w:tcW w:w="88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Price/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Unit of</w:t>
            </w:r>
          </w:p>
        </w:tc>
        <w:tc>
          <w:tcPr>
            <w:tcW w:w="100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60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Measure</w:t>
            </w: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5"/>
                <w:szCs w:val="15"/>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8"/>
                <w:szCs w:val="8"/>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Inventory</w:t>
            </w: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Crude oil</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6,233</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80" w:type="dxa"/>
            <w:vAlign w:val="bottom"/>
            <w:tcBorders>
              <w:right w:val="single" w:sz="8" w:color="auto"/>
            </w:tcBorders>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6,951</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10,591</w:t>
            </w:r>
          </w:p>
        </w:tc>
        <w:tc>
          <w:tcPr>
            <w:tcW w:w="1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80" w:type="dxa"/>
            <w:vAlign w:val="bottom"/>
            <w:tcBorders>
              <w:right w:val="single" w:sz="8" w:color="auto"/>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8,061</w:t>
            </w:r>
          </w:p>
        </w:tc>
        <w:tc>
          <w:tcPr>
            <w:tcW w:w="1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10,824</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4.62</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40,505</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Inventory subtotal</w:t>
            </w: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right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Linefill and base gas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11,211</w:t>
            </w:r>
          </w:p>
        </w:tc>
        <w:tc>
          <w:tcPr>
            <w:tcW w:w="1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80" w:type="dxa"/>
            <w:vAlign w:val="bottom"/>
            <w:tcBorders>
              <w:right w:val="single" w:sz="8" w:color="auto"/>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10,966</w:t>
            </w:r>
          </w:p>
        </w:tc>
        <w:tc>
          <w:tcPr>
            <w:tcW w:w="1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1,214</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80" w:type="dxa"/>
            <w:vAlign w:val="bottom"/>
            <w:tcBorders>
              <w:right w:val="single" w:sz="8" w:color="auto"/>
            </w:tcBorders>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1,341</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26,612</w:t>
            </w:r>
          </w:p>
        </w:tc>
        <w:tc>
          <w:tcPr>
            <w:tcW w:w="1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16,615</w:t>
            </w:r>
          </w:p>
        </w:tc>
        <w:tc>
          <w:tcPr>
            <w:tcW w:w="1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Linefill and base gas subtotal</w:t>
            </w: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right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2,712</w:t>
            </w:r>
          </w:p>
        </w:tc>
        <w:tc>
          <w:tcPr>
            <w:tcW w:w="1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80" w:type="dxa"/>
            <w:vAlign w:val="bottom"/>
            <w:tcBorders>
              <w:right w:val="single" w:sz="8" w:color="auto"/>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2,498</w:t>
            </w:r>
          </w:p>
        </w:tc>
        <w:tc>
          <w:tcPr>
            <w:tcW w:w="1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1,681</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80" w:type="dxa"/>
            <w:vAlign w:val="bottom"/>
            <w:tcBorders>
              <w:right w:val="single" w:sz="8" w:color="auto"/>
            </w:tcBorders>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1,161</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320" w:hanging="598"/>
        <w:spacing w:after="0" w:line="22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represents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At the end of each reporting period, we assess the carrying value of our inventory and make any adjustments necessary to reduce the carrying value to the applicable net realizable value. We recorded a charge of approximately $37 million during the six months ended June 30, 2014 related to the writedown of our natural gas inventory that was purchased in conjunction with managing natural gas storage deliverability requirements during the extended period of severe cold weather in the first quarter of 2014. This adjustment is a component of “Purchases and related costs” in our accompanying condensed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our goodwill by segment and changes during the period indicated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5"/>
                <w:szCs w:val="15"/>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Supply and Logistics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300" w:type="dxa"/>
            <w:vAlign w:val="bottom"/>
            <w:tcBorders>
              <w:top w:val="single" w:sz="8" w:color="auto"/>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130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completed our annual goodwill impairment test as of June 30, 2014 and determined that there was no impairment of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as of the dates indicated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3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SHORT-TERM DEBT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PAA commercial paper notes, bearing a weighted-average interest rate of 0.29% and 0.33%, respectively </w:t>
            </w:r>
            <w:r>
              <w:rPr>
                <w:rFonts w:ascii="Times New Roman" w:cs="Times New Roman" w:eastAsia="Times New Roman" w:hAnsi="Times New Roman"/>
                <w:sz w:val="23"/>
                <w:szCs w:val="23"/>
                <w:color w:val="auto"/>
                <w:vertAlign w:val="superscript"/>
              </w:rPr>
              <w:t>(1)</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short-term debt</w:t>
            </w: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ectPr>
          <w:pgSz w:w="11900" w:h="16902" w:orient="portrait"/>
          <w:cols w:equalWidth="0" w:num="1">
            <w:col w:w="11460"/>
          </w:cols>
          <w:pgMar w:left="240" w:top="121"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4"/>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PAA senior notes, net of unamortized discounts of $16 and $15, respectively </w:t>
            </w:r>
            <w:r>
              <w:rPr>
                <w:rFonts w:ascii="Times New Roman" w:cs="Times New Roman" w:eastAsia="Times New Roman" w:hAnsi="Times New Roman"/>
                <w:sz w:val="23"/>
                <w:szCs w:val="23"/>
                <w:color w:val="auto"/>
                <w:vertAlign w:val="superscript"/>
              </w:rPr>
              <w:t>(2)</w:t>
            </w:r>
          </w:p>
        </w:tc>
        <w:tc>
          <w:tcPr>
            <w:tcW w:w="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7,409</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 and Other:</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AAP term loan, bearing a weighted-average interest rate of 1.8% and 1.9%, respectively</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198"/>
        </w:trPr>
        <w:tc>
          <w:tcPr>
            <w:tcW w:w="8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AAP senior secured revolving credit facility, bearing a weighted-average interest rate of 1.7% and 2.2%,</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6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tcBorders>
              <w:bottom w:val="single" w:sz="8" w:color="CCEEFF"/>
            </w:tcBorders>
            <w:shd w:val="clear" w:color="auto" w:fill="CCEEFF"/>
          </w:tcPr>
          <w:p>
            <w:pPr>
              <w:ind w:left="540"/>
              <w:spacing w:after="0" w:line="210"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(3)</w:t>
            </w:r>
          </w:p>
        </w:tc>
        <w:tc>
          <w:tcPr>
            <w:tcW w:w="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23"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0" w:hanging="11"/>
        <w:spacing w:after="0" w:line="258" w:lineRule="auto"/>
        <w:rPr>
          <w:sz w:val="20"/>
          <w:szCs w:val="20"/>
          <w:color w:val="auto"/>
        </w:rPr>
      </w:pPr>
      <w:r>
        <w:rPr>
          <w:rFonts w:ascii="Times New Roman" w:cs="Times New Roman" w:eastAsia="Times New Roman" w:hAnsi="Times New Roman"/>
          <w:sz w:val="18"/>
          <w:szCs w:val="18"/>
          <w:color w:val="auto"/>
        </w:rPr>
        <w:t>PAA commercial paper notes are backstopped by the PAA senior unsecured revolving credit facility and the PAA senior secured hedged inventory facility, which mature in August 2018 and August 2016, respectively; as such, any borrowings under the PAA commercial paper program reduce the available capacity under these facilities. At June 30, 2014 and December 31, 2013, we classified $760 million and $1.1 billion, respectively, of borrowings under the PAA commercial paper program as short-term. These borrowings are primarily designated as working capital borrowings, must be repaid within one year and are primarily for hedged NGL and crude oil inventory and NYMEX and ICE margin deposits.</w:t>
      </w:r>
    </w:p>
    <w:p>
      <w:pPr>
        <w:spacing w:after="0" w:line="184" w:lineRule="exact"/>
        <w:rPr>
          <w:sz w:val="20"/>
          <w:szCs w:val="20"/>
          <w:color w:val="auto"/>
        </w:rPr>
      </w:pPr>
    </w:p>
    <w:p>
      <w:pPr>
        <w:ind w:left="20" w:right="560" w:hanging="11"/>
        <w:spacing w:after="0" w:line="282" w:lineRule="auto"/>
        <w:rPr>
          <w:sz w:val="20"/>
          <w:szCs w:val="20"/>
          <w:color w:val="auto"/>
        </w:rPr>
      </w:pPr>
      <w:r>
        <w:rPr>
          <w:rFonts w:ascii="Times New Roman" w:cs="Times New Roman" w:eastAsia="Times New Roman" w:hAnsi="Times New Roman"/>
          <w:sz w:val="18"/>
          <w:szCs w:val="18"/>
          <w:color w:val="auto"/>
        </w:rPr>
        <w:t>As of June 30, 2014, we have classified PAA’s $150 million, 5.25% senior notes due June 2015 as long-term based on the ability and intent to refinance them on a long-term basis.</w:t>
      </w:r>
    </w:p>
    <w:p>
      <w:pPr>
        <w:spacing w:after="0" w:line="162" w:lineRule="exact"/>
        <w:rPr>
          <w:sz w:val="20"/>
          <w:szCs w:val="20"/>
          <w:color w:val="auto"/>
        </w:rPr>
      </w:pPr>
    </w:p>
    <w:p>
      <w:pPr>
        <w:ind w:left="20" w:right="20" w:hanging="11"/>
        <w:spacing w:after="0" w:line="255" w:lineRule="auto"/>
        <w:rPr>
          <w:sz w:val="20"/>
          <w:szCs w:val="20"/>
          <w:color w:val="auto"/>
        </w:rPr>
      </w:pPr>
      <w:r>
        <w:rPr>
          <w:rFonts w:ascii="Times New Roman" w:cs="Times New Roman" w:eastAsia="Times New Roman" w:hAnsi="Times New Roman"/>
          <w:sz w:val="18"/>
          <w:szCs w:val="18"/>
          <w:color w:val="auto"/>
        </w:rPr>
        <w:t>PAA’s fixed-rate senior notes had a face value of approximately $7.4 billion and $6.7 billion at June 30, 2014 and December 31, 2013, respectively. We estimated the aggregate fair value of these notes as of June 30, 2014 and December 31, 2013 to be approximately $8.2 billion and $7.2 billion, respectively. PAA’s fixed-rate senior notes are traded among institutions, and these trades are routinely published by a reporting service. Our determination of fair value is based on reported trading activity near quarter end. We estimate that the carrying value of outstanding borrowings under credit facilities and agreements and commercial paper program approximates fair value as interest rates reflect current market rates. The fair value estimates for both the senior notes and credit facilities are based upon observable market data and are classified within Level 2 of the fair value hierarchy. See Note 10 for additional discussion of the fair value hierarchy.</w:t>
      </w:r>
    </w:p>
    <w:p>
      <w:pPr>
        <w:spacing w:after="0" w:line="18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91" w:right="239" w:bottom="23" w:gutter="0" w:footer="0" w:header="0"/>
          <w:type w:val="continuous"/>
        </w:sectPr>
      </w:pP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credit agreements and the commercial paper program for the six months ended June 30, 2014 and 2013 were approximately $34.6 billion and $7.6 billion, respectively. Total repayments under credit agreements and the commercial paper program for the six months ended June 30, 2014 and 2013 were approximately $34.9 billion and $7.8 billion, respectively. The variance in total gross borrowings and repayments is impacted by various business and financial factors including, but not limited to, the timing, average term and method of general partnership borrowing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and construction activities. At June 30, 2014 and December 31, 2013 we had outstanding letters of credit of approximately $38 million and $41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Senior Notes Issuance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April 23, 2014, PAA completed the issuance of $700 million, 4.70% senior notes due 2044 at a public offering price of 99.734%. Interest payments are due on June 15 and December 15 of each year, commencing on December 15, 2014. In anticipation of the issuance of these senior notes, PAA entered into $250 million notional principal amount of U.S. treasury locks in March and April 2014 to hedge the treasury rate portion of the interest rate on a portion of the notes. PAA terminated these treasury locks in April 2014. See Note 10 for additional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7—Net Income Per Class A Share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Class A share is determined by dividing net income attributable to PAGP by the weighted average number of outstanding Class A shares during the period. Class B shares do not share in the earnings of the Partnership. Accordingly, basic and diluted net income per Class B share has not been presented.</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Diluted net income per Class A share is determined by dividing net income attributable to PAGP by the weighted average number of outstanding diluted Class A shares during the period. For purposes of calculating diluted net income per Class A share, both the net income attributable to PAGP and the weighted average number of outstanding diluted Class A shares consider the impact of possible future exchanges of (i) AAP units and the associated Class B shares into our Class A shares and (ii) certain Class B units of AAP (referred to herein as “AAP Management Units”) into our Class A shares. In addition, the calculation of the weighted average number of outstanding diluted Class A shares considers the effect of potentially dilutive awards under the Plains GP Holdings, L.P. Long-Term Incentive Plan (the “PAGP LTIP”).</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All AAP Management Units that have satisfied the applicable performance condition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Our PAGP LTIP awards that contemplate the issuance of Class A Shares are considered dilutive unless (i) vesting occurs only upon the satisfaction of a performance condition and (ii) that performance condition has yet to be satisfied. PAGP LTIP awards that are deemed to be dilutive are reduced by a hypothetical share repurchase based on the remaining unamortized fair value, as prescribed by the treasury stock method in guidance issued by the FASB. All outstanding PAGP LTIP awards as of June 30, 2014 are dilutive.</w:t>
      </w:r>
    </w:p>
    <w:p>
      <w:pPr>
        <w:sectPr>
          <w:pgSz w:w="11900" w:h="16838" w:orient="portrait"/>
          <w:cols w:equalWidth="0" w:num="1">
            <w:col w:w="11420"/>
          </w:cols>
          <w:pgMar w:left="240" w:top="91" w:right="239" w:bottom="23"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91" w:right="239" w:bottom="23" w:gutter="0" w:footer="0" w:header="0"/>
          <w:type w:val="continuous"/>
        </w:sectPr>
      </w:pPr>
    </w:p>
    <w:bookmarkStart w:id="9" w:name="page10"/>
    <w:bookmarkEnd w:id="9"/>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2014, the possible exchange of any AAP units and certain AAP Management Units would have had an antidilutive effect on net income per Class A share. For the same periods, our PAGP LTIP awards are dilutive; however, there are less than 0.1 million dilutive LTIP awards, which amount is not large enough to change the presentation of weighted average shares outstanding or net income per Class A share. The following table illustrates the calculation of basic net income per Class A share and diluted net income per Class A share for the three and six months ended June 30, 2014 (amounts in millions,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1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number of Class A shares outstanding</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8—Partners’ Capital and Distributions</w:t>
            </w: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the distributions paid to Class A shareholders during or pertaining to the first six months of 2014 (in millions,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60" w:type="dxa"/>
            <w:vAlign w:val="bottom"/>
          </w:tcPr>
          <w:p>
            <w:pPr>
              <w:spacing w:after="0"/>
              <w:rPr>
                <w:sz w:val="13"/>
                <w:szCs w:val="13"/>
                <w:color w:val="auto"/>
              </w:rPr>
            </w:pPr>
          </w:p>
        </w:tc>
        <w:tc>
          <w:tcPr>
            <w:tcW w:w="29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21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Distributions to</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Distributions per</w:t>
            </w:r>
          </w:p>
        </w:tc>
        <w:tc>
          <w:tcPr>
            <w:tcW w:w="0" w:type="dxa"/>
            <w:vAlign w:val="bottom"/>
          </w:tcPr>
          <w:p>
            <w:pPr>
              <w:spacing w:after="0"/>
              <w:rPr>
                <w:sz w:val="1"/>
                <w:szCs w:val="1"/>
                <w:color w:val="auto"/>
              </w:rPr>
            </w:pPr>
          </w:p>
        </w:tc>
      </w:tr>
      <w:tr>
        <w:trPr>
          <w:trHeight w:val="173"/>
        </w:trPr>
        <w:tc>
          <w:tcPr>
            <w:tcW w:w="25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2"/>
            <w:vMerge w:val="continue"/>
          </w:tcPr>
          <w:p>
            <w:pPr>
              <w:spacing w:after="0"/>
              <w:rPr>
                <w:sz w:val="15"/>
                <w:szCs w:val="15"/>
                <w:color w:val="auto"/>
              </w:rPr>
            </w:pPr>
          </w:p>
        </w:tc>
        <w:tc>
          <w:tcPr>
            <w:tcW w:w="21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 xml:space="preserve">Class A Share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8, 2014</w:t>
            </w:r>
          </w:p>
        </w:tc>
        <w:tc>
          <w:tcPr>
            <w:tcW w:w="3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August 14, 2014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19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April 7,</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3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May 15, 2014</w:t>
            </w:r>
          </w:p>
        </w:tc>
        <w:tc>
          <w:tcPr>
            <w:tcW w:w="2160" w:type="dxa"/>
            <w:vAlign w:val="bottom"/>
          </w:tcPr>
          <w:p>
            <w:pPr>
              <w:jc w:val="right"/>
              <w:ind w:right="19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0.17055</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9, 2014</w:t>
            </w:r>
          </w:p>
        </w:tc>
        <w:tc>
          <w:tcPr>
            <w:tcW w:w="3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February 14, 2014</w:t>
            </w:r>
          </w:p>
        </w:tc>
        <w:tc>
          <w:tcPr>
            <w:tcW w:w="2160" w:type="dxa"/>
            <w:vAlign w:val="bottom"/>
            <w:shd w:val="clear" w:color="auto" w:fill="CCEEFF"/>
          </w:tcPr>
          <w:p>
            <w:pPr>
              <w:jc w:val="right"/>
              <w:ind w:right="19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60"/>
          </w:cols>
          <w:pgMar w:left="240" w:top="364" w:right="19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shareholders of record at the close of business on August 1, 2014, for the period April 1, 2014 through June 30, 2014.</w:t>
      </w:r>
    </w:p>
    <w:p>
      <w:pPr>
        <w:spacing w:after="0" w:line="225" w:lineRule="exact"/>
        <w:rPr>
          <w:sz w:val="20"/>
          <w:szCs w:val="20"/>
          <w:color w:val="auto"/>
        </w:rPr>
      </w:pPr>
    </w:p>
    <w:p>
      <w:pPr>
        <w:ind w:left="20" w:right="360" w:hanging="11"/>
        <w:spacing w:after="0" w:line="282" w:lineRule="auto"/>
        <w:rPr>
          <w:sz w:val="20"/>
          <w:szCs w:val="20"/>
          <w:color w:val="auto"/>
        </w:rPr>
      </w:pPr>
      <w:r>
        <w:rPr>
          <w:rFonts w:ascii="Times New Roman" w:cs="Times New Roman" w:eastAsia="Times New Roman" w:hAnsi="Times New Roman"/>
          <w:sz w:val="18"/>
          <w:szCs w:val="18"/>
          <w:color w:val="auto"/>
        </w:rPr>
        <w:t>The distribution per Class A share paid on February 14, 2014 was prorated for the partial quarter following the closing of our IPO on October 21, 2013.</w:t>
      </w:r>
    </w:p>
    <w:p>
      <w:pPr>
        <w:spacing w:after="0" w:line="158" w:lineRule="exact"/>
        <w:rPr>
          <w:sz w:val="20"/>
          <w:szCs w:val="20"/>
          <w:color w:val="auto"/>
        </w:rPr>
      </w:pPr>
    </w:p>
    <w:p>
      <w:pPr>
        <w:sectPr>
          <w:pgSz w:w="11900" w:h="16900" w:orient="portrait"/>
          <w:cols w:equalWidth="0" w:num="2">
            <w:col w:w="140" w:space="500"/>
            <w:col w:w="10820"/>
          </w:cols>
          <w:pgMar w:left="240" w:top="364" w:right="19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Exchange Rights. </w:t>
      </w:r>
      <w:r>
        <w:rPr>
          <w:rFonts w:ascii="Times New Roman" w:cs="Times New Roman" w:eastAsia="Times New Roman" w:hAnsi="Times New Roman"/>
          <w:sz w:val="18"/>
          <w:szCs w:val="18"/>
          <w:color w:val="auto"/>
        </w:rPr>
        <w:t>Holders of AAP units and their permitted transferees each have the right to exchange all or a portion of their AAP units into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shares at an exchange ratio of one Class A share for each AAP unit exchanged (referred to herein as their “Exchange Right”). This Exchange Right may be exercised only if, simultaneously therewith, an equal number of Class B shares and general partner units are transferred by the exercising party to us. For additional information regarding Exchange Rights, see Note 10 to our Consolidated Financial Statements included in Part IV of our 2013 Annual Report on Form 10-K. During the six months ended June 30, 2014, certain holders of AAP units and their permitted transferees exercised their Exchange Right, which resulted in the exchange of AAP units, general partner units and our Class B shares for our Class A shares. The following table reflects the impact of such Exchange Right exercises on our Class A and Class B shares outstanding: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472,196,136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(exchanged)/issued in connection with Exchange Right exercises</w:t>
            </w:r>
          </w:p>
        </w:tc>
        <w:tc>
          <w:tcPr>
            <w:tcW w:w="28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tcBorders>
              <w:bottom w:val="single" w:sz="8" w:color="CCEEFF"/>
            </w:tcBorders>
            <w:vMerge w:val="continue"/>
          </w:tcPr>
          <w:p>
            <w:pPr>
              <w:spacing w:after="0"/>
              <w:rPr>
                <w:sz w:val="17"/>
                <w:szCs w:val="17"/>
                <w:color w:val="auto"/>
              </w:rPr>
            </w:pPr>
          </w:p>
        </w:tc>
        <w:tc>
          <w:tcPr>
            <w:tcW w:w="282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(2,213,000)</w:t>
            </w:r>
          </w:p>
        </w:tc>
        <w:tc>
          <w:tcPr>
            <w:tcW w:w="32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2,213,000</w:t>
            </w:r>
          </w:p>
        </w:tc>
        <w:tc>
          <w:tcPr>
            <w:tcW w:w="100" w:type="dxa"/>
            <w:vAlign w:val="bottom"/>
            <w:tcBorders>
              <w:bottom w:val="single" w:sz="8" w:color="CCEE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28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469,983,136</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136,046,637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2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2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Sales of Common Units by Subsidiaries</w:t>
      </w:r>
    </w:p>
    <w:p>
      <w:pPr>
        <w:spacing w:after="0" w:line="227"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PAA Continuous Offering Program</w:t>
      </w:r>
      <w:r>
        <w:rPr>
          <w:rFonts w:ascii="Times New Roman" w:cs="Times New Roman" w:eastAsia="Times New Roman" w:hAnsi="Times New Roman"/>
          <w:sz w:val="18"/>
          <w:szCs w:val="18"/>
          <w:color w:val="auto"/>
        </w:rPr>
        <w:t>. During the six months ended June 30, 2014, PAA sold an aggregate of approximately 8.1 million common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its continuous offering program, generating proceeds of approximately $444 million, net of offering costs.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June 30, 2014, noncontrolling interests in subsidiaries consisted of the following: (i) a 98% limited partner interest in PAA, (ii) an approximate 78% limited partner interest in AAP that consists of Class A units and AAP Management Units (a profits interest) and (iii) a 25% interest in SLC Pipeline LLC.</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Subsidiary Distributions</w:t>
      </w:r>
    </w:p>
    <w:p>
      <w:pPr>
        <w:spacing w:after="0" w:line="227"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PAA Distributions</w:t>
      </w:r>
      <w:r>
        <w:rPr>
          <w:rFonts w:ascii="Times New Roman" w:cs="Times New Roman" w:eastAsia="Times New Roman" w:hAnsi="Times New Roman"/>
          <w:sz w:val="18"/>
          <w:szCs w:val="18"/>
          <w:color w:val="auto"/>
        </w:rPr>
        <w:t>. The following table details the distributions to PAA’s partners paid during or pertaining to the first six months of 2014,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distribution reductions (in millions, except per unit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Distributions to PAA’s Partners</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Distributions</w:t>
            </w:r>
          </w:p>
        </w:tc>
      </w:tr>
      <w:tr>
        <w:trPr>
          <w:trHeight w:val="142"/>
        </w:trPr>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000" w:type="dxa"/>
            <w:vAlign w:val="bottom"/>
          </w:tcPr>
          <w:p>
            <w:pPr>
              <w:spacing w:after="0"/>
              <w:rPr>
                <w:sz w:val="12"/>
                <w:szCs w:val="12"/>
                <w:color w:val="auto"/>
              </w:rPr>
            </w:pPr>
          </w:p>
        </w:tc>
        <w:tc>
          <w:tcPr>
            <w:tcW w:w="176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AAP</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per limited</w:t>
            </w:r>
          </w:p>
        </w:tc>
      </w:tr>
      <w:tr>
        <w:trPr>
          <w:trHeight w:val="142"/>
        </w:trPr>
        <w:tc>
          <w:tcPr>
            <w:tcW w:w="2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Date Declared</w:t>
            </w:r>
          </w:p>
        </w:tc>
        <w:tc>
          <w:tcPr>
            <w:tcW w:w="2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Distribution Date</w:t>
            </w:r>
          </w:p>
        </w:tc>
        <w:tc>
          <w:tcPr>
            <w:tcW w:w="13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Partners</w:t>
            </w:r>
          </w:p>
        </w:tc>
        <w:tc>
          <w:tcPr>
            <w:tcW w:w="1000" w:type="dxa"/>
            <w:vAlign w:val="bottom"/>
            <w:tcBorders>
              <w:top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540" w:type="dxa"/>
            <w:vAlign w:val="bottom"/>
            <w:tcBorders>
              <w:top w:val="single" w:sz="8" w:color="auto"/>
            </w:tcBorders>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2"/>
                <w:szCs w:val="12"/>
                <w:color w:val="auto"/>
              </w:rPr>
            </w:pPr>
          </w:p>
        </w:tc>
        <w:tc>
          <w:tcPr>
            <w:tcW w:w="1260" w:type="dxa"/>
            <w:vAlign w:val="bottom"/>
            <w:gridSpan w:val="2"/>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partner unit</w:t>
            </w:r>
          </w:p>
        </w:tc>
      </w:tr>
      <w:tr>
        <w:trPr>
          <w:trHeight w:val="145"/>
        </w:trPr>
        <w:tc>
          <w:tcPr>
            <w:tcW w:w="23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bl>
    <w:p>
      <w:pPr>
        <w:sectPr>
          <w:pgSz w:w="11900" w:h="16900" w:orient="portrait"/>
          <w:cols w:equalWidth="0" w:num="1">
            <w:col w:w="11460"/>
          </w:cols>
          <w:pgMar w:left="240" w:top="364" w:right="19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8, 2014</w:t>
            </w:r>
          </w:p>
        </w:tc>
        <w:tc>
          <w:tcPr>
            <w:tcW w:w="2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xml:space="preserve">August 14, 2014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7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0.6450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April 7,</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2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May 15, 2014</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0.6300</w:t>
            </w: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9, 2014</w:t>
            </w:r>
          </w:p>
        </w:tc>
        <w:tc>
          <w:tcPr>
            <w:tcW w:w="2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February 14, 2014</w:t>
            </w: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August 1, 2014, for the period April 1, 2014 through June 30, 2014.</w:t>
      </w:r>
    </w:p>
    <w:p>
      <w:pPr>
        <w:spacing w:after="0" w:line="197"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six months ended June 30, 2014, distributions of approximately $1 million were paid to noncontrolling interests in SLC Pipeline LLC.</w:t>
      </w:r>
    </w:p>
    <w:p>
      <w:pPr>
        <w:spacing w:after="0" w:line="223"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AAP Distributions. </w:t>
      </w:r>
      <w:r>
        <w:rPr>
          <w:rFonts w:ascii="Times New Roman" w:cs="Times New Roman" w:eastAsia="Times New Roman" w:hAnsi="Times New Roman"/>
          <w:sz w:val="18"/>
          <w:szCs w:val="18"/>
          <w:color w:val="auto"/>
        </w:rPr>
        <w:t>The following table details the distributions to AAP’s partners paid during or pertaining to the first six months of 2014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received</w:t>
            </w:r>
          </w:p>
        </w:tc>
        <w:tc>
          <w:tcPr>
            <w:tcW w:w="100" w:type="dxa"/>
            <w:vAlign w:val="bottom"/>
          </w:tcPr>
          <w:p>
            <w:pPr>
              <w:spacing w:after="0"/>
              <w:rPr>
                <w:sz w:val="15"/>
                <w:szCs w:val="15"/>
                <w:color w:val="auto"/>
              </w:rPr>
            </w:pPr>
          </w:p>
        </w:tc>
        <w:tc>
          <w:tcPr>
            <w:tcW w:w="128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Cash</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Distributions to AAP’s Partners</w:t>
            </w: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2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PAGP</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by AAP from PAA</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August 14, 2014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15, 2014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380" w:type="dxa"/>
            <w:vAlign w:val="bottom"/>
            <w:gridSpan w:val="2"/>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February 14, 2014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380" w:type="dxa"/>
            <w:vAlign w:val="bottom"/>
            <w:gridSpan w:val="2"/>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August 1, 2014, for the period April 1, 2014 through June 30, 2014.</w:t>
      </w:r>
    </w:p>
    <w:p>
      <w:pPr>
        <w:spacing w:after="0" w:line="225" w:lineRule="exact"/>
        <w:rPr>
          <w:sz w:val="20"/>
          <w:szCs w:val="20"/>
          <w:color w:val="auto"/>
        </w:rPr>
      </w:pPr>
    </w:p>
    <w:p>
      <w:pPr>
        <w:ind w:left="20" w:right="100" w:hanging="38"/>
        <w:spacing w:after="0" w:line="261" w:lineRule="auto"/>
        <w:rPr>
          <w:sz w:val="20"/>
          <w:szCs w:val="20"/>
          <w:color w:val="auto"/>
        </w:rPr>
      </w:pPr>
      <w:r>
        <w:rPr>
          <w:rFonts w:ascii="Times New Roman" w:cs="Times New Roman" w:eastAsia="Times New Roman" w:hAnsi="Times New Roman"/>
          <w:sz w:val="18"/>
          <w:szCs w:val="18"/>
          <w:color w:val="auto"/>
        </w:rPr>
        <w:t>The distribution paid by AAP on February 14, 2014 was prorated as of the date of the consummation of our IPO, such that the owners of AAP prior to our IPO received the portion of the distribution attributable to the period prior to our IPO, and the owners of AAP at the date of record of January 31, 2014, including us, received the portion of the distribution attributable to the period beginning on the date of the IPO through the end of the fourth quarter of 2013.</w:t>
      </w:r>
    </w:p>
    <w:p>
      <w:pPr>
        <w:spacing w:after="0" w:line="176" w:lineRule="exact"/>
        <w:rPr>
          <w:sz w:val="20"/>
          <w:szCs w:val="20"/>
          <w:color w:val="auto"/>
        </w:rPr>
      </w:pPr>
    </w:p>
    <w:p>
      <w:pPr>
        <w:sectPr>
          <w:pgSz w:w="11900" w:h="16838" w:orient="portrait"/>
          <w:cols w:equalWidth="0" w:num="2">
            <w:col w:w="140" w:space="500"/>
            <w:col w:w="10780"/>
          </w:cols>
          <w:pgMar w:left="240" w:top="91"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9—Equity-Indexed Compensation Plans</w:t>
      </w:r>
    </w:p>
    <w:p>
      <w:pPr>
        <w:spacing w:after="0" w:line="229"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refer to the PAGP LTIP, PAA LTIPs and AAP Management Units collectively as our “Equity-indexed compensation plans.” For additional discussion of our equity-indexed compensation plans and awards, see Note 15 to our Consolidated Financial Statements included in Part IV of our 2013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IPO in October 2013, our general partner adopted the PAGP LTIP, which is intended to align the interests of employees and directors with those of our shareholders by providing such employees and directors incentive compensation awards that reward achievement of targeted distribution levels and other business objectives. The PAGP LTIP provides for awards of options, restricted shares, phantom shares and share appreciation rights. Certain awards may also include distribution equivalent rights (“DERs”), which, subject to applicable vesting criteria, entitle the grantee to a cash payment equal to the cash distribution paid on an outstanding Class A share. The PAGP LTIP authorizes the issuance of up to 10 million Class A shares deliverable upon vesting. In February 2014, an aggregate of 83,200 phantom Class A shares were issued to our directors, resulting in expense of less than $1 million for the six months ended June 30, 2014. These awards will vest annually in 25% increments, beginning in February 2015, and have an automatic re-grant feature such that as they vest, an equivalent amount is granted.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Equity-indexed compensation activity for PAA and PAGP LTIP awards is summarized in the following table (units and shares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PAA Units </w:t>
            </w:r>
            <w:r>
              <w:rPr>
                <w:rFonts w:ascii="Times New Roman" w:cs="Times New Roman" w:eastAsia="Times New Roman" w:hAnsi="Times New Roman"/>
                <w:sz w:val="8"/>
                <w:szCs w:val="8"/>
                <w:b w:val="1"/>
                <w:bCs w:val="1"/>
                <w:color w:val="auto"/>
              </w:rPr>
              <w:t>(1)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PAGP Shares </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1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46.61</w:t>
            </w: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w:t>
            </w:r>
          </w:p>
        </w:tc>
        <w:tc>
          <w:tcPr>
            <w:tcW w:w="3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1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(2)</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25.39</w:t>
            </w: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38.88</w:t>
            </w: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2014</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41.05</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do not include AAP Management Units.</w:t>
      </w:r>
    </w:p>
    <w:p>
      <w:pPr>
        <w:spacing w:after="0" w:line="225" w:lineRule="exact"/>
        <w:rPr>
          <w:sz w:val="20"/>
          <w:szCs w:val="20"/>
          <w:color w:val="auto"/>
        </w:rPr>
      </w:pPr>
    </w:p>
    <w:p>
      <w:pPr>
        <w:ind w:left="20" w:right="20" w:hanging="11"/>
        <w:spacing w:after="0" w:line="266" w:lineRule="auto"/>
        <w:rPr>
          <w:sz w:val="20"/>
          <w:szCs w:val="20"/>
          <w:color w:val="auto"/>
        </w:rPr>
      </w:pPr>
      <w:r>
        <w:rPr>
          <w:rFonts w:ascii="Times New Roman" w:cs="Times New Roman" w:eastAsia="Times New Roman" w:hAnsi="Times New Roman"/>
          <w:sz w:val="18"/>
          <w:szCs w:val="18"/>
          <w:color w:val="auto"/>
        </w:rPr>
        <w:t>Approximately 0.6 million PAA common units were issued, net of tax withholding of 0.3 million units, during the six months ended June 30, 2014 in connection with the settlement of vested awards. The remaining PAA awards that vested during the six months ended June 30, 2014 of approximately 0.9 million units were settled in cash.</w:t>
      </w:r>
    </w:p>
    <w:p>
      <w:pPr>
        <w:spacing w:after="0" w:line="172" w:lineRule="exact"/>
        <w:rPr>
          <w:sz w:val="20"/>
          <w:szCs w:val="20"/>
          <w:color w:val="auto"/>
        </w:rPr>
      </w:pPr>
    </w:p>
    <w:p>
      <w:pPr>
        <w:sectPr>
          <w:pgSz w:w="11900" w:h="16838" w:orient="portrait"/>
          <w:cols w:equalWidth="0" w:num="2">
            <w:col w:w="140" w:space="500"/>
            <w:col w:w="10780"/>
          </w:cols>
          <w:pgMar w:left="240" w:top="91"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AAP Management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contains a summary of AAP Management Units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Reserved for</w:t>
            </w: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1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Outstanding</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Future Grants</w:t>
            </w:r>
          </w:p>
        </w:tc>
        <w:tc>
          <w:tcPr>
            <w:tcW w:w="1620" w:type="dxa"/>
            <w:vAlign w:val="bottom"/>
            <w:gridSpan w:val="2"/>
            <w:vMerge w:val="continue"/>
          </w:tcPr>
          <w:p>
            <w:pPr>
              <w:spacing w:after="0"/>
              <w:rPr>
                <w:sz w:val="15"/>
                <w:szCs w:val="15"/>
                <w:color w:val="auto"/>
              </w:rPr>
            </w:pPr>
          </w:p>
        </w:tc>
        <w:tc>
          <w:tcPr>
            <w:tcW w:w="2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Units Earned</w:t>
            </w:r>
          </w:p>
        </w:tc>
        <w:tc>
          <w:tcPr>
            <w:tcW w:w="120" w:type="dxa"/>
            <w:vAlign w:val="bottom"/>
          </w:tcPr>
          <w:p>
            <w:pPr>
              <w:spacing w:after="0"/>
              <w:rPr>
                <w:sz w:val="15"/>
                <w:szCs w:val="15"/>
                <w:color w:val="auto"/>
              </w:rPr>
            </w:pPr>
          </w:p>
        </w:tc>
        <w:tc>
          <w:tcPr>
            <w:tcW w:w="1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AAP Management Units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22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21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0" w:gutter="0" w:footer="0" w:header="0"/>
          <w:type w:val="continuous"/>
        </w:sectPr>
      </w:pPr>
    </w:p>
    <w:bookmarkStart w:id="11" w:name="page12"/>
    <w:bookmarkEnd w:id="11"/>
    <w:p>
      <w:pPr>
        <w:ind w:left="660" w:right="420" w:hanging="652"/>
        <w:spacing w:after="0" w:line="22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grant date fair value, approximately $4 million was recognized as expense during the six months ended June 30, 2014. Of the $62 million grant date fair value, approximately $52 million had been recognized through June 30, 2014.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Equity-Indexed Compensation Information</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expense recognized and the value of vesting (settled both in PAA common units and cash) related to our equity-indexed compensation plans and includes both liability-classified and equity-classified awards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3"/>
                <w:szCs w:val="13"/>
                <w:color w:val="auto"/>
              </w:rPr>
            </w:pPr>
          </w:p>
        </w:tc>
      </w:tr>
      <w:tr>
        <w:trPr>
          <w:trHeight w:val="173"/>
        </w:trPr>
        <w:tc>
          <w:tcPr>
            <w:tcW w:w="4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LTIP unit-settled vestings</w:t>
            </w:r>
          </w:p>
        </w:tc>
        <w:tc>
          <w:tcPr>
            <w:tcW w:w="2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 cash-settled vestings</w:t>
            </w:r>
          </w:p>
        </w:tc>
        <w:tc>
          <w:tcPr>
            <w:tcW w:w="2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DER cash payments</w:t>
            </w:r>
          </w:p>
        </w:tc>
        <w:tc>
          <w:tcPr>
            <w:tcW w:w="2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r>
      <w:tr>
        <w:trPr>
          <w:trHeight w:val="414"/>
        </w:trPr>
        <w:tc>
          <w:tcPr>
            <w:tcW w:w="4200" w:type="dxa"/>
            <w:vAlign w:val="bottom"/>
          </w:tcPr>
          <w:p>
            <w:pPr>
              <w:spacing w:after="0"/>
              <w:rPr>
                <w:sz w:val="24"/>
                <w:szCs w:val="24"/>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0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10—Derivatives and Risk Management Activities</w:t>
      </w:r>
    </w:p>
    <w:p>
      <w:pPr>
        <w:spacing w:after="0" w:line="22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78"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Purchases and Sales </w:t>
      </w:r>
      <w:r>
        <w:rPr>
          <w:rFonts w:ascii="Times New Roman" w:cs="Times New Roman" w:eastAsia="Times New Roman" w:hAnsi="Times New Roman"/>
          <w:sz w:val="18"/>
          <w:szCs w:val="18"/>
          <w:color w:val="auto"/>
        </w:rPr>
        <w:t>— In the normal course of our operations, we purchase and sell commodities. We use derivatives to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risks and to optimize profits. As of June 30, 2014, net derivative positions related to these activities included:</w:t>
      </w:r>
    </w:p>
    <w:p>
      <w:pPr>
        <w:spacing w:after="0" w:line="160" w:lineRule="exact"/>
        <w:rPr>
          <w:sz w:val="20"/>
          <w:szCs w:val="20"/>
          <w:color w:val="auto"/>
        </w:rPr>
      </w:pPr>
    </w:p>
    <w:p>
      <w:pPr>
        <w:ind w:left="980" w:right="720" w:hanging="324"/>
        <w:spacing w:after="0" w:line="282" w:lineRule="auto"/>
        <w:tabs>
          <w:tab w:leader="none" w:pos="9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of 210,100 barrels per day net long position (total of 6.5 million barrels) associated with our crude oil purchases, which was unwound ratably during July 2014 to match monthly average pricing.</w:t>
      </w:r>
    </w:p>
    <w:p>
      <w:pPr>
        <w:spacing w:after="0" w:line="16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spread position averaging approximately 21,300 barrels per day (total of 14.3 million barrels), which hedges a portion of our anticipated crude oil lease gathering purchases through June 2016. These derivatives are time spreads consisting of offsetting purchases and sales between two different months. Our use of these derivatives does not expose us to outright price risk.</w:t>
      </w:r>
    </w:p>
    <w:p>
      <w:pPr>
        <w:spacing w:after="0" w:line="176"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of 2,800 barrels per day (total of 0.8 million barrels) of butane/WTI spread positions, which hedge specific butane sales contracts that are priced as a percentage of WTI through March 2015.</w:t>
      </w:r>
    </w:p>
    <w:p>
      <w:pPr>
        <w:spacing w:after="0" w:line="161"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of 19,300 barrels per day (total of 1.8 million barrels) of WTI/Brent crude oil grade spread positions through September 2014. These derivatives allow us to lock in grade basis differentials where we are hedging anticipated purchases of crude oil based on a WTI index and hedging anticipated sales of crude oil based on a Brent index. Our use of these derivatives does not expose us to outright price risk.</w:t>
      </w:r>
    </w:p>
    <w:p>
      <w:pPr>
        <w:spacing w:after="0" w:line="176"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 position of approximately 4.1 Bcf through April 2016 related to anticipated base gas requirements.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of approximately 10.7 Bcf through February 2015 related to anticipated sales of natural gas inventory.</w:t>
      </w:r>
    </w:p>
    <w:p>
      <w:pPr>
        <w:spacing w:after="0" w:line="225"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approximately 7.6 million barrels through December 2015 related to the anticipated sales of our crude oil, NGL and refined products inventory.</w:t>
      </w:r>
    </w:p>
    <w:p>
      <w:pPr>
        <w:spacing w:after="0" w:line="160"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Pipeline Loss Allowance Oil </w:t>
      </w:r>
      <w:r>
        <w:rPr>
          <w:rFonts w:ascii="Times New Roman" w:cs="Times New Roman" w:eastAsia="Times New Roman" w:hAnsi="Times New Roman"/>
          <w:sz w:val="18"/>
          <w:szCs w:val="18"/>
          <w:color w:val="auto"/>
        </w:rPr>
        <w:t>— As is common in the pipeline transportation industry, our tariffs incorporate a loss allowance factor that is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offset losses due to evaporation, measurement and other losses in transit. We utilize derivative instruments to hedge a portion of the anticipated sales of the allowance oil that is to be collected under our tariffs. As of June 30, 2014, our PLA hedges included a net short position for an average of approximately 1,600 barrels per day (total of 1.5 million barrels) through December 2016 and a long call option position of approximately 0.7 million barrels through December 2016.</w:t>
      </w:r>
    </w:p>
    <w:p>
      <w:pPr>
        <w:sectPr>
          <w:pgSz w:w="11900" w:h="16838" w:orient="portrait"/>
          <w:cols w:equalWidth="0" w:num="1">
            <w:col w:w="11460"/>
          </w:cols>
          <w:pgMar w:left="240" w:top="121" w:right="199" w:bottom="279" w:gutter="0" w:footer="0" w:header="0"/>
        </w:sectPr>
      </w:pP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279"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Processing/NGL Fractionation </w:t>
      </w:r>
      <w:r>
        <w:rPr>
          <w:rFonts w:ascii="Times New Roman" w:cs="Times New Roman" w:eastAsia="Times New Roman" w:hAnsi="Times New Roman"/>
          <w:sz w:val="18"/>
          <w:szCs w:val="18"/>
          <w:color w:val="auto"/>
        </w:rPr>
        <w:t>— As part of our supply and logistics activities, we purchase natural gas for processing and NGL mix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2014, we had a long natural gas position of approximately 31.3 Bcf through December 2016, a short propane position of approximately 5.2 million barrels through December 2016, a short butane position of approximately 1.5 million barrels through December 2016 and a short WTI position of approximately 0.6 million barrels through December 2016. In addition, we had a long power position of 0.6 million megawatt hours which hedges a portion of our power supply requirements at our natural gas processing and fractionation plants through December 2016.</w:t>
      </w:r>
    </w:p>
    <w:p>
      <w:pPr>
        <w:spacing w:after="0" w:line="18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To the extent they qualify and we decide to make the election, all of our commodity derivatives where we elect hedge accounting are designated as cash flow hedges. We have determined that substantially all of our physical purchase and sale agreements qualify for the normal purchase normal sale scope exception. Physical commodity contracts that meet the definition of a derivative but are ineligible, or not designated, for the normal purchase normal sale scope exception are recorded on the balance sheet at fair value, with changes in fair value recognized in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June 30, 2014, AOCI includes deferred losses of approximately $101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8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PAA has entered into forward starting interest rate swaps to hedge the underlying benchmark interest rate related to forecasted debt issuances through 2015. The following table summarizes the terms of these forward starting interest rate swaps as of June 30, 2014 (notional amounts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73"/>
        </w:trPr>
        <w:tc>
          <w:tcPr>
            <w:tcW w:w="2420" w:type="dxa"/>
            <w:vAlign w:val="bottom"/>
            <w:gridSpan w:val="2"/>
            <w:vMerge w:val="continue"/>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91"/>
        </w:trPr>
        <w:tc>
          <w:tcPr>
            <w:tcW w:w="22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Anticipated debt offering</w:t>
            </w:r>
          </w:p>
        </w:tc>
        <w:tc>
          <w:tcPr>
            <w:tcW w:w="2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10 forward starting swaps (30-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6/15/2015</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3.60%</w:t>
            </w:r>
          </w:p>
        </w:tc>
        <w:tc>
          <w:tcPr>
            <w:tcW w:w="2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year)</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anticipation of PAA’s April 2014 issuance of senior notes, PAA entered into an aggregate of five treasury lock agreements in March and April 2014 for a combined notional amount of $250 million at a locked in rate of 3.64%. The treasury locks were designated as cash flow hedges, thus changes in fair value are deferred in AOCI. In connection with PAA’s April 2014 senior notes issuance, these treasury locks were terminated prior to maturity for an aggregate cash payment of approximately $7 million. The effective portion of the treasury locks was deferred in AOCI and will be amortized to interest expense over the life of the senior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June 30, 2014,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open forward exchange contracts as of June 30, 2014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USD</w:t>
            </w:r>
          </w:p>
        </w:tc>
        <w:tc>
          <w:tcPr>
            <w:tcW w:w="420" w:type="dxa"/>
            <w:vAlign w:val="bottom"/>
          </w:tcPr>
          <w:p>
            <w:pPr>
              <w:spacing w:after="0"/>
              <w:rPr>
                <w:sz w:val="13"/>
                <w:szCs w:val="13"/>
                <w:color w:val="auto"/>
              </w:rPr>
            </w:pPr>
          </w:p>
        </w:tc>
        <w:tc>
          <w:tcPr>
            <w:tcW w:w="1660" w:type="dxa"/>
            <w:vAlign w:val="bottom"/>
            <w:gridSpan w:val="3"/>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CAD</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Exchange Rate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USD to CAD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Forward exchange contracts that exchange CAD</w:t>
            </w:r>
          </w:p>
        </w:tc>
        <w:tc>
          <w:tcPr>
            <w:tcW w:w="4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for USD:</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 $1.07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$1.00 - $1.07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Forward exchange contracts that exchange USD for</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CAD:</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 $1.09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 $1.09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position by currency:</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ummary of Financial Impact</w:t>
      </w:r>
    </w:p>
    <w:p>
      <w:pPr>
        <w:sectPr>
          <w:pgSz w:w="11900" w:h="16838" w:orient="portrait"/>
          <w:cols w:equalWidth="0" w:num="1">
            <w:col w:w="11420"/>
          </w:cols>
          <w:pgMar w:left="240" w:top="121" w:right="239" w:bottom="189" w:gutter="0" w:footer="0" w:header="0"/>
        </w:sectPr>
      </w:pPr>
    </w:p>
    <w:bookmarkStart w:id="13" w:name="page14"/>
    <w:bookmarkEnd w:id="13"/>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spacing w:after="0" w:line="18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impact of our derivative activities recognized in earnings for the three and six months ended June 30, 2014 and 2013 is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2014</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 2013</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5"/>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in Hedging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6"/>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in Hedging</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Gain/(loss)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Gain/(loss)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a</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 segment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Field operating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Rate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revenues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Gain/(Loss) on</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Derivatives Recognized in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80" w:type="dxa"/>
            <w:vAlign w:val="bottom"/>
            <w:tcBorders>
              <w:right w:val="single" w:sz="8" w:color="auto"/>
            </w:tcBorders>
            <w:gridSpan w:val="3"/>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14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420" w:type="dxa"/>
            <w:vAlign w:val="bottom"/>
            <w:gridSpan w:val="4"/>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2014</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2013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5"/>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in Hedging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6"/>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 in Hedging</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Gain/(loss)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Gain/(loss)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a</w:t>
            </w: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Supply and Logistics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 segment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Field operating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Rate Derivatives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Gain/(Loss) on</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Derivatives Recognized in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-4349115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-4349115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4" w:name="page15"/>
    <w:bookmarkEnd w:id="14"/>
    <w:p>
      <w:pPr>
        <w:ind w:left="660" w:right="200" w:hanging="598"/>
        <w:spacing w:after="0" w:line="241"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June 30, 2013 we reclassified gains of approximately $1 million and $1 million from AOCI to Supply and Logistics segment revenues and Facilities segment revenues, respectively, as a result of anticipated hedged transactions that are probable of not occurring. During the six months ended June 30, 2013, we reclassified gains of approximately $3 million and $1 million from AOCI to Supply and Logistics segment revenues and Facilities segment revenues, respectively, as a result of anticipated hedged transactions that are probable of not occurring. During the three and six months ended June 30, 2014, all of our hedged transactions were probable of occurring.</w:t>
      </w:r>
    </w:p>
    <w:p>
      <w:pPr>
        <w:spacing w:after="0" w:line="20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derivative assets and liabilities on our condensed consolidated balance sheet on a gross basis as of June 30, 2014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8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580" w:type="dxa"/>
            <w:vAlign w:val="bottom"/>
            <w:gridSpan w:val="2"/>
          </w:tcPr>
          <w:p>
            <w:pPr>
              <w:ind w:left="720"/>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0"/>
                <w:szCs w:val="10"/>
                <w:color w:val="auto"/>
              </w:rPr>
            </w:pPr>
          </w:p>
        </w:tc>
        <w:tc>
          <w:tcPr>
            <w:tcW w:w="2560" w:type="dxa"/>
            <w:vAlign w:val="bottom"/>
            <w:gridSpan w:val="2"/>
          </w:tcPr>
          <w:p>
            <w:pPr>
              <w:ind w:left="700"/>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2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vMerge w:val="continue"/>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tcBorders>
              <w:right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vMerge w:val="continue"/>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derivatives</w:t>
            </w:r>
          </w:p>
        </w:tc>
        <w:tc>
          <w:tcPr>
            <w:tcW w:w="2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ind w:left="154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derivative assets and liabilities on our condensed consolidated balance sheet on a gross basis as of December 31, 2013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8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580" w:type="dxa"/>
            <w:vAlign w:val="bottom"/>
            <w:gridSpan w:val="2"/>
          </w:tcPr>
          <w:p>
            <w:pPr>
              <w:ind w:left="720"/>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0"/>
                <w:szCs w:val="10"/>
                <w:color w:val="auto"/>
              </w:rPr>
            </w:pPr>
          </w:p>
        </w:tc>
        <w:tc>
          <w:tcPr>
            <w:tcW w:w="2560" w:type="dxa"/>
            <w:vAlign w:val="bottom"/>
            <w:gridSpan w:val="2"/>
          </w:tcPr>
          <w:p>
            <w:pPr>
              <w:ind w:left="700"/>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shd w:val="clear" w:color="auto" w:fill="CCEEFF"/>
          </w:tcPr>
          <w:p>
            <w:pPr>
              <w:ind w:left="340"/>
              <w:spacing w:after="0" w:line="178"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2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instruments</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vMerge w:val="continue"/>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instruments</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derivatives</w:t>
            </w:r>
          </w:p>
        </w:tc>
        <w:tc>
          <w:tcPr>
            <w:tcW w:w="2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2014, we had a net broker receivable of approximately $66 million (consisting of initial margin of $54 million increased by $12 million of variation margin that had been posted by us). As of December 31, 2013, we had a net broker receivable of approximately $161 million (consisting of initial margin of $85 million increased by $76 million of variation margin that had been posted by us).</w:t>
      </w:r>
    </w:p>
    <w:p>
      <w:pPr>
        <w:spacing w:after="0" w:line="189" w:lineRule="exact"/>
        <w:rPr>
          <w:sz w:val="20"/>
          <w:szCs w:val="20"/>
          <w:color w:val="auto"/>
        </w:rPr>
      </w:pPr>
    </w:p>
    <w:p>
      <w:pPr>
        <w:ind w:right="360" w:firstLine="702"/>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derivatives and financial assets and liabilities that are subject to offsetting, including enforceable master netting arrangements at June 30, 2014 and December 31, 2013 (in millions):</w:t>
      </w:r>
    </w:p>
    <w:p>
      <w:pPr>
        <w:sectPr>
          <w:pgSz w:w="11900" w:h="16838" w:orient="portrait"/>
          <w:cols w:equalWidth="0" w:num="1">
            <w:col w:w="11460"/>
          </w:cols>
          <w:pgMar w:left="240" w:top="121" w:right="199" w:bottom="0" w:gutter="0" w:footer="0" w:header="0"/>
        </w:sectPr>
      </w:pPr>
    </w:p>
    <w:p>
      <w:pPr>
        <w:spacing w:after="0" w:line="155" w:lineRule="exact"/>
        <w:rPr>
          <w:sz w:val="20"/>
          <w:szCs w:val="20"/>
          <w:color w:val="auto"/>
        </w:rPr>
      </w:pPr>
    </w:p>
    <w:p>
      <w:pPr>
        <w:ind w:left="6100"/>
        <w:spacing w:after="0"/>
        <w:tabs>
          <w:tab w:leader="none" w:pos="9220" w:val="left"/>
        </w:tabs>
        <w:rPr>
          <w:sz w:val="20"/>
          <w:szCs w:val="20"/>
          <w:color w:val="auto"/>
        </w:rPr>
      </w:pPr>
      <w:r>
        <w:rPr>
          <w:rFonts w:ascii="Times New Roman" w:cs="Times New Roman" w:eastAsia="Times New Roman" w:hAnsi="Times New Roman"/>
          <w:sz w:val="14"/>
          <w:szCs w:val="14"/>
          <w:b w:val="1"/>
          <w:bCs w:val="1"/>
          <w:color w:val="auto"/>
        </w:rPr>
        <w:t>June 30, 2014</w:t>
      </w:r>
      <w:r>
        <w:rPr>
          <w:sz w:val="20"/>
          <w:szCs w:val="20"/>
          <w:color w:val="auto"/>
        </w:rPr>
        <w:tab/>
      </w:r>
      <w:r>
        <w:rPr>
          <w:rFonts w:ascii="Times New Roman" w:cs="Times New Roman" w:eastAsia="Times New Roman" w:hAnsi="Times New Roman"/>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7620</wp:posOffset>
            </wp:positionV>
            <wp:extent cx="4013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15" w:name="page16"/>
    <w:bookmarkEnd w:id="1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Asset Positions</w:t>
            </w:r>
          </w:p>
        </w:tc>
        <w:tc>
          <w:tcPr>
            <w:tcW w:w="12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Liability Positions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Asset Positions</w:t>
            </w:r>
          </w:p>
        </w:tc>
        <w:tc>
          <w:tcPr>
            <w:tcW w:w="1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Liability Positions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Netting Adjustments:</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position - asset/(liability)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94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Netting adjustment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Cash collateral paid/(received)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position - asset/(liability)</w:t>
            </w: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right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 After 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96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88"/>
              </w:rPr>
              <w:t>98</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June 30, 2014, there was a net loss of approximately $118 million deferred in AOCI including tax effects.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June 30, 2014, we expect to reclassify a net loss of approximately $4 million to earnings in the next twelve months. The remaining deferred loss of approximately $114 million is expected to be reclassified to earnings through 2045. A portion of these amounts are based on market prices as of June 30, 2014; thus, actual amounts to be reclassified will differ and could vary materially as a result of changes in market conditions.</w:t>
      </w:r>
    </w:p>
    <w:p>
      <w:pPr>
        <w:spacing w:after="0" w:line="188" w:lineRule="exact"/>
        <w:rPr>
          <w:sz w:val="20"/>
          <w:szCs w:val="20"/>
          <w:color w:val="auto"/>
        </w:rPr>
      </w:pPr>
    </w:p>
    <w:p>
      <w:pPr>
        <w:ind w:right="260" w:firstLine="702"/>
        <w:spacing w:after="0" w:line="282" w:lineRule="auto"/>
        <w:rPr>
          <w:sz w:val="20"/>
          <w:szCs w:val="20"/>
          <w:color w:val="auto"/>
        </w:rPr>
      </w:pPr>
      <w:r>
        <w:rPr>
          <w:rFonts w:ascii="Times New Roman" w:cs="Times New Roman" w:eastAsia="Times New Roman" w:hAnsi="Times New Roman"/>
          <w:sz w:val="18"/>
          <w:szCs w:val="18"/>
          <w:color w:val="auto"/>
        </w:rPr>
        <w:t>The net deferred gain/(loss), including tax effects, recognized in AOCI for derivatives for the three and six months ended June 30, 2014 and 2013 are as follows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 net</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73"/>
              </w:rPr>
              <w:t>(12)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3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1"/>
              </w:rPr>
              <w:t>(51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June 30, 2014 and December 31, 2013,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June 30, 2014 and December 31, 2013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8"/>
                <w:szCs w:val="8"/>
                <w:b w:val="1"/>
                <w:bCs w:val="1"/>
                <w:color w:val="auto"/>
              </w:rPr>
              <w:t>(1)</w:t>
            </w:r>
          </w:p>
        </w:tc>
        <w:tc>
          <w:tcPr>
            <w:tcW w:w="24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Fair Value as of June 30, 2014</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as of December 31, 2013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193"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Level 2</w:t>
      </w:r>
    </w:p>
    <w:p>
      <w:pPr>
        <w:spacing w:after="0" w:line="229" w:lineRule="exact"/>
        <w:rPr>
          <w:sz w:val="20"/>
          <w:szCs w:val="20"/>
          <w:color w:val="auto"/>
        </w:rPr>
      </w:pPr>
    </w:p>
    <w:p>
      <w:pPr>
        <w:ind w:left="660" w:right="500"/>
        <w:spacing w:after="0" w:line="266" w:lineRule="auto"/>
        <w:rPr>
          <w:sz w:val="20"/>
          <w:szCs w:val="20"/>
          <w:color w:val="auto"/>
        </w:rPr>
      </w:pPr>
      <w:r>
        <w:rPr>
          <w:rFonts w:ascii="Times New Roman" w:cs="Times New Roman" w:eastAsia="Times New Roman" w:hAnsi="Times New Roman"/>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3</w:t>
      </w:r>
    </w:p>
    <w:p>
      <w:pPr>
        <w:spacing w:after="0" w:line="229"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w:t>
      </w:r>
    </w:p>
    <w:p>
      <w:pPr>
        <w:sectPr>
          <w:pgSz w:w="11900" w:h="16870" w:orient="portrait"/>
          <w:cols w:equalWidth="0" w:num="1">
            <w:col w:w="11460"/>
          </w:cols>
          <w:pgMar w:left="240" w:top="102" w:right="199" w:bottom="0" w:gutter="0" w:footer="0" w:header="0"/>
        </w:sectPr>
      </w:pP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ectPr>
          <w:pgSz w:w="11900" w:h="16870" w:orient="portrait"/>
          <w:cols w:equalWidth="0" w:num="1">
            <w:col w:w="11460"/>
          </w:cols>
          <w:pgMar w:left="240" w:top="102" w:right="199" w:bottom="0" w:gutter="0" w:footer="0" w:header="0"/>
          <w:type w:val="continuous"/>
        </w:sectPr>
      </w:pPr>
    </w:p>
    <w:bookmarkStart w:id="16" w:name="page17"/>
    <w:bookmarkEnd w:id="16"/>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our derivatives classified as level 3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70"/>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gains/(losses):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Included in earnings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Derivatives entered into during the period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Transfers out of level 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w w:val="70"/>
              </w:rPr>
              <w:t>1</w:t>
            </w:r>
          </w:p>
        </w:tc>
        <w:tc>
          <w:tcPr>
            <w:tcW w:w="3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gains/(losses) included in earnings relating</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level 3 derivatives still held at the end of the periods</w:t>
            </w:r>
          </w:p>
        </w:tc>
        <w:tc>
          <w:tcPr>
            <w:tcW w:w="10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300" w:hanging="652"/>
        <w:spacing w:after="0" w:line="229"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reported unrealized gains and losses associated with level 3 commodity derivatives in our condensed consolidated statements of operations as Supply and Logistics segment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In the ordinary course of business, we are involved in various legal proceedings. To the extent we are able to assess the likelihood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8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Pemex Exploración y Producción v. Big Star Gathering Ltd L.L.P. et al (the “Big Star Lawsuit”) and Pemex Exploración y Producción v. Murphy Energy et al (the “Murphy Lawsuit”). </w:t>
      </w:r>
      <w:r>
        <w:rPr>
          <w:rFonts w:ascii="Times New Roman" w:cs="Times New Roman" w:eastAsia="Times New Roman" w:hAnsi="Times New Roman"/>
          <w:sz w:val="18"/>
          <w:szCs w:val="18"/>
          <w:color w:val="auto"/>
        </w:rPr>
        <w:t>In two cases filed in the Texas Southern District Court in May 2011 and April 2012, Pemex Exploración y Producción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In February 2013, the Court granted Plains Marketing, L.P.’s motion to be dismissed from the Murphy Lawsuit. In October 2013, the Court issued an order in the Big Star Lawsuit granting summary judgment in favor of Plains Marketing, L.P. with respect to all of PEP’s remaining claims against Plains Marketing, L.P. In February 2014, the Court affirmed its order granting summary judgment in favor of Plains Marketing, L.P. in the Big Star Lawsuit, denied PEP’s motion for reconsideration, severed the case against Plains from the other defendants and issued a final judgment dismissing all claims against Plains. The time for PEP to appeal the final judgment in both cases has lapsed. Plains’ motion to sever Plains from the remainder of the defendants in the Murphy Lawsuit in order to obtain a final judgment has been granted.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 the Matter of Rancho LPG Holdings LLC, Respondent. </w:t>
      </w:r>
      <w:r>
        <w:rPr>
          <w:rFonts w:ascii="Times New Roman" w:cs="Times New Roman" w:eastAsia="Times New Roman" w:hAnsi="Times New Roman"/>
          <w:sz w:val="18"/>
          <w:szCs w:val="18"/>
          <w:color w:val="auto"/>
        </w:rPr>
        <w:t>In May 2014, Rancho LPG Holdings LLC (“Rancho”), a wholly owned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PAA, entered into a Consent Agreement and Final Order (“Consent Agreement”) with the EPA regarding alleged violations of certain risk management plan regulations under the federal Clean Air Act at Rancho’s LPG storage facility in San Pedro, California. The allegations, which Rancho disputed, arose from inspections of the facility by the EPA during 2010 and 2011. Pursuant to the Consent Agreement, Rancho agreed to pay a civil penalty of $260,000; however, no injunctive relief was sought by the EPA. Further, the Rancho facility was determined, as of the date of the Consent Agreement, to be in full compliance with the regulations that were the subject of the alleged violations.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Although we believe that our efforts to enhance our leak prevention and detection capabilities have produced positive results,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(and likely will experience future) releases of hydrocarbon products into the environment from our pipeline, rail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82"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At June 30, 2014, our estimated undiscounted reserve for environmental liabilities totaled approximately $92 million, of which approximately $13 million was classified as short-term and approximately $79 million was classified as long-term. At December 31, 2013, our estimated undiscounted reserve for environmental liabilities totaled approximately $93 million, of which approximately $11 million was classified as short-term and approximately $82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2014 and December 31, 2013, we had recorded receivables totaling approximately $8 million and $10 million, respectively, for amounts probable of recovery under</w:t>
      </w:r>
    </w:p>
    <w:p>
      <w:pPr>
        <w:sectPr>
          <w:pgSz w:w="11900" w:h="16907" w:orient="portrait"/>
          <w:cols w:equalWidth="0" w:num="1">
            <w:col w:w="11420"/>
          </w:cols>
          <w:pgMar w:left="240" w:top="513" w:right="239" w:bottom="0" w:gutter="0" w:footer="0" w:header="0"/>
        </w:sectPr>
      </w:pPr>
    </w:p>
    <w:bookmarkStart w:id="17" w:name="page18"/>
    <w:bookmarkEnd w:id="17"/>
    <w:p>
      <w:pPr>
        <w:spacing w:after="0" w:line="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insurance and from third parties under indemnification agreements, which are predominantly reflected in “Trade accounts receivable and other receivables, net” on our condensed consolidated balance sheets.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some cases, the actual cash expenditures may not occur for three years or longer.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Rainbow Pipeline Release. </w:t>
      </w:r>
      <w:r>
        <w:rPr>
          <w:rFonts w:ascii="Times New Roman" w:cs="Times New Roman" w:eastAsia="Times New Roman" w:hAnsi="Times New Roman"/>
          <w:sz w:val="18"/>
          <w:szCs w:val="18"/>
          <w:color w:val="auto"/>
        </w:rPr>
        <w:t>During April 2011, we experienced a crude oil release of approximately 28,000 barrels of crude oil on a remote section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Rainbow Pipeline located in Alberta, Canada. Since the release and through June 30, 2014, we spent approximately $70 million, before insurance recoveries, in connection with site clean-up, reclamation and remediation activities, and as of June 30, 2014, we did not have any material outstanding liabilities or insurance receivables relating to this release. On February 26, 2013, the Alberta Energy Regulator (“AER”) issued four enforcement actions against PMC for failure to comply with certain regulatory requirements in connection with the release, including requirements related to operations and maintenance procedures, leak detection and response, backfill and compaction procedures and emergency response plan testing. PMC has taken and continues to take appropriate actions necessary to respond to and comply with the enforcement actions set forth in the report, including the implementation of additional risk assessment procedures and other actions designed to minimize the risk that similar incidents occur in the future and enhance the effectiveness of PMC’s response to any such future incidents. In addition, on April 23, 2013, the Alberta Crown Prosecutor filed charges under the Alberta Environmental Protection and Enhancement Act against PMC relating to the release. PMC settled these charges in July 2014 for $450,000 CAD.</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Rangeland Pipeline Release. </w:t>
      </w:r>
      <w:r>
        <w:rPr>
          <w:rFonts w:ascii="Times New Roman" w:cs="Times New Roman" w:eastAsia="Times New Roman" w:hAnsi="Times New Roman"/>
          <w:sz w:val="18"/>
          <w:szCs w:val="18"/>
          <w:color w:val="auto"/>
        </w:rPr>
        <w:t>During June 2012, we experienced a crude oil release on a section of our Rangeland Pipeline located near Sundre,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Alberta, Canada. Approximately 3,000 barrels were released into the Red Deer River and were contained downstream in the Gleniffer Reservoir. Remediation activities in the reservoir area were completed by June 30, 2012, remediation of the remaining impacted areas of government-owned lands was completed by September 30, 2012 and interim closure, in respect of those lands, was received from the applicable regulatory agencies. A long-term monitoring plan has been developed and implemented in accordance with regulatory requirements. Through June 30, 2014, we spent approximately $47 million, before insurance recoveries, in connection with site clean-up, reclamation and remediation activities. On July 4, 2013, the AER issued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In addition, on May 30, 2014, the Alberta Crown Prosecutor and Public Prosecution Services of Canada filed charges under the Alberta Environmental Protection and Enhancement Act and Canadian Federal Fisheries Act against PMC relating to the release. PMC settled all of such charges in July 2014 for an aggregate of $850,000 CAD.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Bay Springs Pipeline Release. </w:t>
      </w:r>
      <w:r>
        <w:rPr>
          <w:rFonts w:ascii="Times New Roman" w:cs="Times New Roman" w:eastAsia="Times New Roman" w:hAnsi="Times New Roman"/>
          <w:sz w:val="18"/>
          <w:szCs w:val="18"/>
          <w:color w:val="auto"/>
        </w:rPr>
        <w:t>During February 2013, we experienced a crude oil release of approximately 120 barrels on a portion of one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approximately $6 million.</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Kemp River Pipeline Release. </w:t>
      </w:r>
      <w:r>
        <w:rPr>
          <w:rFonts w:ascii="Times New Roman" w:cs="Times New Roman" w:eastAsia="Times New Roman" w:hAnsi="Times New Roman"/>
          <w:sz w:val="18"/>
          <w:szCs w:val="18"/>
          <w:color w:val="auto"/>
        </w:rPr>
        <w:t>During May and June 2013, two separate releases were discovered on our Kemp River pipeline in Northern Alberta,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that, in the aggregate, resulted in the release of approximately 700 barrels of condensate and light crude oil. Clean-up and remediation activities are being conducted in cooperation with the applicable regulatory agencies. AER’s final investigation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approximately $15 million. Through June 30, 2014, we spent approximately $8 million in connection with clean-up and remediation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12—Operating Segments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certain financial data for each segment for the periods indicated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Supply and Logistics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June 30, 2014</w:t>
            </w:r>
          </w:p>
        </w:tc>
        <w:tc>
          <w:tcPr>
            <w:tcW w:w="1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External Customers</w:t>
            </w:r>
          </w:p>
        </w:tc>
        <w:tc>
          <w:tcPr>
            <w:tcW w:w="1300" w:type="dxa"/>
            <w:vAlign w:val="bottom"/>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320" w:type="dxa"/>
            <w:vAlign w:val="bottom"/>
            <w:gridSpan w:val="2"/>
            <w:shd w:val="clear" w:color="auto" w:fill="CCEEFF"/>
          </w:tcPr>
          <w:p>
            <w:pPr>
              <w:jc w:val="right"/>
              <w:ind w:right="10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10,856</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300" w:type="dxa"/>
            <w:vAlign w:val="bottom"/>
            <w:tcBorders>
              <w:top w:val="single" w:sz="8" w:color="auto"/>
              <w:bottom w:val="single" w:sz="8" w:color="auto"/>
            </w:tcBorders>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7"/>
                <w:szCs w:val="17"/>
                <w:color w:val="auto"/>
              </w:rPr>
              <w:t xml:space="preserve">Segment profit </w:t>
            </w:r>
            <w:r>
              <w:rPr>
                <w:rFonts w:ascii="Times New Roman" w:cs="Times New Roman" w:eastAsia="Times New Roman" w:hAnsi="Times New Roman"/>
                <w:sz w:val="22"/>
                <w:szCs w:val="22"/>
                <w:color w:val="auto"/>
                <w:vertAlign w:val="superscript"/>
              </w:rPr>
              <w:t>(3) (4)</w:t>
            </w:r>
          </w:p>
        </w:tc>
        <w:tc>
          <w:tcPr>
            <w:tcW w:w="1300" w:type="dxa"/>
            <w:vAlign w:val="bottom"/>
            <w:tcBorders>
              <w:bottom w:val="single" w:sz="8" w:color="auto"/>
            </w:tcBorders>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2013</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Customers</w:t>
            </w:r>
          </w:p>
        </w:tc>
        <w:tc>
          <w:tcPr>
            <w:tcW w:w="1300" w:type="dxa"/>
            <w:vAlign w:val="bottom"/>
          </w:tcPr>
          <w:p>
            <w:pPr>
              <w:jc w:val="right"/>
              <w:ind w:right="113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320" w:type="dxa"/>
            <w:vAlign w:val="bottom"/>
            <w:gridSpan w:val="2"/>
          </w:tcPr>
          <w:p>
            <w:pPr>
              <w:jc w:val="right"/>
              <w:ind w:right="10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9,933</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8" w:name="page19"/>
    <w:bookmarkEnd w:id="1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30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30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Segment profit </w:t>
            </w:r>
            <w:r>
              <w:rPr>
                <w:rFonts w:ascii="Times New Roman" w:cs="Times New Roman" w:eastAsia="Times New Roman" w:hAnsi="Times New Roman"/>
                <w:sz w:val="23"/>
                <w:szCs w:val="23"/>
                <w:color w:val="auto"/>
                <w:vertAlign w:val="superscript"/>
              </w:rPr>
              <w:t>(3) (4)</w:t>
            </w: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Maintenance capital</w:t>
            </w:r>
          </w:p>
        </w:tc>
        <w:tc>
          <w:tcPr>
            <w:tcW w:w="130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Supply and Logistics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Six Months Ended June 30, 2014</w:t>
            </w:r>
          </w:p>
        </w:tc>
        <w:tc>
          <w:tcPr>
            <w:tcW w:w="1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External Customers</w:t>
            </w:r>
          </w:p>
        </w:tc>
        <w:tc>
          <w:tcPr>
            <w:tcW w:w="130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1320" w:type="dxa"/>
            <w:vAlign w:val="bottom"/>
            <w:gridSpan w:val="2"/>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22,201</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300" w:type="dxa"/>
            <w:vAlign w:val="bottom"/>
            <w:tcBorders>
              <w:top w:val="single" w:sz="8" w:color="auto"/>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7"/>
                <w:szCs w:val="17"/>
                <w:color w:val="auto"/>
              </w:rPr>
              <w:t xml:space="preserve">Segment profit </w:t>
            </w:r>
            <w:r>
              <w:rPr>
                <w:rFonts w:ascii="Times New Roman" w:cs="Times New Roman" w:eastAsia="Times New Roman" w:hAnsi="Times New Roman"/>
                <w:sz w:val="22"/>
                <w:szCs w:val="22"/>
                <w:color w:val="auto"/>
                <w:vertAlign w:val="superscript"/>
              </w:rPr>
              <w:t>(3) (4)</w:t>
            </w:r>
          </w:p>
        </w:tc>
        <w:tc>
          <w:tcPr>
            <w:tcW w:w="130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2013</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Customers</w:t>
            </w:r>
          </w:p>
        </w:tc>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1320" w:type="dxa"/>
            <w:vAlign w:val="bottom"/>
            <w:gridSpan w:val="2"/>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20,157</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3"/>
                <w:szCs w:val="23"/>
                <w:color w:val="auto"/>
                <w:vertAlign w:val="superscript"/>
              </w:rPr>
              <w:t>(2)</w:t>
            </w:r>
          </w:p>
        </w:tc>
        <w:tc>
          <w:tcPr>
            <w:tcW w:w="1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30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30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Segment profit </w:t>
            </w:r>
            <w:r>
              <w:rPr>
                <w:rFonts w:ascii="Times New Roman" w:cs="Times New Roman" w:eastAsia="Times New Roman" w:hAnsi="Times New Roman"/>
                <w:sz w:val="23"/>
                <w:szCs w:val="23"/>
                <w:color w:val="auto"/>
                <w:vertAlign w:val="superscript"/>
              </w:rPr>
              <w:t>(3) (4)</w:t>
            </w: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1,233</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Maintenance capital</w:t>
            </w:r>
          </w:p>
        </w:tc>
        <w:tc>
          <w:tcPr>
            <w:tcW w:w="130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1" w:orient="portrait"/>
          <w:cols w:equalWidth="0" w:num="1">
            <w:col w:w="11460"/>
          </w:cols>
          <w:pgMar w:left="240" w:top="91" w:right="199" w:bottom="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340" w:hanging="11"/>
        <w:spacing w:after="0" w:line="282" w:lineRule="auto"/>
        <w:rPr>
          <w:sz w:val="20"/>
          <w:szCs w:val="20"/>
          <w:color w:val="auto"/>
        </w:rPr>
      </w:pPr>
      <w:r>
        <w:rPr>
          <w:rFonts w:ascii="Times New Roman" w:cs="Times New Roman" w:eastAsia="Times New Roman" w:hAnsi="Times New Roman"/>
          <w:sz w:val="18"/>
          <w:szCs w:val="18"/>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162" w:lineRule="exact"/>
        <w:rPr>
          <w:sz w:val="20"/>
          <w:szCs w:val="20"/>
          <w:color w:val="auto"/>
        </w:rPr>
      </w:pPr>
    </w:p>
    <w:p>
      <w:pPr>
        <w:ind w:right="60" w:hanging="11"/>
        <w:spacing w:after="0" w:line="266" w:lineRule="auto"/>
        <w:rPr>
          <w:sz w:val="20"/>
          <w:szCs w:val="20"/>
          <w:color w:val="auto"/>
        </w:rPr>
      </w:pPr>
      <w:r>
        <w:rPr>
          <w:rFonts w:ascii="Times New Roman" w:cs="Times New Roman" w:eastAsia="Times New Roman" w:hAnsi="Times New Roman"/>
          <w:sz w:val="18"/>
          <w:szCs w:val="18"/>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2013 Annual Report on Form 10-K.</w:t>
      </w:r>
    </w:p>
    <w:p>
      <w:pPr>
        <w:spacing w:after="0" w:line="176" w:lineRule="exact"/>
        <w:rPr>
          <w:sz w:val="20"/>
          <w:szCs w:val="20"/>
          <w:color w:val="auto"/>
        </w:rPr>
      </w:pPr>
    </w:p>
    <w:p>
      <w:pPr>
        <w:sectPr>
          <w:pgSz w:w="11900" w:h="16861" w:orient="portrait"/>
          <w:cols w:equalWidth="0" w:num="2">
            <w:col w:w="140" w:space="520"/>
            <w:col w:w="10800"/>
          </w:cols>
          <w:pgMar w:left="240" w:top="91" w:right="199" w:bottom="0" w:gutter="0" w:footer="0" w:header="0"/>
          <w:type w:val="continuous"/>
        </w:sectPr>
      </w:pPr>
    </w:p>
    <w:p>
      <w:pPr>
        <w:ind w:left="660" w:right="300" w:hanging="652"/>
        <w:spacing w:after="0" w:line="235"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Supply and Logistics segment profit includes interest expense (related to hedged inventory purchases) of approximately $5 million for each of the three months ended June 30, 2014 and 2013 and approximately $7 million and $10 million for the six months ended June 30, 2014 and 2013, respectively.</w:t>
      </w:r>
    </w:p>
    <w:p>
      <w:pPr>
        <w:spacing w:after="0" w:line="169"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reconciles segment profit to net income attributable to PAGP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66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Unallocated general and administrative expenses</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4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8"/>
                <w:szCs w:val="18"/>
                <w:color w:val="auto"/>
              </w:rPr>
            </w:pPr>
          </w:p>
        </w:tc>
      </w:tr>
      <w:tr>
        <w:trPr>
          <w:trHeight w:val="210"/>
        </w:trPr>
        <w:tc>
          <w:tcPr>
            <w:tcW w:w="4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13—Related Party Transactions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See Note 14 to our Consolidated Financial Statements included in Part IV of our 2013 Annual Report on Form 10-K for a complete discussion of our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Occidental Petroleum Corporation</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of June 30, 2014, a subsidiary of Occidental Petroleum Corporation (“Oxy”) owned approximately 25% of the limited partner interests in AAP and had a representative on the board of directors of GP LLC and our general partner. During the three and six months ended June 30, 2014 and 2013, we recognized sales and transportation revenues and purchased petroleum products from companies affiliated with Oxy. These transactions were conducted at posted tariff rates or prices that we believe approximate market. See detail below (in millions):</w:t>
      </w:r>
    </w:p>
    <w:p>
      <w:pPr>
        <w:sectPr>
          <w:pgSz w:w="11900" w:h="16861" w:orient="portrait"/>
          <w:cols w:equalWidth="0" w:num="1">
            <w:col w:w="11460"/>
          </w:cols>
          <w:pgMar w:left="240" w:top="91" w:right="19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ind w:left="36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351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20" w:type="dxa"/>
            <w:vAlign w:val="bottom"/>
            <w:gridSpan w:val="2"/>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209</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060" w:type="dxa"/>
            <w:vAlign w:val="bottom"/>
            <w:gridSpan w:val="3"/>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auto"/>
              </w:rPr>
              <w:t>We currently have a netting arrangement with Oxy. Our gross receivable and payable amounts with affiliates of Oxy were as follows (in millions):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and other receivables</w:t>
            </w:r>
          </w:p>
        </w:tc>
        <w:tc>
          <w:tcPr>
            <w:tcW w:w="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2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including periods prior to the closing of our IPO on October 21, 2013. Such analysis should be read in conjunction with our historical Consolidated Financial Statements and accompanying notes and Management’s Discussion and Analysis of Financial Condition and Results of Operations as presented in our 2013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Internal Growth Projects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limited partnership formed on July 17, 2013 to own an interest in the general partner and IDRs of PAA, a publicly traded Delaware limited partnership. Although we were formed as a limited partnership, we have elected to be taxed as a corporation for United States federal income tax purposes. As of June 30, 2014, we owned an approximate 22.4% limited partner interest in AAP, a Delaware limited partnership that directly owns all of PAA’s IDRs and indirectly owns the 2% general partner interest in PAA. AAP is the sole member of PAA GP, a Delaware limited liability company that directly holds the 2% general partner interest in PAA.</w:t>
      </w:r>
    </w:p>
    <w:p>
      <w:pPr>
        <w:spacing w:after="0" w:line="18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Since we are the managing member of and control GP LLC, which in turn effectively controls PAA, we reflect our ownership in PAA and its subsidiaries on a consolidated basis in accordance with GAAP. Accordingly, our financial results are combined with those of GP LLC and PAA as well as with their subsidiaries. As such, our results of operations as discussed below do not differ materially from the results of operations of PAA.</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 Capital Investments and Significant Activities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2014, net income was approximately $647 million, as compared to net income of approximately $834 million recognized during the first six months of 2013. This decrease was primarily driven by less favorable crude oil market conditions experienced during the 2014 period, most notably during the comparative first quarter period,</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318" w:right="199" w:bottom="0" w:gutter="0" w:footer="0" w:header="0"/>
        </w:sectPr>
      </w:pPr>
    </w:p>
    <w:bookmarkStart w:id="20" w:name="page21"/>
    <w:bookmarkEnd w:id="20"/>
    <w:p>
      <w:pPr>
        <w:spacing w:after="0" w:line="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which provided fewer opportunities for above-baseline crude oil margins in our Supply and Logistics segment. In addition, our Facilities and Supply and Logistics segments were negatively impacted by costs incurred in our natural gas storage activities to manage deliverability requirements in conjunction with the severe cold weather experienced during the first several months of 2014. However, such decreases were partially offset by favorable results from our Transportation segment, largely due to the continued increase in North American crude oil production and our related, recently completed internal growth projects.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Internal Growth Projects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capital expenditures for acquisitions, internal growth projects and maintenance capital for the periods indicated (in millions):</w:t>
      </w:r>
    </w:p>
    <w:p>
      <w:pPr>
        <w:spacing w:after="0" w:line="15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capital</w:t>
            </w:r>
          </w:p>
        </w:tc>
        <w:tc>
          <w:tcPr>
            <w:tcW w:w="3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Internal growth projects</w:t>
            </w: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3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Growth Projects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more notable projects in progress during 2014 and the forecasted expenditures for the year ending December 31, 2014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10"/>
        </w:trPr>
        <w:tc>
          <w:tcPr>
            <w:tcW w:w="8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Permian Basin Area Projects</w:t>
            </w:r>
          </w:p>
        </w:tc>
        <w:tc>
          <w:tcPr>
            <w:tcW w:w="4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Cactus Pipeline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Rail Terminal Projects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Ft. Sask Facility Projects / NGL Line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Oklahoma Extension</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Ford JV Project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Mississippian Lime Pipeline</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Cliffs Expansion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63 Reactivation</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 Storage Expansions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Projects</w:t>
            </w:r>
          </w:p>
        </w:tc>
        <w:tc>
          <w:tcPr>
            <w:tcW w:w="2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w:t>
            </w:r>
          </w:p>
        </w:tc>
      </w:tr>
      <w:tr>
        <w:trPr>
          <w:trHeight w:val="210"/>
        </w:trPr>
        <w:tc>
          <w:tcPr>
            <w:tcW w:w="8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8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Potential Adjustments for Timing / Scope Refinement </w:t>
            </w:r>
            <w:r>
              <w:rPr>
                <w:rFonts w:ascii="Times New Roman" w:cs="Times New Roman" w:eastAsia="Times New Roman" w:hAnsi="Times New Roman"/>
                <w:sz w:val="23"/>
                <w:szCs w:val="23"/>
                <w:color w:val="auto"/>
                <w:vertAlign w:val="superscript"/>
              </w:rPr>
              <w:t>(2)</w:t>
            </w:r>
          </w:p>
        </w:tc>
        <w:tc>
          <w:tcPr>
            <w:tcW w:w="2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 $100</w:t>
            </w:r>
          </w:p>
        </w:tc>
      </w:tr>
      <w:tr>
        <w:trPr>
          <w:trHeight w:val="210"/>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Projected Expansion Capital Expenditures</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$1,850 - $2,050</w:t>
            </w:r>
          </w:p>
        </w:tc>
      </w:tr>
      <w:tr>
        <w:trPr>
          <w:trHeight w:val="20"/>
        </w:trPr>
        <w:tc>
          <w:tcPr>
            <w:tcW w:w="8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projects located in or near Bakersfield, CA; Carr, CO; Van Hook, ND; and Kerrobert, Canada.</w:t>
      </w:r>
    </w:p>
    <w:p>
      <w:pPr>
        <w:spacing w:after="0" w:line="225" w:lineRule="exact"/>
        <w:rPr>
          <w:sz w:val="20"/>
          <w:szCs w:val="20"/>
          <w:color w:val="auto"/>
        </w:rPr>
      </w:pPr>
    </w:p>
    <w:p>
      <w:pPr>
        <w:ind w:left="20" w:right="620" w:hanging="11"/>
        <w:spacing w:after="0" w:line="282" w:lineRule="auto"/>
        <w:rPr>
          <w:sz w:val="20"/>
          <w:szCs w:val="20"/>
          <w:color w:val="auto"/>
        </w:rPr>
      </w:pPr>
      <w:r>
        <w:rPr>
          <w:rFonts w:ascii="Times New Roman" w:cs="Times New Roman" w:eastAsia="Times New Roman" w:hAnsi="Times New Roman"/>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58" w:lineRule="exact"/>
        <w:rPr>
          <w:sz w:val="20"/>
          <w:szCs w:val="20"/>
          <w:color w:val="auto"/>
        </w:rPr>
      </w:pPr>
    </w:p>
    <w:p>
      <w:pPr>
        <w:sectPr>
          <w:pgSz w:w="11900" w:h="16900" w:orient="portrait"/>
          <w:cols w:equalWidth="0" w:num="2">
            <w:col w:w="140" w:space="500"/>
            <w:col w:w="10780"/>
          </w:cols>
          <w:pgMar w:left="240" w:top="337"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2013 Annual Report on Form 10-K for further discussion of how we evaluate segment profit.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940" w:type="dxa"/>
            <w:vAlign w:val="bottom"/>
            <w:gridSpan w:val="3"/>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10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(Unfavorable) Variance</w:t>
            </w:r>
          </w:p>
        </w:tc>
        <w:tc>
          <w:tcPr>
            <w:tcW w:w="180" w:type="dxa"/>
            <w:vAlign w:val="bottom"/>
          </w:tcPr>
          <w:p>
            <w:pPr>
              <w:spacing w:after="0"/>
              <w:rPr>
                <w:sz w:val="15"/>
                <w:szCs w:val="15"/>
                <w:color w:val="auto"/>
              </w:rPr>
            </w:pPr>
          </w:p>
        </w:tc>
        <w:tc>
          <w:tcPr>
            <w:tcW w:w="17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(Unfavorable) Variance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profit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Facilities segment profit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and Logistics segment profit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Total segment profit</w:t>
            </w: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Unallocated general and administrative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type w:val="continuous"/>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vMerge w:val="continue"/>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income attributable to</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gridSpan w:val="2"/>
            <w:vMerge w:val="continue"/>
          </w:tcPr>
          <w:p>
            <w:pPr>
              <w:spacing w:after="0"/>
              <w:rPr>
                <w:sz w:val="21"/>
                <w:szCs w:val="21"/>
                <w:color w:val="auto"/>
              </w:rPr>
            </w:pPr>
          </w:p>
        </w:tc>
        <w:tc>
          <w:tcPr>
            <w:tcW w:w="4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vMerge w:val="continue"/>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vMerge w:val="continue"/>
          </w:tcPr>
          <w:p>
            <w:pPr>
              <w:spacing w:after="0"/>
              <w:rPr>
                <w:sz w:val="21"/>
                <w:szCs w:val="21"/>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vMerge w:val="continue"/>
          </w:tcPr>
          <w:p>
            <w:pPr>
              <w:spacing w:after="0"/>
              <w:rPr>
                <w:sz w:val="21"/>
                <w:szCs w:val="21"/>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Class A</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Class A shares outstanding</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Segment</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operating results from our Transportation segment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8"/>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100" w:type="dxa"/>
            <w:vAlign w:val="bottom"/>
            <w:gridSpan w:val="4"/>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8"/>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12"/>
                <w:szCs w:val="12"/>
                <w:color w:val="auto"/>
              </w:rPr>
            </w:pPr>
          </w:p>
        </w:tc>
        <w:tc>
          <w:tcPr>
            <w:tcW w:w="188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jc w:val="center"/>
              <w:ind w:left="234"/>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Tariff activities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Trucking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Transportation revenues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Trucking costs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Field operating costs (excluding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equity-indexed 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800" w:type="dxa"/>
            <w:vAlign w:val="bottom"/>
            <w:tcBorders>
              <w:right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operations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(excluding equity-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indexed compensation expense)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800" w:type="dxa"/>
            <w:vAlign w:val="bottom"/>
            <w:tcBorders>
              <w:right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general and administrative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Equity earnings in unconsolidated entities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3"/>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vMerge w:val="continue"/>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gridSpan w:val="4"/>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right w:val="single" w:sz="8" w:color="auto"/>
            </w:tcBorders>
            <w:gridSpan w:val="3"/>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80" w:type="dxa"/>
            <w:vAlign w:val="bottom"/>
            <w:vMerge w:val="continue"/>
          </w:tcPr>
          <w:p>
            <w:pPr>
              <w:spacing w:after="0"/>
              <w:rPr>
                <w:sz w:val="20"/>
                <w:szCs w:val="20"/>
                <w:color w:val="auto"/>
              </w:rPr>
            </w:pPr>
          </w:p>
        </w:tc>
        <w:tc>
          <w:tcPr>
            <w:tcW w:w="1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tcBorders>
              <w:top w:val="single" w:sz="8" w:color="CCEEFF"/>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Segment profit per barrel</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360" w:type="dxa"/>
            <w:vAlign w:val="bottom"/>
            <w:tcBorders>
              <w:top w:val="single" w:sz="8" w:color="CCEEFF"/>
              <w:bottom w:val="single" w:sz="8" w:color="CCEEFF"/>
              <w:right w:val="single" w:sz="8" w:color="auto"/>
            </w:tcBorders>
            <w:shd w:val="clear" w:color="auto" w:fill="CCEEFF"/>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top w:val="single" w:sz="8" w:color="CCEEFF"/>
              <w:bottom w:val="single" w:sz="8" w:color="CCEEFF"/>
            </w:tcBorders>
            <w:shd w:val="clear" w:color="auto" w:fill="CCEEFF"/>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040" w:type="dxa"/>
            <w:vAlign w:val="bottom"/>
            <w:gridSpan w:val="4"/>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8"/>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100" w:type="dxa"/>
            <w:vAlign w:val="bottom"/>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7"/>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Daily Volumes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left="114"/>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jc w:val="center"/>
              <w:ind w:left="234"/>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(in thousands of barrels per day) </w:t>
            </w:r>
            <w:r>
              <w:rPr>
                <w:rFonts w:ascii="Times New Roman" w:cs="Times New Roman" w:eastAsia="Times New Roman" w:hAnsi="Times New Roman"/>
                <w:sz w:val="8"/>
                <w:szCs w:val="8"/>
                <w:b w:val="1"/>
                <w:bCs w:val="1"/>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Volumes</w:t>
            </w:r>
          </w:p>
        </w:tc>
        <w:tc>
          <w:tcPr>
            <w:tcW w:w="3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Volumes</w:t>
            </w:r>
          </w:p>
        </w:tc>
        <w:tc>
          <w:tcPr>
            <w:tcW w:w="4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 activities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 American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Bakken Area Systems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Basin / Mesa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Capline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Eagle Ford Area Systems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Line 63 / Line 2000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Manito</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Rainbow</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Rangeland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Saskatchewan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White Cliffs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Refined Products Pipelines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Tariff activities total</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-4016375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-4016375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2" w:name="page23"/>
    <w:bookmarkEnd w:id="22"/>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Trucking</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segment total</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4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7" w:lineRule="exact"/>
        <w:rPr>
          <w:sz w:val="20"/>
          <w:szCs w:val="20"/>
          <w:color w:val="auto"/>
        </w:rPr>
      </w:pPr>
    </w:p>
    <w:p>
      <w:pPr>
        <w:ind w:left="20" w:right="200" w:hanging="11"/>
        <w:spacing w:after="0" w:line="282" w:lineRule="auto"/>
        <w:rPr>
          <w:sz w:val="20"/>
          <w:szCs w:val="20"/>
          <w:color w:val="auto"/>
        </w:rPr>
      </w:pPr>
      <w:r>
        <w:rPr>
          <w:rFonts w:ascii="Times New Roman" w:cs="Times New Roman" w:eastAsia="Times New Roman" w:hAnsi="Times New Roman"/>
          <w:sz w:val="18"/>
          <w:szCs w:val="18"/>
          <w:color w:val="auto"/>
        </w:rPr>
        <w:t>Volumes associated with assets employed through acquisitions and internal growth projects represent total volumes (attributable to our interest) for the number of days we employed the assets divided by the number of days in the period.</w:t>
      </w:r>
    </w:p>
    <w:p>
      <w:pPr>
        <w:spacing w:after="0" w:line="162" w:lineRule="exact"/>
        <w:rPr>
          <w:sz w:val="20"/>
          <w:szCs w:val="20"/>
          <w:color w:val="auto"/>
        </w:rPr>
      </w:pPr>
    </w:p>
    <w:p>
      <w:pPr>
        <w:sectPr>
          <w:pgSz w:w="11900" w:h="16948" w:orient="portrait"/>
          <w:cols w:equalWidth="0" w:num="2">
            <w:col w:w="140" w:space="500"/>
            <w:col w:w="10780"/>
          </w:cols>
          <w:pgMar w:left="240" w:top="140" w:right="239" w:bottom="0" w:gutter="0" w:footer="0" w:header="0"/>
          <w:type w:val="continuous"/>
        </w:sect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Transportation segment profit and segment profit per barrel for the periods indicated.</w:t>
      </w:r>
    </w:p>
    <w:p>
      <w:pPr>
        <w:spacing w:after="0" w:line="223" w:lineRule="exact"/>
        <w:rPr>
          <w:sz w:val="20"/>
          <w:szCs w:val="20"/>
          <w:color w:val="auto"/>
        </w:rPr>
      </w:pPr>
    </w:p>
    <w:p>
      <w:pPr>
        <w:ind w:right="4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Revenues and Volumes. </w:t>
      </w:r>
      <w:r>
        <w:rPr>
          <w:rFonts w:ascii="Times New Roman" w:cs="Times New Roman" w:eastAsia="Times New Roman" w:hAnsi="Times New Roman"/>
          <w:sz w:val="18"/>
          <w:szCs w:val="18"/>
          <w:color w:val="auto"/>
        </w:rPr>
        <w:t>As noted in the table above, our total Transportation segment revenues, net of trucking costs, and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for both the three and six months ended June 30, 2014 compared to the three and six months ended June 30, 2013. Our Transportation segment results for the comparative periods were impacted by the following:</w:t>
      </w:r>
    </w:p>
    <w:p>
      <w:pPr>
        <w:spacing w:after="0" w:line="176" w:lineRule="exact"/>
        <w:rPr>
          <w:sz w:val="20"/>
          <w:szCs w:val="20"/>
          <w:color w:val="auto"/>
        </w:rPr>
      </w:pPr>
    </w:p>
    <w:p>
      <w:pPr>
        <w:ind w:left="660" w:right="80" w:hanging="328"/>
        <w:spacing w:after="0" w:line="256" w:lineRule="auto"/>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American Crude Oil Production and Related Expansion Projects — The increase in North American crude oil production has had a favorable impact on volumes and revenues on our existing pipeline systems and has also provided opportunities for midstream infrastructure development in production growth areas. The resulting increases in volumes for the three and six months ended June 30, 2014 over the comparable 2013 periods were most notably on our Permian Basin, Eagle Ford and Mid-Continent Area Systems and our Basin and Mesa pipelines. We estimate that increased production combined with our recently completed internal growth projects increased revenues by over $25 million and $50 million for the three and six months ended June 30, 2014, respectively, compared to the three and six months ended June 30, 2013.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20" w:hanging="328"/>
        <w:spacing w:after="0" w:line="256" w:lineRule="auto"/>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$20 million and $30 million, respectively, for the three and six months ended June 30, 2014 compared to the three and six months ended June 30, 2013 driven primarily by higher volumes, as well as a higher average realized price per barrel (including the impact of gains and losses from derivative-related activities).</w:t>
      </w:r>
    </w:p>
    <w:p>
      <w:pPr>
        <w:spacing w:after="0" w:line="187"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Changes — Revenues on our pipelines are impacted by various rate changes that may occur during the period. These primarily include the indexing of rates on our FERC regulated pipelines, rate increases or decreases on our intrastate and Canadian pipelines or other negotiated rate changes. We estimate that the net impact of rate changes on our pipelines increased revenues by approximately $11 million and $18 million for the three and six months ended June 30, 2014, respectively, compared to the three and six months ended June 30, 2013.</w:t>
      </w:r>
    </w:p>
    <w:p>
      <w:pPr>
        <w:spacing w:after="0" w:line="180"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Refined Products Pipelines — We sold certain refined products pipeline systems and related assets in July 2013 and November 2013. As we did not own these assets during the three and six months ended June 30, 2014, our revenues were lower by approximately $10 million and $20 million, respectively, and volumes were lower by 110,000 and 105,000 barrels per day, respectively, as compared to the three and six months ended June 30, 2013.</w:t>
      </w:r>
    </w:p>
    <w:p>
      <w:pPr>
        <w:spacing w:after="0" w:line="180"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the three months ended June 30, 2014 and 2013 were $1.09 CAD: $1.00 USD and $1.02 CAD: $1.00 USD, respectively. The average CAD to USD exchange rates for the six months ended June 30, 2014 and 2013 were $1.10 CAD: $1.00 USD and $1.02 CAD: $1.00 USD, respectively. Therefore, revenues from our Canadian pipeline systems and trucking operations were unfavorably impacted by approximately $6 million and $15 million for the three and six months ended June 30, 2014, respectively, compared to the three and six months ended June 30, 2013 due to the depreciation of the Canadian dollar relative to the U.S. dollar.</w:t>
      </w:r>
    </w:p>
    <w:p>
      <w:pPr>
        <w:spacing w:after="0" w:line="18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Additional noteworthy volume and revenue variances on our pipelines for the three and six months ended June 30, 2014 compared to the three and six months ended June 30, 2013 were (i) decreased volumes and revenues on certain of our NGL pipelines due to (a) the discontinuation of an agreement in 2014 to transport volumes on a pipeline and (b) the impact of netting joint venture related volumes to our share on a pipeline during 2014, which did not affect revenues, (ii) decreased volumes and revenues on the Capline pipeline due to refinery turnaround in the first half of 2014, (iii) increased volumes and revenues on our Rangeland, South Saskatchewan and Co-Ed pipelines, as these pipelines were shut down during a portion of the second quarter of 2013 due to high river flow rates and flooding in the surrounding area and (iv) a net decrease in volumes on our crude oil pipelines included in “Other” in the table above for the six month comparable period, a majority of which was related to (a) pipelines subject to long-term lease commitments with annual service payments whereby volumes may fluctuate, but such fluctuations did not have a meaningful impact on revenue and (b) pipelines impacted by third-party connection shut-downs and line repairs, which also did not have a significant impact on revenues for the period, partially offset by incremental volumes and revenues from our Gulf Coast pipeline, which was placed into service in April 2014.</w:t>
      </w:r>
    </w:p>
    <w:p>
      <w:pPr>
        <w:spacing w:after="0" w:line="18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Field operating costs (excluding equity-indexed compensation expenses) decreased during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2014 compared to the three and six months ended June 30, 2013 due to higher environmental remediation costs in 2013, partially offset by increases due to (i) a change in classification of certain costs from General and Administrative expenses, and (ii) a general increase in expenses due to growth.</w:t>
      </w:r>
    </w:p>
    <w:p>
      <w:pPr>
        <w:spacing w:after="0" w:line="174"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(excluding equity-indexed compensation expenses) decreased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six months ended June 30, 2014 compared to the three and six months ended June 30, 2013 primarily due to (i) a change in classification of</w:t>
      </w:r>
    </w:p>
    <w:p>
      <w:pPr>
        <w:sectPr>
          <w:pgSz w:w="11900" w:h="16948" w:orient="portrait"/>
          <w:cols w:equalWidth="0" w:num="1">
            <w:col w:w="11420"/>
          </w:cols>
          <w:pgMar w:left="240" w:top="140" w:right="239" w:bottom="0" w:gutter="0" w:footer="0" w:header="0"/>
          <w:type w:val="continuous"/>
        </w:sectPr>
      </w:pPr>
    </w:p>
    <w:bookmarkStart w:id="23" w:name="page24"/>
    <w:bookmarkEnd w:id="23"/>
    <w:p>
      <w:pPr>
        <w:jc w:val="center"/>
        <w:ind w:right="400"/>
        <w:spacing w:after="0"/>
        <w:rPr>
          <w:sz w:val="20"/>
          <w:szCs w:val="20"/>
          <w:color w:val="auto"/>
        </w:rPr>
      </w:pPr>
      <w:r>
        <w:rPr>
          <w:rFonts w:ascii="Times New Roman" w:cs="Times New Roman" w:eastAsia="Times New Roman" w:hAnsi="Times New Roman"/>
          <w:sz w:val="18"/>
          <w:szCs w:val="18"/>
          <w:color w:val="auto"/>
        </w:rPr>
        <w:t>certain costs to Field Operating Costs and (ii) higher costs in 2013 associated with the sale of certain refined products pipeline systems and related assets.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Maintenance Capital. </w:t>
      </w:r>
      <w:r>
        <w:rPr>
          <w:rFonts w:ascii="Times New Roman" w:cs="Times New Roman" w:eastAsia="Times New Roman" w:hAnsi="Times New Roman"/>
          <w:sz w:val="18"/>
          <w:szCs w:val="18"/>
          <w:color w:val="auto"/>
        </w:rPr>
        <w:t>Maintenance capital consists of capital expenditures for the replacement of partially or fully depreciated assets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the operating and/or earnings capacity of our existing assets. The increase in maintenance capital for the three and six months ended June 30, 2014 compared to the three and six months ended June 30, 2013 is primarily due to increased investments on integrity-related projects.</w:t>
      </w:r>
    </w:p>
    <w:p>
      <w:pPr>
        <w:spacing w:after="0" w:line="174"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Equity-Indexed Compensation Expense</w:t>
      </w:r>
      <w:r>
        <w:rPr>
          <w:rFonts w:ascii="Times New Roman" w:cs="Times New Roman" w:eastAsia="Times New Roman" w:hAnsi="Times New Roman"/>
          <w:sz w:val="18"/>
          <w:szCs w:val="18"/>
          <w:color w:val="auto"/>
        </w:rPr>
        <w:t>. On a consolidated basis across all segments, equity-indexed compensation expense increased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2014 compared to the same period in 2013, primarily due to the impact of the increase in PAA’s unit price during the period compared to a decrease in PAA’s unit price for the same period in 2013.</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Consolidated equity-indexed compensation expense decreased for the six months ended June 30, 2014 compared to the same period in 2013, primarily due to a less significant impact of the increase in PAA’s unit price during the six months ended June 30, 2014 compared to the same period in 2013. See Note 15 to our Consolidated Financial Statements included in Part IV of our 2013 Annual Report on Form 10-K for additional information regarding our equity-indexed compensation plans.</w:t>
      </w:r>
    </w:p>
    <w:p>
      <w:pPr>
        <w:spacing w:after="0" w:line="178"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Equity Earnings in Unconsolidated Entities</w:t>
      </w:r>
      <w:r>
        <w:rPr>
          <w:rFonts w:ascii="Times New Roman" w:cs="Times New Roman" w:eastAsia="Times New Roman" w:hAnsi="Times New Roman"/>
          <w:sz w:val="18"/>
          <w:szCs w:val="18"/>
          <w:color w:val="auto"/>
        </w:rPr>
        <w:t>. The favorable variance in equity earnings in unconsolidated entities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2014 compared to the three and six months ended June 30, 2013 was largely due to increased throughput on the Eagle Ford joint venture pipeline as a result of increased production, as discussed above.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Facilities Segment</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operating results from our Facilities segment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040" w:type="dxa"/>
            <w:vAlign w:val="bottom"/>
            <w:gridSpan w:val="3"/>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2"/>
                <w:szCs w:val="12"/>
                <w:color w:val="auto"/>
              </w:rPr>
            </w:pPr>
          </w:p>
        </w:tc>
        <w:tc>
          <w:tcPr>
            <w:tcW w:w="170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center"/>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Natural gas sales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7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Storage related costs (natural gas</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w:t>
            </w:r>
          </w:p>
        </w:tc>
        <w:tc>
          <w:tcPr>
            <w:tcW w:w="2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(300)%</w:t>
            </w:r>
          </w:p>
        </w:tc>
        <w:tc>
          <w:tcPr>
            <w:tcW w:w="1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left w:val="single" w:sz="8" w:color="CCEEFF"/>
            </w:tcBorders>
            <w:shd w:val="clear" w:color="auto" w:fill="CCEEFF"/>
          </w:tcPr>
          <w:p>
            <w:pPr>
              <w:spacing w:after="0"/>
              <w:rPr>
                <w:sz w:val="20"/>
                <w:szCs w:val="20"/>
                <w:color w:val="auto"/>
              </w:rPr>
            </w:pPr>
          </w:p>
        </w:tc>
        <w:tc>
          <w:tcPr>
            <w:tcW w:w="7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Natural gas sales costs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8"/>
                <w:szCs w:val="18"/>
                <w:color w:val="auto"/>
              </w:rPr>
            </w:pPr>
          </w:p>
        </w:tc>
        <w:tc>
          <w:tcPr>
            <w:tcW w:w="7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Field operating costs (excluding equity-</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indexed compensation expense)</w:t>
            </w:r>
          </w:p>
        </w:tc>
        <w:tc>
          <w:tcPr>
            <w:tcW w:w="2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left w:val="single" w:sz="8" w:color="CCEEFF"/>
            </w:tcBorders>
            <w:shd w:val="clear" w:color="auto" w:fill="CCEEFF"/>
          </w:tcPr>
          <w:p>
            <w:pPr>
              <w:spacing w:after="0"/>
              <w:rPr>
                <w:sz w:val="20"/>
                <w:szCs w:val="20"/>
                <w:color w:val="auto"/>
              </w:rPr>
            </w:pPr>
          </w:p>
        </w:tc>
        <w:tc>
          <w:tcPr>
            <w:tcW w:w="7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7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(excluding equity-</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indexed compensation expense)</w:t>
            </w:r>
          </w:p>
        </w:tc>
        <w:tc>
          <w:tcPr>
            <w:tcW w:w="2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left w:val="single" w:sz="8" w:color="CCEEFF"/>
            </w:tcBorders>
            <w:shd w:val="clear" w:color="auto" w:fill="CCEEFF"/>
          </w:tcPr>
          <w:p>
            <w:pPr>
              <w:spacing w:after="0"/>
              <w:rPr>
                <w:sz w:val="20"/>
                <w:szCs w:val="20"/>
                <w:color w:val="auto"/>
              </w:rPr>
            </w:pPr>
          </w:p>
        </w:tc>
        <w:tc>
          <w:tcPr>
            <w:tcW w:w="7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7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3"/>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gridSpan w:val="3"/>
            <w:vMerge w:val="continue"/>
          </w:tcPr>
          <w:p>
            <w:pPr>
              <w:spacing w:after="0"/>
              <w:rPr>
                <w:sz w:val="20"/>
                <w:szCs w:val="20"/>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400" w:type="dxa"/>
            <w:vAlign w:val="bottom"/>
          </w:tcPr>
          <w:p>
            <w:pPr>
              <w:jc w:val="right"/>
              <w:ind w:right="21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3"/>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15"/>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Segment profit per barrel</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right w:val="single" w:sz="8" w:color="CCEEFF"/>
            </w:tcBorders>
            <w:shd w:val="clear" w:color="auto" w:fill="CCEEFF"/>
          </w:tcPr>
          <w:p>
            <w:pPr>
              <w:jc w:val="right"/>
              <w:ind w:right="21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60" w:type="dxa"/>
            <w:vAlign w:val="bottom"/>
            <w:tcBorders>
              <w:top w:val="single" w:sz="8" w:color="CCEEFF"/>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top w:val="single" w:sz="8" w:color="CCEEFF"/>
              <w:bottom w:val="single" w:sz="8" w:color="CCEEFF"/>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right w:val="single" w:sz="8" w:color="CCEEFF"/>
            </w:tcBorders>
            <w:shd w:val="clear" w:color="auto" w:fill="CCEEFF"/>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0" w:type="dxa"/>
            <w:vAlign w:val="bottom"/>
            <w:tcBorders>
              <w:top w:val="single" w:sz="8" w:color="CCEEFF"/>
              <w:bottom w:val="single" w:sz="8" w:color="CCEEFF"/>
            </w:tcBorders>
            <w:shd w:val="clear" w:color="auto" w:fill="CCEEFF"/>
          </w:tcPr>
          <w:p>
            <w:pPr>
              <w:jc w:val="center"/>
              <w:ind w:right="5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CEEFF"/>
              <w:bottom w:val="single" w:sz="8" w:color="CCEEFF"/>
            </w:tcBorders>
            <w:shd w:val="clear" w:color="auto" w:fill="CCEEFF"/>
          </w:tcPr>
          <w:p>
            <w:pPr>
              <w:jc w:val="right"/>
              <w:ind w:right="55"/>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gridSpan w:val="2"/>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20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4"/>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24"/>
                <w:szCs w:val="24"/>
                <w:color w:val="auto"/>
              </w:rPr>
            </w:pPr>
          </w:p>
        </w:tc>
        <w:tc>
          <w:tcPr>
            <w:tcW w:w="104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7"/>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center"/>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Volumes </w:t>
            </w:r>
            <w:r>
              <w:rPr>
                <w:rFonts w:ascii="Times New Roman" w:cs="Times New Roman" w:eastAsia="Times New Roman" w:hAnsi="Times New Roman"/>
                <w:sz w:val="8"/>
                <w:szCs w:val="8"/>
                <w:b w:val="1"/>
                <w:bCs w:val="1"/>
                <w:color w:val="auto"/>
              </w:rPr>
              <w:t>(4)</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04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760" w:type="dxa"/>
            <w:vAlign w:val="bottom"/>
            <w:tcBorders>
              <w:top w:val="single" w:sz="8" w:color="auto"/>
            </w:tcBorders>
            <w:gridSpan w:val="4"/>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Volumes</w:t>
            </w:r>
          </w:p>
        </w:tc>
        <w:tc>
          <w:tcPr>
            <w:tcW w:w="660" w:type="dxa"/>
            <w:vAlign w:val="bottom"/>
            <w:tcBorders>
              <w:top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2"/>
                <w:szCs w:val="12"/>
                <w:color w:val="auto"/>
              </w:rPr>
            </w:pPr>
          </w:p>
        </w:tc>
        <w:tc>
          <w:tcPr>
            <w:tcW w:w="104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Volumes</w:t>
            </w:r>
          </w:p>
        </w:tc>
        <w:tc>
          <w:tcPr>
            <w:tcW w:w="42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80" w:type="dxa"/>
            <w:vAlign w:val="bottom"/>
            <w:tcBorders>
              <w:top w:val="single" w:sz="8" w:color="auto"/>
            </w:tcBorders>
            <w:gridSpan w:val="5"/>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Crude oil, refined products and NGL terminalling</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left w:val="single" w:sz="8" w:color="CCEEFF"/>
            </w:tcBorders>
            <w:shd w:val="clear" w:color="auto" w:fill="CCEEFF"/>
          </w:tcPr>
          <w:p>
            <w:pPr>
              <w:spacing w:after="0"/>
              <w:rPr>
                <w:sz w:val="16"/>
                <w:szCs w:val="16"/>
                <w:color w:val="auto"/>
              </w:rPr>
            </w:pPr>
          </w:p>
        </w:tc>
        <w:tc>
          <w:tcPr>
            <w:tcW w:w="420" w:type="dxa"/>
            <w:vAlign w:val="bottom"/>
            <w:tcBorders>
              <w:top w:val="single" w:sz="8" w:color="auto"/>
              <w:right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storage (average monthly capacity in millions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barrels)</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right w:val="single" w:sz="8" w:color="CCEEFF"/>
            </w:tcBorders>
            <w:gridSpan w:val="2"/>
            <w:vMerge w:val="continue"/>
            <w:shd w:val="clear" w:color="auto" w:fill="CCEEFF"/>
          </w:tcPr>
          <w:p>
            <w:pPr>
              <w:spacing w:after="0"/>
              <w:rPr>
                <w:sz w:val="19"/>
                <w:szCs w:val="19"/>
                <w:color w:val="auto"/>
              </w:rPr>
            </w:pPr>
          </w:p>
        </w:tc>
        <w:tc>
          <w:tcPr>
            <w:tcW w:w="900" w:type="dxa"/>
            <w:vAlign w:val="bottom"/>
            <w:gridSpan w:val="5"/>
            <w:vMerge w:val="continue"/>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820" w:type="dxa"/>
            <w:vAlign w:val="bottom"/>
            <w:tcBorders>
              <w:right w:val="single" w:sz="8" w:color="CCEEFF"/>
            </w:tcBorders>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gridSpan w:val="4"/>
            <w:vMerge w:val="restart"/>
          </w:tcPr>
          <w:p>
            <w:pPr>
              <w:spacing w:after="0" w:line="191" w:lineRule="exact"/>
              <w:rPr>
                <w:sz w:val="20"/>
                <w:szCs w:val="20"/>
                <w:color w:val="auto"/>
              </w:rPr>
            </w:pPr>
            <w:r>
              <w:rPr>
                <w:rFonts w:ascii="Times New Roman" w:cs="Times New Roman" w:eastAsia="Times New Roman" w:hAnsi="Times New Roman"/>
                <w:sz w:val="18"/>
                <w:szCs w:val="18"/>
                <w:color w:val="auto"/>
                <w:w w:val="99"/>
              </w:rPr>
              <w:t>Rail load / unload volumes (average volumes in</w:t>
            </w: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60" w:type="dxa"/>
            <w:vAlign w:val="bottom"/>
            <w:gridSpan w:val="4"/>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right w:val="single" w:sz="8" w:color="auto"/>
            </w:tcBorders>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3"/>
                <w:szCs w:val="13"/>
                <w:color w:val="auto"/>
              </w:rPr>
            </w:pPr>
          </w:p>
        </w:tc>
        <w:tc>
          <w:tcPr>
            <w:tcW w:w="8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thousands of barrels per day)</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900" w:type="dxa"/>
            <w:vAlign w:val="bottom"/>
            <w:gridSpan w:val="5"/>
            <w:vMerge w:val="continue"/>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8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gridSpan w:val="7"/>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Natural gas storage (average monthly capacity in</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00" w:type="dxa"/>
            <w:vAlign w:val="bottom"/>
            <w:gridSpan w:val="7"/>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right w:val="single" w:sz="8" w:color="CCEEFF"/>
            </w:tcBorders>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3"/>
                <w:szCs w:val="13"/>
                <w:color w:val="auto"/>
              </w:rPr>
            </w:pPr>
          </w:p>
        </w:tc>
        <w:tc>
          <w:tcPr>
            <w:tcW w:w="8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right w:val="single" w:sz="8" w:color="CCEEFF"/>
            </w:tcBorders>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billions of cubic feet)</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28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820" w:type="dxa"/>
            <w:vAlign w:val="bottom"/>
            <w:tcBorders>
              <w:right w:val="single" w:sz="8" w:color="CCEEFF"/>
            </w:tcBorders>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gridSpan w:val="7"/>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NGL fractionation (average volumes in thousands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0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right w:val="single" w:sz="8" w:color="auto"/>
            </w:tcBorders>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3"/>
                <w:szCs w:val="13"/>
                <w:color w:val="auto"/>
              </w:rPr>
            </w:pPr>
          </w:p>
        </w:tc>
        <w:tc>
          <w:tcPr>
            <w:tcW w:w="8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3"/>
                <w:szCs w:val="13"/>
                <w:color w:val="auto"/>
              </w:rPr>
            </w:pPr>
          </w:p>
        </w:tc>
        <w:tc>
          <w:tcPr>
            <w:tcW w:w="8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barrels per day)</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900" w:type="dxa"/>
            <w:vAlign w:val="bottom"/>
            <w:gridSpan w:val="5"/>
            <w:vMerge w:val="continue"/>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8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gridSpan w:val="7"/>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Facilities segment total (average monthly volumes in</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00" w:type="dxa"/>
            <w:vAlign w:val="bottom"/>
            <w:gridSpan w:val="7"/>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right w:val="single" w:sz="8" w:color="CCEEFF"/>
            </w:tcBorders>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3"/>
                <w:szCs w:val="13"/>
                <w:color w:val="auto"/>
              </w:rPr>
            </w:pPr>
          </w:p>
        </w:tc>
        <w:tc>
          <w:tcPr>
            <w:tcW w:w="8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right w:val="single" w:sz="8" w:color="CCEEFF"/>
            </w:tcBorders>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200" w:type="dxa"/>
            <w:vAlign w:val="bottom"/>
            <w:gridSpan w:val="3"/>
            <w:shd w:val="clear" w:color="auto" w:fill="CCEEFF"/>
          </w:tcPr>
          <w:p>
            <w:pPr>
              <w:ind w:left="180"/>
              <w:spacing w:after="0" w:line="221" w:lineRule="exact"/>
              <w:rPr>
                <w:sz w:val="20"/>
                <w:szCs w:val="20"/>
                <w:color w:val="auto"/>
              </w:rPr>
            </w:pPr>
            <w:r>
              <w:rPr>
                <w:rFonts w:ascii="Times New Roman" w:cs="Times New Roman" w:eastAsia="Times New Roman" w:hAnsi="Times New Roman"/>
                <w:sz w:val="18"/>
                <w:szCs w:val="18"/>
                <w:color w:val="auto"/>
              </w:rPr>
              <w:t xml:space="preserve">millions of barrels) </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28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right w:val="single" w:sz="8" w:color="CCEEFF"/>
            </w:tcBorders>
            <w:gridSpan w:val="2"/>
            <w:vMerge w:val="continue"/>
            <w:shd w:val="clear" w:color="auto" w:fill="CCEEFF"/>
          </w:tcPr>
          <w:p>
            <w:pPr>
              <w:spacing w:after="0"/>
              <w:rPr>
                <w:sz w:val="19"/>
                <w:szCs w:val="19"/>
                <w:color w:val="auto"/>
              </w:rPr>
            </w:pPr>
          </w:p>
        </w:tc>
        <w:tc>
          <w:tcPr>
            <w:tcW w:w="900" w:type="dxa"/>
            <w:vAlign w:val="bottom"/>
            <w:gridSpan w:val="5"/>
            <w:vMerge w:val="continue"/>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820" w:type="dxa"/>
            <w:vAlign w:val="bottom"/>
            <w:tcBorders>
              <w:right w:val="single" w:sz="8" w:color="CCEEFF"/>
            </w:tcBorders>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397"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ectPr>
          <w:pgSz w:w="11900" w:h="16838" w:orient="portrait"/>
          <w:cols w:equalWidth="0" w:num="1">
            <w:col w:w="11460"/>
          </w:cols>
          <w:pgMar w:left="240" w:top="121" w:right="199" w:bottom="0" w:gutter="0" w:footer="0" w:header="0"/>
          <w:type w:val="continuous"/>
        </w:sectPr>
      </w:pPr>
    </w:p>
    <w:bookmarkStart w:id="24" w:name="page25"/>
    <w:bookmarkEnd w:id="24"/>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0" w:right="300" w:hanging="11"/>
        <w:spacing w:after="0" w:line="282" w:lineRule="auto"/>
        <w:rPr>
          <w:sz w:val="20"/>
          <w:szCs w:val="20"/>
          <w:color w:val="auto"/>
        </w:rPr>
      </w:pPr>
      <w:r>
        <w:rPr>
          <w:rFonts w:ascii="Times New Roman" w:cs="Times New Roman" w:eastAsia="Times New Roman" w:hAnsi="Times New Roman"/>
          <w:sz w:val="18"/>
          <w:szCs w:val="18"/>
          <w:color w:val="auto"/>
        </w:rPr>
        <w:t>Effective January 1, 2014, our natural gas sales and costs, primarily attributable to the activities performed by our natural gas storage commercial optimization group, are reported in the Supply and Logistics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7" w:lineRule="exact"/>
        <w:rPr>
          <w:sz w:val="20"/>
          <w:szCs w:val="20"/>
          <w:color w:val="auto"/>
        </w:rPr>
      </w:pPr>
    </w:p>
    <w:p>
      <w:pPr>
        <w:ind w:left="20" w:right="340" w:hanging="11"/>
        <w:spacing w:after="0" w:line="282" w:lineRule="auto"/>
        <w:rPr>
          <w:sz w:val="20"/>
          <w:szCs w:val="20"/>
          <w:color w:val="auto"/>
        </w:rPr>
      </w:pPr>
      <w:r>
        <w:rPr>
          <w:rFonts w:ascii="Times New Roman" w:cs="Times New Roman" w:eastAsia="Times New Roman" w:hAnsi="Times New Roman"/>
          <w:sz w:val="18"/>
          <w:szCs w:val="18"/>
          <w:color w:val="auto"/>
        </w:rPr>
        <w:t>Volumes associated with assets employed through acquisitions and internal growth projects represent total volumes for the number of months we employed the assets divided by the number of months in the period.</w:t>
      </w:r>
    </w:p>
    <w:p>
      <w:pPr>
        <w:spacing w:after="0" w:line="162" w:lineRule="exact"/>
        <w:rPr>
          <w:sz w:val="20"/>
          <w:szCs w:val="20"/>
          <w:color w:val="auto"/>
        </w:rPr>
      </w:pPr>
    </w:p>
    <w:p>
      <w:pPr>
        <w:jc w:val="both"/>
        <w:ind w:left="20" w:hanging="7"/>
        <w:spacing w:after="0" w:line="272" w:lineRule="auto"/>
        <w:rPr>
          <w:sz w:val="20"/>
          <w:szCs w:val="20"/>
          <w:color w:val="auto"/>
        </w:rPr>
      </w:pPr>
      <w:r>
        <w:rPr>
          <w:rFonts w:ascii="Times New Roman" w:cs="Times New Roman" w:eastAsia="Times New Roman" w:hAnsi="Times New Roman"/>
          <w:sz w:val="17"/>
          <w:szCs w:val="17"/>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w:t>
      </w:r>
    </w:p>
    <w:p>
      <w:pPr>
        <w:spacing w:after="0" w:line="2" w:lineRule="exact"/>
        <w:rPr>
          <w:sz w:val="20"/>
          <w:szCs w:val="20"/>
          <w:color w:val="auto"/>
        </w:rPr>
      </w:pPr>
    </w:p>
    <w:p>
      <w:pPr>
        <w:ind w:left="20" w:right="1340" w:hanging="4"/>
        <w:spacing w:after="0" w:line="518" w:lineRule="auto"/>
        <w:tabs>
          <w:tab w:leader="none" w:pos="32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NGL fractionation volumes multiplied by the number of days in the period and divided by the number of months in the period. The following is a discussion of items impacting Facilities segment profit and segment profit per barrel for the periods indicated.</w:t>
      </w:r>
    </w:p>
    <w:p>
      <w:pPr>
        <w:spacing w:after="0" w:line="1" w:lineRule="exact"/>
        <w:rPr>
          <w:sz w:val="20"/>
          <w:szCs w:val="20"/>
          <w:color w:val="auto"/>
        </w:rPr>
      </w:pPr>
    </w:p>
    <w:p>
      <w:pPr>
        <w:sectPr>
          <w:pgSz w:w="11900" w:h="16889" w:orient="portrait"/>
          <w:cols w:equalWidth="0" w:num="2">
            <w:col w:w="160" w:space="480"/>
            <w:col w:w="10780"/>
          </w:cols>
          <w:pgMar w:left="240" w:top="337" w:right="239" w:bottom="0" w:gutter="0" w:footer="0" w:header="0"/>
        </w:sect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Revenues and Volumes. </w:t>
      </w:r>
      <w:r>
        <w:rPr>
          <w:rFonts w:ascii="Times New Roman" w:cs="Times New Roman" w:eastAsia="Times New Roman" w:hAnsi="Times New Roman"/>
          <w:sz w:val="18"/>
          <w:szCs w:val="18"/>
          <w:color w:val="auto"/>
        </w:rPr>
        <w:t>As noted in the table above, our Facilities segment revenues, less storage related costs,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2014 were in line with our results as compared to the same period of 2013, while our segment revenues, less storage related costs, increased slightly for the six months ended June 30, 2014 compared to the six months ended June 30, 2013. Total volumes were relatively consistent over the periods presented. The significant variances in revenues between the comparative periods are discussed below:</w:t>
      </w:r>
    </w:p>
    <w:p>
      <w:pPr>
        <w:spacing w:after="0" w:line="182" w:lineRule="exact"/>
        <w:rPr>
          <w:sz w:val="20"/>
          <w:szCs w:val="20"/>
          <w:color w:val="auto"/>
        </w:rPr>
      </w:pPr>
    </w:p>
    <w:p>
      <w:pPr>
        <w:ind w:left="660" w:right="40" w:hanging="328"/>
        <w:spacing w:after="0" w:line="261" w:lineRule="auto"/>
        <w:tabs>
          <w:tab w:leader="none" w:pos="6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Fractionation, NGL Storage and Natural Gas Processing Activities —Increases in revenues from our NGL fractionation and storage and natural gas processing activities of approximately $5 million and $21 million, respectively, for the three and six months ended June 30, 2014 compared to the three and six months ended June 30, 2013, were largely driven by higher facility fee revenues due to rate increases at certain of our storage and fractionation facilities.</w:t>
      </w:r>
    </w:p>
    <w:p>
      <w:pPr>
        <w:spacing w:after="0" w:line="180"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These increases in NGL revenues include estimated unfavorable foreign currency impacts of approximately $5 million and $11 million for the three and six months ended June 30, 2014, respectively, as compared to the three and six months ended June 30, 2013 due to the depreciation of the Canadian dollar relative to the U.S. dollar. The average CAD to USD exchange rates for the three months ended June 30, 2014 and 2013 were $1.09 CAD: $1.00 USD and $1.02 CAD: $1.00 USD, respectively. The average CAD to USD exchange rates for the six months ended June 30, 2014 and 2013 were $1.10 CAD: $1.00 USD and $1.02 CAD: $1.00 USD,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120" w:hanging="328"/>
        <w:spacing w:after="0" w:line="258"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Storage Operations — Net revenues from our natural gas storage operations decreased by approximately $9 million and $21 million, respectively, for the three and six months ended June 30, 2014 compared to the three and six months ended June 30, 2013. The decrease for the three-month 2014 period was primarily due to decreased storage rates on contracts that renewed or replaced expiring contracts. The six-month 2014 period was further unfavorably impacted by costs incurred in our natural gas storage activities to manage deliverability requirements in conjunction with the extended period of severe cold weather experienced during the first several months of 2014.</w:t>
      </w:r>
    </w:p>
    <w:p>
      <w:pPr>
        <w:spacing w:after="0" w:line="183"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 Terminals —Revenues from rail load and unload activities increased by approximately $3 million for the six months ended June 30, 2014 compared to the same period in 2013, respectively. This increase was primarily due to new rail terminals that came online in the fourth quarter of 2013, partially offset by the unfavorable impact of rail congestion and weather-related issues at certain of our terminals. For the three month comparable period, the increase in revenues from the new rail terminals was offset by decreased volumes into our St. James facility as well as the unfavorable impact of congestion, resulting in relatively consistent revenues for the three months ended June 30, 2014 compared to the three months ended June 30, 2013.</w:t>
      </w:r>
    </w:p>
    <w:p>
      <w:pPr>
        <w:spacing w:after="0" w:line="187"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Storage and Condensate Processing Activities —Increased revenues from our crude oil storage and condensate processing activities of approximately $4 million and $5 million, respectively, for the three and six months ended June 30, 2014 compared to the three and six months ended June 30, 2013 were largely driven by the start-up and subsequent expansion of our Eagle Ford processing facility and increased throughput and expansions at certain of our Mid-Continent and Gulf Coast storage facilities. However, such results were partially offset by reduced revenues from storage facilities in California and the East Coast due to decreased demand, as well as the reclassification of certain of our Canadian storage facilities to our Transportation segment during the second quarter of 2014.</w:t>
      </w:r>
    </w:p>
    <w:p>
      <w:pPr>
        <w:spacing w:after="0" w:line="186"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Field operating costs (excluding equity-indexed compensation expenses) increased during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2014 compared to the three and six months ended June 30, 2013 due to (i) a change in classification of certain costs from General and Administrative expenses, (ii) increased utility costs due primarily to higher power and gas prices and (iii) increased maintenance and repairs costs.</w:t>
      </w:r>
    </w:p>
    <w:p>
      <w:pPr>
        <w:spacing w:after="0" w:line="17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(excluding equity-indexed compensation expenses) remained relatively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for the three months ended June 30, 2014 compared to the three months ended June 30, 2013 and decreased during the comparative six-month periods. These results reflect the net impact of a decrease in general and administrative expenses due to a change in classification of certain costs to Field Operating Costs during the 2014 periods partially offset by increased expenses resulting from overall growth in the segment.</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Equity-Indexed Compensation Expense. </w:t>
      </w:r>
      <w:r>
        <w:rPr>
          <w:rFonts w:ascii="Times New Roman" w:cs="Times New Roman" w:eastAsia="Times New Roman" w:hAnsi="Times New Roman"/>
          <w:sz w:val="18"/>
          <w:szCs w:val="18"/>
          <w:color w:val="auto"/>
        </w:rPr>
        <w:t>On a consolidated basis across all segments, equity-indexed compensation expense increased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2014 over the comparable 2013 period, and decreased for the six months ended June 30, 2014 compared to the six months ended June 30, 2013. See the discussion regarding such variances under “— Transportation Segment” above. Also, see Note 15 to our Consolidated Financial Statements included in Part IV of our 2013 Annual Report on Form 10-K for additional information regarding our equity-indexed compensation plans.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Supply and Logistics Segment</w:t>
      </w:r>
    </w:p>
    <w:p>
      <w:pPr>
        <w:spacing w:after="0" w:line="229" w:lineRule="exact"/>
        <w:rPr>
          <w:sz w:val="20"/>
          <w:szCs w:val="20"/>
          <w:color w:val="auto"/>
        </w:rPr>
      </w:pPr>
    </w:p>
    <w:p>
      <w:pPr>
        <w:ind w:right="220" w:firstLine="648"/>
        <w:spacing w:after="0" w:line="313" w:lineRule="auto"/>
        <w:rPr>
          <w:sz w:val="20"/>
          <w:szCs w:val="20"/>
          <w:color w:val="auto"/>
        </w:rPr>
      </w:pPr>
      <w:r>
        <w:rPr>
          <w:rFonts w:ascii="Times New Roman" w:cs="Times New Roman" w:eastAsia="Times New Roman" w:hAnsi="Times New Roman"/>
          <w:sz w:val="17"/>
          <w:szCs w:val="17"/>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We do not</w:t>
      </w:r>
    </w:p>
    <w:p>
      <w:pPr>
        <w:sectPr>
          <w:pgSz w:w="11900" w:h="16889" w:orient="portrait"/>
          <w:cols w:equalWidth="0" w:num="1">
            <w:col w:w="11420"/>
          </w:cols>
          <w:pgMar w:left="240" w:top="337" w:right="239" w:bottom="0" w:gutter="0" w:footer="0" w:header="0"/>
          <w:type w:val="continuous"/>
        </w:sectPr>
      </w:pPr>
    </w:p>
    <w:bookmarkStart w:id="25" w:name="page26"/>
    <w:bookmarkEnd w:id="25"/>
    <w:p>
      <w:pPr>
        <w:ind w:right="40"/>
        <w:spacing w:after="0" w:line="258" w:lineRule="auto"/>
        <w:rPr>
          <w:sz w:val="20"/>
          <w:szCs w:val="20"/>
          <w:color w:val="auto"/>
        </w:rPr>
      </w:pPr>
      <w:r>
        <w:rPr>
          <w:rFonts w:ascii="Times New Roman" w:cs="Times New Roman" w:eastAsia="Times New Roman" w:hAnsi="Times New Roman"/>
          <w:sz w:val="18"/>
          <w:szCs w:val="18"/>
          <w:color w:val="auto"/>
        </w:rPr>
        <w:t>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operating results from our Supply and Logistics segment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5"/>
              </w:rPr>
              <w:t>Favorable/</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9"/>
              </w:rPr>
              <w:t>Favorable/</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 (2)</w:t>
            </w:r>
          </w:p>
        </w:tc>
        <w:tc>
          <w:tcPr>
            <w:tcW w:w="160" w:type="dxa"/>
            <w:vAlign w:val="bottom"/>
          </w:tcPr>
          <w:p>
            <w:pPr>
              <w:spacing w:after="0"/>
              <w:rPr>
                <w:sz w:val="12"/>
                <w:szCs w:val="12"/>
                <w:color w:val="auto"/>
              </w:rPr>
            </w:pPr>
          </w:p>
        </w:tc>
        <w:tc>
          <w:tcPr>
            <w:tcW w:w="1920" w:type="dxa"/>
            <w:vAlign w:val="bottom"/>
            <w:gridSpan w:val="6"/>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20" w:type="dxa"/>
            <w:vAlign w:val="bottom"/>
          </w:tcPr>
          <w:p>
            <w:pPr>
              <w:spacing w:after="0"/>
              <w:rPr>
                <w:sz w:val="12"/>
                <w:szCs w:val="12"/>
                <w:color w:val="auto"/>
              </w:rPr>
            </w:pPr>
          </w:p>
        </w:tc>
        <w:tc>
          <w:tcPr>
            <w:tcW w:w="1120" w:type="dxa"/>
            <w:vAlign w:val="bottom"/>
            <w:gridSpan w:val="3"/>
          </w:tcPr>
          <w:p>
            <w:pPr>
              <w:jc w:val="center"/>
              <w:ind w:left="157"/>
              <w:spacing w:after="0" w:line="141" w:lineRule="exact"/>
              <w:rPr>
                <w:sz w:val="20"/>
                <w:szCs w:val="20"/>
                <w:color w:val="auto"/>
              </w:rPr>
            </w:pPr>
            <w:r>
              <w:rPr>
                <w:rFonts w:ascii="Times New Roman" w:cs="Times New Roman" w:eastAsia="Times New Roman" w:hAnsi="Times New Roman"/>
                <w:sz w:val="14"/>
                <w:szCs w:val="14"/>
                <w:b w:val="1"/>
                <w:bCs w:val="1"/>
                <w:color w:val="auto"/>
                <w:w w:val="95"/>
              </w:rPr>
              <w:t>(Unfavorable)</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5"/>
          </w:tcPr>
          <w:p>
            <w:pPr>
              <w:jc w:val="center"/>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Six Months Ended</w:t>
            </w:r>
          </w:p>
        </w:tc>
        <w:tc>
          <w:tcPr>
            <w:tcW w:w="100" w:type="dxa"/>
            <w:vAlign w:val="bottom"/>
          </w:tcPr>
          <w:p>
            <w:pPr>
              <w:spacing w:after="0"/>
              <w:rPr>
                <w:sz w:val="12"/>
                <w:szCs w:val="12"/>
                <w:color w:val="auto"/>
              </w:rPr>
            </w:pPr>
          </w:p>
        </w:tc>
        <w:tc>
          <w:tcPr>
            <w:tcW w:w="1140" w:type="dxa"/>
            <w:vAlign w:val="bottom"/>
            <w:gridSpan w:val="3"/>
          </w:tcPr>
          <w:p>
            <w:pPr>
              <w:jc w:val="center"/>
              <w:ind w:left="177"/>
              <w:spacing w:after="0" w:line="141" w:lineRule="exact"/>
              <w:rPr>
                <w:sz w:val="20"/>
                <w:szCs w:val="20"/>
                <w:color w:val="auto"/>
              </w:rPr>
            </w:pPr>
            <w:r>
              <w:rPr>
                <w:rFonts w:ascii="Times New Roman" w:cs="Times New Roman" w:eastAsia="Times New Roman" w:hAnsi="Times New Roman"/>
                <w:sz w:val="14"/>
                <w:szCs w:val="14"/>
                <w:b w:val="1"/>
                <w:bCs w:val="1"/>
                <w:color w:val="auto"/>
                <w:w w:val="95"/>
              </w:rPr>
              <w:t>(Unfavorable)</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3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(9,614)</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(964)</w:t>
            </w: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(21,553)</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(19,249)</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Field operating costs (excluding equity-</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indexed compensation expense)</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(excluding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indexed compensation expense)</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6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00" w:type="dxa"/>
            <w:vAlign w:val="bottom"/>
            <w:vMerge w:val="continue"/>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vMerge w:val="continue"/>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per barrel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6"/>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12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4"/>
                <w:szCs w:val="24"/>
                <w:color w:val="auto"/>
              </w:rPr>
            </w:pPr>
          </w:p>
        </w:tc>
        <w:tc>
          <w:tcPr>
            <w:tcW w:w="11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Daily Volumes</w:t>
            </w:r>
          </w:p>
        </w:tc>
        <w:tc>
          <w:tcPr>
            <w:tcW w:w="16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177"/>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left="177"/>
              <w:spacing w:after="0" w:line="149"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3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barrels per day)</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Volumes</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Volumes</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 sales</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Waterborne cargos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Supply and Logistics segment total</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include intersegment amounts.</w:t>
      </w:r>
    </w:p>
    <w:p>
      <w:pPr>
        <w:spacing w:after="0" w:line="225" w:lineRule="exact"/>
        <w:rPr>
          <w:sz w:val="20"/>
          <w:szCs w:val="20"/>
          <w:color w:val="auto"/>
        </w:rPr>
      </w:pPr>
    </w:p>
    <w:p>
      <w:pPr>
        <w:ind w:left="20" w:right="780" w:hanging="11"/>
        <w:spacing w:after="0" w:line="282" w:lineRule="auto"/>
        <w:rPr>
          <w:sz w:val="20"/>
          <w:szCs w:val="20"/>
          <w:color w:val="auto"/>
        </w:rPr>
      </w:pPr>
      <w:r>
        <w:rPr>
          <w:rFonts w:ascii="Times New Roman" w:cs="Times New Roman" w:eastAsia="Times New Roman" w:hAnsi="Times New Roman"/>
          <w:sz w:val="18"/>
          <w:szCs w:val="18"/>
          <w:color w:val="auto"/>
        </w:rPr>
        <w:t>Prior to January 1, 2014, natural gas sales revenues and costs attributable to the activities performed by our natural gas storage commercial optimization group were reported in the Facilities segment.</w:t>
      </w:r>
    </w:p>
    <w:p>
      <w:pPr>
        <w:spacing w:after="0" w:line="162" w:lineRule="exact"/>
        <w:rPr>
          <w:sz w:val="20"/>
          <w:szCs w:val="20"/>
          <w:color w:val="auto"/>
        </w:rPr>
      </w:pPr>
    </w:p>
    <w:p>
      <w:pPr>
        <w:ind w:left="20" w:right="60" w:hanging="11"/>
        <w:spacing w:after="0" w:line="313" w:lineRule="auto"/>
        <w:rPr>
          <w:sz w:val="20"/>
          <w:szCs w:val="20"/>
          <w:color w:val="auto"/>
        </w:rPr>
      </w:pPr>
      <w:r>
        <w:rPr>
          <w:rFonts w:ascii="Times New Roman" w:cs="Times New Roman" w:eastAsia="Times New Roman" w:hAnsi="Times New Roman"/>
          <w:sz w:val="17"/>
          <w:szCs w:val="17"/>
          <w:color w:val="auto"/>
        </w:rPr>
        <w:t>Purchases and related costs include interest expense (related to hedged inventory purchases) of approximately $5 million and $7 million for the three and six months ended June 30, 2014 and approximately $5 million and $10 million for the three and six months ended June 30, 2013,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60" w:space="480"/>
            <w:col w:w="10780"/>
          </w:cols>
          <w:pgMar w:left="240" w:top="121" w:right="239" w:bottom="0" w:gutter="0" w:footer="0" w:header="0"/>
          <w:type w:val="continuous"/>
        </w:sectPr>
      </w:pPr>
    </w:p>
    <w:p>
      <w:pPr>
        <w:spacing w:after="0" w:line="7"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NYMEX West Texas Intermediate benchmark price of crude oil ranged from approximately $99 to $108 per barrel and $86 to $99 per barrel during the three months ended June 30, 2014 and 2013, respectively, and from $91 to $108 per barrel and $86 to $99 per barrel during the six months ended June 30, 2014 and 2013,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six months ended June 30, 2014 relative to the comparative periods, primarily resulting from increases in crude oil volumes in 2014, as well as increases in prices, primarily during the comparative three-month period.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Supply and Logistics segment profit and segment profit per barrel for the periods indicated.</w:t>
      </w:r>
    </w:p>
    <w:p>
      <w:pPr>
        <w:spacing w:after="0" w:line="22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Revenues and Volumes. </w:t>
      </w:r>
      <w:r>
        <w:rPr>
          <w:rFonts w:ascii="Times New Roman" w:cs="Times New Roman" w:eastAsia="Times New Roman" w:hAnsi="Times New Roman"/>
          <w:sz w:val="18"/>
          <w:szCs w:val="18"/>
          <w:color w:val="auto"/>
        </w:rPr>
        <w:t>Our Supply and Logistics segment revenues, net of purchases and related costs, excluding gains and losses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derivative activities (see the “Impact from Certain Derivative Activities” section below), were relatively consistent for the three months ended</w:t>
      </w:r>
    </w:p>
    <w:p>
      <w:pPr>
        <w:sectPr>
          <w:pgSz w:w="11900" w:h="16838" w:orient="portrait"/>
          <w:cols w:equalWidth="0" w:num="1">
            <w:col w:w="11420"/>
          </w:cols>
          <w:pgMar w:left="240" w:top="121" w:right="239" w:bottom="0" w:gutter="0" w:footer="0" w:header="0"/>
          <w:type w:val="continuous"/>
        </w:sectPr>
      </w:pPr>
    </w:p>
    <w:bookmarkStart w:id="26" w:name="page27"/>
    <w:bookmarkEnd w:id="26"/>
    <w:p>
      <w:pPr>
        <w:ind w:right="680"/>
        <w:spacing w:after="0" w:line="282" w:lineRule="auto"/>
        <w:rPr>
          <w:sz w:val="20"/>
          <w:szCs w:val="20"/>
          <w:color w:val="auto"/>
        </w:rPr>
      </w:pPr>
      <w:r>
        <w:rPr>
          <w:rFonts w:ascii="Times New Roman" w:cs="Times New Roman" w:eastAsia="Times New Roman" w:hAnsi="Times New Roman"/>
          <w:sz w:val="18"/>
          <w:szCs w:val="18"/>
          <w:color w:val="auto"/>
        </w:rPr>
        <w:t>June 30, 2014 compared to the three months ended June 30, 2013, while such results decreased year-over-year for the six month comparative periods presented. The following factors impacted revenues and volumes in the comparative periods:</w:t>
      </w:r>
    </w:p>
    <w:p>
      <w:pPr>
        <w:spacing w:after="0" w:line="162" w:lineRule="exact"/>
        <w:rPr>
          <w:sz w:val="20"/>
          <w:szCs w:val="20"/>
          <w:color w:val="auto"/>
        </w:rPr>
      </w:pPr>
    </w:p>
    <w:p>
      <w:pPr>
        <w:ind w:left="660" w:right="40" w:hanging="328"/>
        <w:spacing w:after="0" w:line="258"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American Crude Oil Production and Related Market Economics - The significant increase in oil and liquids-rich gas production growth in North America has generally created regional supply and demand imbalances, due to the lack of sufficient infrastructure to support the movement of such production, which increased certain crude oil location differentials. The lack of existing pipeline takeaway capacity and associated logistical challenges has created market conditions that provided opportunities to capture above-baseline margins in our supply and logistics activities over the last few years.</w:t>
      </w:r>
    </w:p>
    <w:p>
      <w:pPr>
        <w:spacing w:after="0" w:line="184" w:lineRule="exact"/>
        <w:rPr>
          <w:sz w:val="20"/>
          <w:szCs w:val="20"/>
          <w:color w:val="auto"/>
        </w:rPr>
      </w:pPr>
    </w:p>
    <w:p>
      <w:pPr>
        <w:ind w:left="660" w:right="340"/>
        <w:spacing w:after="0" w:line="261" w:lineRule="auto"/>
        <w:rPr>
          <w:sz w:val="20"/>
          <w:szCs w:val="20"/>
          <w:color w:val="auto"/>
        </w:rPr>
      </w:pPr>
      <w:r>
        <w:rPr>
          <w:rFonts w:ascii="Times New Roman" w:cs="Times New Roman" w:eastAsia="Times New Roman" w:hAnsi="Times New Roman"/>
          <w:sz w:val="18"/>
          <w:szCs w:val="18"/>
          <w:color w:val="auto"/>
        </w:rPr>
        <w:t>The favorable impact of widening differentials in the second quarter of 2014 led to an increase in net revenues from our crude oil supply and logistics activities for the three months ended June 30, 2014 compared to the three months ended June 30, 2103. Net revenues from our crude oil supply and logistics activities decreased for the six months ended June 30, 2014 compared to the six months ended June 30, 2013, as there were fewer opportunities to capture above-baseline margins.</w:t>
      </w:r>
    </w:p>
    <w:p>
      <w:pPr>
        <w:spacing w:after="0" w:line="180"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We believe the fundamentals of our business remain strong as lease-gathered volumes for the three and six month periods ended June 30, 2014 increased by 9% and 7%, respectively, as compared to volumes in the same three and six month periods in 2013. However, as the midstream infrastructure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of our 2013 Annual Report on Form 10-K for further discussion regarding our business model, including diversification and utilization of our asset base among varying demand- and supply-driven markets.)</w:t>
      </w:r>
    </w:p>
    <w:p>
      <w:pPr>
        <w:spacing w:after="0" w:line="189" w:lineRule="exact"/>
        <w:rPr>
          <w:sz w:val="20"/>
          <w:szCs w:val="20"/>
          <w:color w:val="auto"/>
        </w:rPr>
      </w:pPr>
    </w:p>
    <w:p>
      <w:pPr>
        <w:ind w:left="660" w:right="20" w:hanging="328"/>
        <w:spacing w:after="0" w:line="261" w:lineRule="auto"/>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Marketing Operations — Revenues and volumes from our NGL marketing operations decreased during the three and six months ended June 30, 2014 as compared to the three and six months ended June 30, 2013. These decreases were driven by (i) less favorable market conditions, most notably during the second quarter of 2014, (ii) higher costs during the 2014 periods, primarily due to increased facility fees, and (iii) lower butane supply during the three months ended June 30, 2014.</w:t>
      </w:r>
    </w:p>
    <w:p>
      <w:pPr>
        <w:spacing w:after="0" w:line="180"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Storage Commercial Optimization - Our natural gas storage commercial optimization activities for the six months ended June 30, 2014 were unfavorably impacted by costs incurred to manage deliverability requirements in conjunction with the extended period of severe cold weather experienced during the first quarter of 2014.</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Impact from Certain Derivative Activities</w:t>
      </w:r>
      <w:r>
        <w:rPr>
          <w:rFonts w:ascii="Times New Roman" w:cs="Times New Roman" w:eastAsia="Times New Roman" w:hAnsi="Times New Roman"/>
          <w:sz w:val="18"/>
          <w:szCs w:val="18"/>
          <w:color w:val="auto"/>
        </w:rPr>
        <w:t>. The mark-to-market valuation of certain of our derivative activities impacted our net revenues as shown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table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820" w:type="dxa"/>
            <w:vAlign w:val="bottom"/>
            <w:gridSpan w:val="4"/>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Gains/(losses) from certain derivative activities </w:t>
            </w:r>
            <w:r>
              <w:rPr>
                <w:rFonts w:ascii="Times New Roman" w:cs="Times New Roman" w:eastAsia="Times New Roman" w:hAnsi="Times New Roman"/>
                <w:sz w:val="23"/>
                <w:szCs w:val="23"/>
                <w:color w:val="auto"/>
                <w:vertAlign w:val="superscript"/>
              </w:rPr>
              <w:t>(1)</w:t>
            </w:r>
          </w:p>
        </w:tc>
        <w:tc>
          <w:tcPr>
            <w:tcW w:w="640" w:type="dxa"/>
            <w:vAlign w:val="bottom"/>
            <w:tcBorders>
              <w:top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6"/>
              </w:rPr>
              <w:t>(15)</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40" w:hanging="652"/>
        <w:spacing w:after="0" w:line="241"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mark-to-market and other gains and losses resulting from certain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10 to our condensed consolidated financial statements for a comprehensive discussion regarding our derivatives and risk management activities.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increase in field operating costs (excluding equity-indexed compensation expenses)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compared to the three months ended June 30, 2013 was primarily due to an increase in trucking costs associated with higher crude oil lease gathered volumes.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Field operating costs (excluding equity-indexed compensation expenses) decreased for the six months ended June 30, 2014 compared to the six months ended June 30, 2013 primarily due to a decrease in third-party transportation costs in the first quarter of 2014 as compared to the first quarter of 2013.</w:t>
      </w:r>
    </w:p>
    <w:p>
      <w:pPr>
        <w:spacing w:after="0" w:line="16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Equity-Indexed Compensation Expense. </w:t>
      </w:r>
      <w:r>
        <w:rPr>
          <w:rFonts w:ascii="Times New Roman" w:cs="Times New Roman" w:eastAsia="Times New Roman" w:hAnsi="Times New Roman"/>
          <w:sz w:val="18"/>
          <w:szCs w:val="18"/>
          <w:color w:val="auto"/>
        </w:rPr>
        <w:t>On a consolidated basis across all segments, equity-indexed compensation expense increased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2014 over the comparable 2013 period, and decreased for the six months ended June 30, 2014 compared to the six months ended June 30, 2013. See the discussion regarding such variances under “— Transportation Segment” above. Also, see Note 15 to our Consolidated Financial Statements included in Part IV of our 2013 Annual Report on Form 10-K for additional information regarding our equity-indexed compensation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by approximately $9 million and $23 million for the three and six months ended June 30, 2014, respectively, over the three and six months ended June 30, 2013. These increases in depreciation and amortization expense in the 2014 periods over the comparable 2013 periods were primarily due to an acceleration of depreciation on certain pipeline assets to reflect a change in their estimated useful lives, as well as various internal growth projects completed since June 30, 2013.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380" w:firstLine="648"/>
        <w:spacing w:after="0" w:line="313" w:lineRule="auto"/>
        <w:rPr>
          <w:sz w:val="20"/>
          <w:szCs w:val="20"/>
          <w:color w:val="auto"/>
        </w:rPr>
      </w:pPr>
      <w:r>
        <w:rPr>
          <w:rFonts w:ascii="Times New Roman" w:cs="Times New Roman" w:eastAsia="Times New Roman" w:hAnsi="Times New Roman"/>
          <w:sz w:val="17"/>
          <w:szCs w:val="17"/>
          <w:color w:val="auto"/>
        </w:rPr>
        <w:t>Interest expense increased by approximately $9 million and $12 million for the three and six months ended June 30, 2014, respectively, over the three and six months ended June 30, 2013 as a result of higher average debt outstanding during the 2014 periods, primarily due to (i) PAA’s August 2013</w:t>
      </w:r>
    </w:p>
    <w:p>
      <w:pPr>
        <w:sectPr>
          <w:pgSz w:w="11900" w:h="16838" w:orient="portrait"/>
          <w:cols w:equalWidth="0" w:num="1">
            <w:col w:w="11420"/>
          </w:cols>
          <w:pgMar w:left="240" w:top="121" w:right="239" w:bottom="0" w:gutter="0" w:footer="0" w:header="0"/>
        </w:sectPr>
      </w:pPr>
    </w:p>
    <w:bookmarkStart w:id="27" w:name="page28"/>
    <w:bookmarkEnd w:id="27"/>
    <w:p>
      <w:pPr>
        <w:ind w:right="20"/>
        <w:spacing w:after="0" w:line="282" w:lineRule="auto"/>
        <w:rPr>
          <w:sz w:val="20"/>
          <w:szCs w:val="20"/>
          <w:color w:val="auto"/>
        </w:rPr>
      </w:pPr>
      <w:r>
        <w:rPr>
          <w:rFonts w:ascii="Times New Roman" w:cs="Times New Roman" w:eastAsia="Times New Roman" w:hAnsi="Times New Roman"/>
          <w:sz w:val="18"/>
          <w:szCs w:val="18"/>
          <w:color w:val="auto"/>
        </w:rPr>
        <w:t>issuance of $700 million, 3.85% senior notes and (ii) PAA’s April 2014 issuance of $700 million, 4.70% senior notes, partially offset by the maturity of PAA’s $250 million, 5.63% senior notes in December 2013.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Other income/(expense), net in each of the periods presented was primarily comprised of foreign currency gains or losses related to revaluations of CAD-denominated interest receivables associated with our intercompany notes and the impact of related foreign currency hedges.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right="440" w:firstLine="720"/>
        <w:spacing w:after="0" w:line="266" w:lineRule="auto"/>
        <w:rPr>
          <w:sz w:val="20"/>
          <w:szCs w:val="20"/>
          <w:color w:val="auto"/>
        </w:rPr>
      </w:pPr>
      <w:r>
        <w:rPr>
          <w:rFonts w:ascii="Times New Roman" w:cs="Times New Roman" w:eastAsia="Times New Roman" w:hAnsi="Times New Roman"/>
          <w:sz w:val="18"/>
          <w:szCs w:val="18"/>
          <w:color w:val="auto"/>
        </w:rPr>
        <w:t>Income tax expense increased by approximately $13 million for the three months ended June 30, 2014, compared to the three months ended June 30, 2013, primarily due to the tax expense of the amortization of the deferred tax asset created in connection with our IPO, as well as an increase in income tax expense by PAA, primarily as a result of higher year over year Canadian tax expense.</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increased by approximately $17 million for the six months ended June 30, 2014, compared to the six months ended June 30, 2013, primarily due to the tax expense of the amortization of the deferred tax asset created in connection with our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 consolidated basis, our primary sources of liquidity are (i) cash flow from operating activities, (ii) borrowings under the PAA commercial paper program or the credit facilities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June 30,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2014, we had a working capital deficit of approximately $254 million and approximately $2.3 billion of liquidity available to meet our ongoing operating, investing and financing needs as noted below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9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Availability under PAA senior unsecured revolving credit facility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Availability under PAA senior secured hedged inventory facility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outstanding under PAA commercial paper program</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10"/>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under AAP senior secured revolving credit facility</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9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720" w:hanging="652"/>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availability prior to giving effect to amounts outstanding under the PAA commercial paper program. Borrowings under the PAA commercial paper program reduce available capacity under the facility.</w:t>
      </w:r>
    </w:p>
    <w:p>
      <w:pPr>
        <w:spacing w:after="0" w:line="19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2013 Annual Report on Form 10-K for further discussion regarding such risks that may impact our liquidity and capital resources. Usage of the PAA credit facilities, which provide the backstop for the PAA commercial paper program, and the AAP credit facility is subject to ongoing compliance with covenants. As of June 30, 2014, PAA and AAP were in compliance with all such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 activities, see “Liquidity and Capital Resources-Cash Flow from Operating Activities” under Item 7 of our 2013 Annual Report on Form 10-K.</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six months of 2014 was approximately $954 million, primarily resulting from earnings from our operations. Additionally, we decreased our inventory levels (including margin balances required as part of our hedging activities) that were funded by our short-term debt, resulting in a positive impact on our cash provided by operating activities.</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first six months of 2013 of approximately $1.3 billion also resulted primarily from earnings from our operations. In addition, we decreased the amount of our inventory during the first half of 2013, primarily due to the sale of NGL inventory related to product demand caused by increases in (i) heating requirements during the extended 2013 winter season, (ii) export activity that reduced overall product availability in the market and (iii) petrochemical demand, as well as the sale of crude oil inventory that had been stored during the contango market. The net proceeds received from liquidation of such inventory during the quarter were used to repay borrowings under our credit facilities and favorably impacted our cash flow from operating activities.</w:t>
      </w:r>
    </w:p>
    <w:p>
      <w:pPr>
        <w:sectPr>
          <w:pgSz w:w="11900" w:h="16838" w:orient="portrait"/>
          <w:cols w:equalWidth="0" w:num="1">
            <w:col w:w="11420"/>
          </w:cols>
          <w:pgMar w:left="240" w:top="121" w:right="23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addition to operating needs discussed above, we also use cash for acquisition activities and internal growth projects. We have made and will continue to make capital expenditures for acquisitions, expansion capital and maintenance capital.</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2014 Capital Expansion Projects. </w:t>
      </w:r>
      <w:r>
        <w:rPr>
          <w:rFonts w:ascii="Times New Roman" w:cs="Times New Roman" w:eastAsia="Times New Roman" w:hAnsi="Times New Roman"/>
          <w:sz w:val="18"/>
          <w:szCs w:val="18"/>
          <w:color w:val="auto"/>
        </w:rPr>
        <w:t>See “—Acquisitions and Internal Growth Projects” for detail of our projected capital expenditures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December 31, 2014. We expect the majority of funding for our 2014 capital program will be provided by borrowings under the PAA commercial paper program, credit facilities and cash flow in excess of partnership distributions, as well as through our access to the capital markets for equity and debt as we deem necessary.</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The price of acquisitions includes cash paid, assumed liabilities and net working capital items. Because of the non-cash items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total price of the acquisition and the timing of certain cash payments, the net cash paid may differ significantly from the total price of the acquisitions completed during the period. Historically, we have financed acquisitions primarily with cash generated by operations and the financing activities discussed below.</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Debt Financing Activities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a consolidated basis, our financing activities primarily relate to funding acquisitions, internal capital projects and refinancing our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the PAA commercial paper program or credit facilities, as well as payments to our Class A shareholders and noncontrolling interests.</w:t>
      </w:r>
    </w:p>
    <w:p>
      <w:pPr>
        <w:spacing w:after="0" w:line="17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PAA Registration Statements</w:t>
      </w:r>
      <w:r>
        <w:rPr>
          <w:rFonts w:ascii="Times New Roman" w:cs="Times New Roman" w:eastAsia="Times New Roman" w:hAnsi="Times New Roman"/>
          <w:sz w:val="18"/>
          <w:szCs w:val="18"/>
          <w:color w:val="auto"/>
        </w:rPr>
        <w:t>. PAA periodically accesses the capital markets for both equity and debt financing. PAA has filed with the SEC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shelf registration statement that, subject to effectiveness at the time of use, allows PAA to issue up to an aggregate of $2.0 billion of debt or equity securities (“Traditional Shelf”). All issuances of equity securities associated with PAA’s continuous offering program, as discussed further below, have been issued pursuant to the Traditional Shelf. At June 30, 2014, PAA had approximately $1.0 billion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w:t>
      </w:r>
    </w:p>
    <w:p>
      <w:pPr>
        <w:spacing w:after="0" w:line="18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PAA Continuous Offering Program</w:t>
      </w:r>
      <w:r>
        <w:rPr>
          <w:rFonts w:ascii="Times New Roman" w:cs="Times New Roman" w:eastAsia="Times New Roman" w:hAnsi="Times New Roman"/>
          <w:sz w:val="18"/>
          <w:szCs w:val="18"/>
          <w:color w:val="auto"/>
        </w:rPr>
        <w:t>. During the six months ended June 30, 2014, PAA issued an aggregate of approximately 8.1 million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under its continuous offering program, generating net proceeds of approximately $444 million. The net proceeds from these sales were used for general partnership purposes.</w:t>
      </w:r>
    </w:p>
    <w:p>
      <w:pPr>
        <w:spacing w:after="0" w:line="174"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Credit Agreements, Commercial Paper Program and Indentures. </w:t>
      </w:r>
      <w:r>
        <w:rPr>
          <w:rFonts w:ascii="Times New Roman" w:cs="Times New Roman" w:eastAsia="Times New Roman" w:hAnsi="Times New Roman"/>
          <w:sz w:val="18"/>
          <w:szCs w:val="18"/>
          <w:color w:val="auto"/>
        </w:rPr>
        <w:t>The PAA credit agreements (which impact the ability to access the PAA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program because they provide the backstop that supports PAA’s short-term credit ratings) the AAP credit agreement and the indentures governing PAA’s senior notes contain cross-default provisions. A default under the credit agreements would permit the lenders to accelerate the maturity of the outstanding debt. As long as PAA and AAP are in compliance with the provisions in the credit agreements, their ability to make distributions of available cash is not restricted. PAA and AAP were in compliance with the covenants contained in the credit agreements and indentures as of June 30, 2014.</w:t>
      </w:r>
    </w:p>
    <w:p>
      <w:pPr>
        <w:spacing w:after="0" w:line="18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On a consolidated basis, during the six months ended June 30, 2014 and 2013 we had net repayments on the credit agreements and PAA commercial paper program of approximately $333 million and $183 million, respectively. The net repayments during both periods resulted primarily from cash flow from operating activities, including sales of inventory that was liquidated during the periods, as well as cash received from PAA’s debt and equity activities.</w:t>
      </w:r>
    </w:p>
    <w:p>
      <w:pPr>
        <w:spacing w:after="0" w:line="176"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April 2014, PAA completed the issuance of $700 million, 4.70% senior notes due 2044 at a public offering price of 99.734%. Interest payments are due on June 15 and December 15 of each year, commencing on December 15, 2014. The net proceeds from this offering of approximately $691 million, after deducting the underwriting discount and offering expenses, were used to repay outstanding borrowings under the PAA commercial paper program and for general partnership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Paid to Our Class A Shareholders and Noncontrolling Interests</w:t>
      </w:r>
    </w:p>
    <w:p>
      <w:pPr>
        <w:spacing w:after="0" w:line="22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Distributions to our Class A shareholders. </w:t>
      </w:r>
      <w:r>
        <w:rPr>
          <w:rFonts w:ascii="Times New Roman" w:cs="Times New Roman" w:eastAsia="Times New Roman" w:hAnsi="Times New Roman"/>
          <w:sz w:val="18"/>
          <w:szCs w:val="18"/>
          <w:color w:val="auto"/>
        </w:rPr>
        <w:t>We distribute 100% of our available cash within 55 days after the end of each quarter to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record. Available cash is generally defined as all of our cash and cash equivalents on hand at the end of each quarter less reserves established in the discretion of our general partner for future requirements. On August 14, 2014, we will pay a quarterly distribution of $0.18340 per Class A share. See Note 8 to our condensed consolidated financial statements for details of distributions paid. Also, see Item 5. “Market for Registrant’s Shares, Related Shareholder Matters and Issuer Purchases of Equity Securities-Cash Distribution Policy” included in our 2013 Annual Report on Form 10-K for additional discussion on distributions.</w:t>
      </w:r>
    </w:p>
    <w:p>
      <w:pPr>
        <w:spacing w:after="0" w:line="183"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noncontrolling interests. </w:t>
      </w:r>
      <w:r>
        <w:rPr>
          <w:rFonts w:ascii="Times New Roman" w:cs="Times New Roman" w:eastAsia="Times New Roman" w:hAnsi="Times New Roman"/>
          <w:sz w:val="18"/>
          <w:szCs w:val="18"/>
          <w:color w:val="auto"/>
        </w:rPr>
        <w:t>Distributions to noncontrolling interests represent amounts paid on interests in consolidated entities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owned by us. During the six months ended June 30, 2014 and 2013 we paid distributions of approximately $626 million and $579 million, respectively, to noncontrolling interests.</w:t>
      </w:r>
    </w:p>
    <w:p>
      <w:pPr>
        <w:spacing w:after="0" w:line="176"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have sufficient liquid assets, cash flow from operating activities and borrowing capacity under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11 to our condensed consolidated financial statements.</w:t>
      </w:r>
    </w:p>
    <w:p>
      <w:pPr>
        <w:sectPr>
          <w:pgSz w:w="11900" w:h="16838" w:orient="portrait"/>
          <w:cols w:equalWidth="0" w:num="1">
            <w:col w:w="11420"/>
          </w:cols>
          <w:pgMar w:left="240" w:top="333" w:right="239" w:bottom="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8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well as others due under the specified contractual obligations as of June 30, 2014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00" w:type="dxa"/>
            <w:vAlign w:val="bottom"/>
          </w:tcPr>
          <w:p>
            <w:pPr>
              <w:spacing w:after="0"/>
              <w:rPr>
                <w:sz w:val="13"/>
                <w:szCs w:val="1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2019 and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Long-term debt, including related</w:t>
            </w: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ind w:left="180"/>
              <w:spacing w:after="0" w:line="234" w:lineRule="exact"/>
              <w:rPr>
                <w:sz w:val="20"/>
                <w:szCs w:val="20"/>
                <w:color w:val="auto"/>
              </w:rPr>
            </w:pPr>
            <w:r>
              <w:rPr>
                <w:rFonts w:ascii="Times New Roman" w:cs="Times New Roman" w:eastAsia="Times New Roman" w:hAnsi="Times New Roman"/>
                <w:sz w:val="18"/>
                <w:szCs w:val="18"/>
                <w:color w:val="auto"/>
              </w:rPr>
              <w:t xml:space="preserve">interest payments </w:t>
            </w:r>
            <w:r>
              <w:rPr>
                <w:rFonts w:ascii="Times New Roman" w:cs="Times New Roman" w:eastAsia="Times New Roman" w:hAnsi="Times New Roman"/>
                <w:sz w:val="23"/>
                <w:szCs w:val="23"/>
                <w:color w:val="auto"/>
                <w:vertAlign w:val="superscript"/>
              </w:rPr>
              <w:t>(1)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8,888</w:t>
            </w:r>
          </w:p>
        </w:tc>
        <w:tc>
          <w:tcPr>
            <w:tcW w:w="1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12,738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Leases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obligations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Crude oil, natural gas, NGL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ind w:left="180"/>
              <w:spacing w:after="0" w:line="234" w:lineRule="exact"/>
              <w:rPr>
                <w:sz w:val="20"/>
                <w:szCs w:val="20"/>
                <w:color w:val="auto"/>
              </w:rPr>
            </w:pPr>
            <w:r>
              <w:rPr>
                <w:rFonts w:ascii="Times New Roman" w:cs="Times New Roman" w:eastAsia="Times New Roman" w:hAnsi="Times New Roman"/>
                <w:sz w:val="18"/>
                <w:szCs w:val="18"/>
                <w:color w:val="auto"/>
              </w:rPr>
              <w:t xml:space="preserve">other purchases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7,310</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4,898</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2,766</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8,151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36,539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50,911</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20" w:hanging="652"/>
        <w:spacing w:after="0" w:line="241"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debt service payments, interest payments due on PAA’s senior notes, interest payments on long-term borrowings outstanding under the AAP credit agreement and the commitment fee on assumed available capacity under the PAA revolving credit facilities. Although there may be short-term borrowings under the PAA revolving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ectPr>
          <w:pgSz w:w="11900" w:h="16838" w:orient="portrait"/>
          <w:cols w:equalWidth="0" w:num="1">
            <w:col w:w="11420"/>
          </w:cols>
          <w:pgMar w:left="240" w:top="121" w:right="239" w:bottom="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Includes (i) other long-term liabilities, (ii) storage, processing and transportation agreements and (iii) commitments related to capital expansion projects, including projected contributions for our share of the capital spending of our equity-method investments. Excludes a non-current liability of approximately $4 million related to derivative activity included in Crude oil, natural gas, NGL and other purchases.</w:t>
      </w:r>
    </w:p>
    <w:p>
      <w:pPr>
        <w:spacing w:after="0" w:line="176" w:lineRule="exact"/>
        <w:rPr>
          <w:sz w:val="20"/>
          <w:szCs w:val="20"/>
          <w:color w:val="auto"/>
        </w:rPr>
      </w:pPr>
    </w:p>
    <w:p>
      <w:pPr>
        <w:sectPr>
          <w:pgSz w:w="11900" w:h="16838" w:orient="portrait"/>
          <w:cols w:equalWidth="0" w:num="2">
            <w:col w:w="140" w:space="500"/>
            <w:col w:w="10780"/>
          </w:cols>
          <w:pgMar w:left="240" w:top="121" w:right="239" w:bottom="0" w:gutter="0" w:footer="0" w:header="0"/>
          <w:type w:val="continuous"/>
        </w:sectPr>
      </w:pPr>
    </w:p>
    <w:p>
      <w:pPr>
        <w:ind w:left="660" w:right="220" w:hanging="652"/>
        <w:spacing w:after="0" w:line="235"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June 2014.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8"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supply and logistics activities, we provide certain suppliers with irrevocable standby letters of credit to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obligation for the purchase of crude oil, NGL and natural gas. Additionally, we issue letters of credit to support insurance programs and construction activities. At June 30, 2014 and December 31, 2013, we had outstanding letters of credit of approximately $38 million and $41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as defined by Item 303 of Regulation S-K.</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additional discussion regarding our critical accounting policies and estimates, see “Critical Accounting Policies and Estimates” under Item 7 of our 2013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ectPr>
          <w:pgSz w:w="11900" w:h="16838" w:orient="portrait"/>
          <w:cols w:equalWidth="0" w:num="1">
            <w:col w:w="11420"/>
          </w:cols>
          <w:pgMar w:left="240" w:top="121" w:right="239" w:bottom="0" w:gutter="0" w:footer="0" w:header="0"/>
          <w:type w:val="continuous"/>
        </w:sectPr>
      </w:pPr>
    </w:p>
    <w:bookmarkStart w:id="30" w:name="page31"/>
    <w:bookmarkEnd w:id="30"/>
    <w:p>
      <w:pPr>
        <w:ind w:firstLine="454"/>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distributions to our Class A shareholders;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receipt of, and amounts of, distributions from AAP;</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internal growth projects;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2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76"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access to capital;</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PAA’s credit rating and ability to receive open credit from our suppliers and trade counterparties;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25" w:lineRule="exact"/>
        <w:rPr>
          <w:rFonts w:ascii="Times New Roman" w:cs="Times New Roman" w:eastAsia="Times New Roman" w:hAnsi="Times New Roman"/>
          <w:sz w:val="18"/>
          <w:szCs w:val="18"/>
          <w:color w:val="auto"/>
        </w:rPr>
      </w:pPr>
    </w:p>
    <w:p>
      <w:pPr>
        <w:ind w:left="980" w:right="840" w:hanging="324"/>
        <w:spacing w:after="0" w:line="282" w:lineRule="auto"/>
        <w:tabs>
          <w:tab w:leader="none" w:pos="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PAA’s units at the time of vesting under its long-term incentive plans;</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ectPr>
          <w:pgSz w:w="11900" w:h="16838" w:orient="portrait"/>
          <w:cols w:equalWidth="0" w:num="1">
            <w:col w:w="11400"/>
          </w:cols>
          <w:pgMar w:left="240" w:top="121" w:right="259" w:bottom="40" w:gutter="0" w:footer="0" w:header="0"/>
        </w:sectPr>
      </w:pPr>
    </w:p>
    <w:bookmarkStart w:id="31" w:name="page32"/>
    <w:bookmarkEnd w:id="31"/>
    <w:p>
      <w:pPr>
        <w:ind w:right="120" w:firstLine="454"/>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2013 Annual Report on Form 10-K. Except as required by applicable securities laws, we do not intend to update these forward-looking statements and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commodity price risk associated with the following commodities:</w:t>
      </w:r>
    </w:p>
    <w:p>
      <w:pPr>
        <w:spacing w:after="0" w:line="223" w:lineRule="exact"/>
        <w:rPr>
          <w:sz w:val="20"/>
          <w:szCs w:val="20"/>
          <w:color w:val="auto"/>
        </w:rPr>
      </w:pPr>
    </w:p>
    <w:p>
      <w:pPr>
        <w:ind w:left="1260" w:hanging="280"/>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Crude oil and refined products</w:t>
      </w:r>
    </w:p>
    <w:p>
      <w:pPr>
        <w:spacing w:after="0" w:line="227" w:lineRule="exact"/>
        <w:rPr>
          <w:sz w:val="20"/>
          <w:szCs w:val="20"/>
          <w:color w:val="auto"/>
        </w:rPr>
      </w:pPr>
    </w:p>
    <w:p>
      <w:pPr>
        <w:ind w:left="1300" w:right="20"/>
        <w:spacing w:after="0" w:line="261" w:lineRule="auto"/>
        <w:rPr>
          <w:sz w:val="20"/>
          <w:szCs w:val="20"/>
          <w:color w:val="auto"/>
        </w:rPr>
      </w:pPr>
      <w:r>
        <w:rPr>
          <w:rFonts w:ascii="Times New Roman" w:cs="Times New Roman" w:eastAsia="Times New Roman" w:hAnsi="Times New Roman"/>
          <w:sz w:val="18"/>
          <w:szCs w:val="18"/>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78" w:lineRule="exact"/>
        <w:rPr>
          <w:sz w:val="20"/>
          <w:szCs w:val="20"/>
          <w:color w:val="auto"/>
        </w:rPr>
      </w:pPr>
    </w:p>
    <w:p>
      <w:pPr>
        <w:ind w:left="1260" w:hanging="280"/>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Natural gas</w:t>
      </w:r>
    </w:p>
    <w:p>
      <w:pPr>
        <w:spacing w:after="0" w:line="227" w:lineRule="exact"/>
        <w:rPr>
          <w:sz w:val="20"/>
          <w:szCs w:val="20"/>
          <w:color w:val="auto"/>
        </w:rPr>
      </w:pPr>
    </w:p>
    <w:p>
      <w:pPr>
        <w:ind w:left="1300" w:right="200"/>
        <w:spacing w:after="0" w:line="266" w:lineRule="auto"/>
        <w:rPr>
          <w:sz w:val="20"/>
          <w:szCs w:val="20"/>
          <w:color w:val="auto"/>
        </w:rPr>
      </w:pPr>
      <w:r>
        <w:rPr>
          <w:rFonts w:ascii="Times New Roman" w:cs="Times New Roman" w:eastAsia="Times New Roman" w:hAnsi="Times New Roman"/>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74" w:lineRule="exact"/>
        <w:rPr>
          <w:sz w:val="20"/>
          <w:szCs w:val="20"/>
          <w:color w:val="auto"/>
        </w:rPr>
      </w:pPr>
    </w:p>
    <w:p>
      <w:pPr>
        <w:ind w:left="1260" w:hanging="280"/>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NGL</w:t>
      </w:r>
    </w:p>
    <w:p>
      <w:pPr>
        <w:spacing w:after="0" w:line="227" w:lineRule="exact"/>
        <w:rPr>
          <w:sz w:val="20"/>
          <w:szCs w:val="20"/>
          <w:color w:val="auto"/>
        </w:rPr>
      </w:pPr>
    </w:p>
    <w:p>
      <w:pPr>
        <w:ind w:left="1300" w:right="120"/>
        <w:spacing w:after="0" w:line="266" w:lineRule="auto"/>
        <w:rPr>
          <w:sz w:val="20"/>
          <w:szCs w:val="20"/>
          <w:color w:val="auto"/>
        </w:rPr>
      </w:pPr>
      <w:r>
        <w:rPr>
          <w:rFonts w:ascii="Times New Roman" w:cs="Times New Roman" w:eastAsia="Times New Roman" w:hAnsi="Times New Roman"/>
          <w:sz w:val="18"/>
          <w:szCs w:val="18"/>
          <w:color w:val="auto"/>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 for further discussion regarding our hedging strategies and objectives.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June 30, 2014 that would be expected from a 10% price increase or decrease is shown in the table below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1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6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6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related products</w:t>
            </w:r>
          </w:p>
        </w:tc>
        <w:tc>
          <w:tcPr>
            <w:tcW w:w="110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1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other</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fair value</w:t>
            </w:r>
          </w:p>
        </w:tc>
        <w:tc>
          <w:tcPr>
            <w:tcW w:w="110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June 30, 2014, approximately $1.3 billion, is subject to interest rate re-sets, which range from one week to three months. The average interest rate of approximately 0.9% is based upon rates in effect during the first six months ended June 30, 2014. The fair value of our interest rate derivatives is a liability of approximately $7 million as of June 30, 2014. A 10% increase in the forward LIBOR curve as of June 30, 2014 would result in an increase of approximately $17 million to the fair value of our interest rate derivatives. A 10% decrease in the forward LIBOR curve as of June 30, 2014 would result in a decrease of approximately $17 million to the fair value of our interest rate derivatives. See Note 10 to our condensed consolidated financial statements for a discussion of our interest rate risk hedging activities.</w:t>
      </w:r>
    </w:p>
    <w:p>
      <w:pPr>
        <w:sectPr>
          <w:pgSz w:w="11900" w:h="16838" w:orient="portrait"/>
          <w:cols w:equalWidth="0" w:num="1">
            <w:col w:w="11420"/>
          </w:cols>
          <w:pgMar w:left="240" w:top="121" w:right="239" w:bottom="0" w:gutter="0" w:footer="0" w:header="0"/>
        </w:sectPr>
      </w:pPr>
    </w:p>
    <w:bookmarkStart w:id="32" w:name="page33"/>
    <w:bookmarkEnd w:id="3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an asset of approximately $6 million as of June 30, 2014. A 10% increase in the exchange rate (USD-to-CAD) would result in a decrease of approximately $27 million to the fair value of our foreign currency derivatives. A 10% decrease in the exchange rate (USD-to-CAD) would result in an increase of approximately $27 million to the fair value of our foreign currency derivatives. See Note 10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under the caption “Litigation” in Note 11 to our condensed consolidated financial statements, and is incorporated herein by reference thereto.</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a discussion regarding our risk factors, see Item 1A of our 2013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right="520" w:firstLine="648"/>
        <w:spacing w:after="0" w:line="276" w:lineRule="auto"/>
        <w:rPr>
          <w:sz w:val="20"/>
          <w:szCs w:val="20"/>
          <w:color w:val="auto"/>
        </w:rPr>
      </w:pPr>
      <w:r>
        <w:rPr>
          <w:rFonts w:ascii="Times New Roman" w:cs="Times New Roman" w:eastAsia="Times New Roman" w:hAnsi="Times New Roman"/>
          <w:sz w:val="17"/>
          <w:szCs w:val="17"/>
          <w:color w:val="auto"/>
        </w:rPr>
        <w:t>In connection with our IPO and related transactions, the former owners of Plains All American GP LLC (the “Legacy Owners”) acquired the following interests (collectively, the “Stapled Interests”): (i) AAP units representing an economic limited partner interest in Plains AAP, L.P. (“AAP”);</w:t>
      </w:r>
    </w:p>
    <w:p>
      <w:pPr>
        <w:spacing w:after="0" w:line="1" w:lineRule="exact"/>
        <w:rPr>
          <w:sz w:val="20"/>
          <w:szCs w:val="20"/>
          <w:color w:val="auto"/>
        </w:rPr>
      </w:pPr>
    </w:p>
    <w:p>
      <w:pPr>
        <w:ind w:right="100" w:firstLine="8"/>
        <w:spacing w:after="0" w:line="252"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partner units representing a non-economic membership interest in PAA GP Holdings LLC (“GP Holdings”),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June 30, 2014, certain Legacy Owners exercised the Exchange Right, which resulted in the issuance of additional Class A shares. The following table reflects such Exchange Right exercises and related issuances of Class A shares:</w:t>
      </w:r>
    </w:p>
    <w:p>
      <w:pPr>
        <w:spacing w:after="0" w:line="170" w:lineRule="exact"/>
        <w:rPr>
          <w:sz w:val="20"/>
          <w:szCs w:val="20"/>
          <w:color w:val="auto"/>
        </w:rPr>
      </w:pPr>
    </w:p>
    <w:tbl>
      <w:tblPr>
        <w:tblLayout w:type="fixed"/>
        <w:tblInd w:w="8200" w:type="dxa"/>
        <w:tblCellMar>
          <w:top w:w="0" w:type="dxa"/>
          <w:left w:w="0" w:type="dxa"/>
          <w:bottom w:w="0" w:type="dxa"/>
          <w:right w:w="0" w:type="dxa"/>
        </w:tblCellMar>
      </w:tblPr>
      <w:tr>
        <w:trPr>
          <w:trHeight w:val="161"/>
        </w:trPr>
        <w:tc>
          <w:tcPr>
            <w:tcW w:w="1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AAP Units,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General Partner</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Units and</w:t>
            </w:r>
          </w:p>
        </w:tc>
        <w:tc>
          <w:tcPr>
            <w:tcW w:w="12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Class A Shares</w:t>
            </w:r>
          </w:p>
        </w:tc>
        <w:tc>
          <w:tcPr>
            <w:tcW w:w="0" w:type="dxa"/>
            <w:vAlign w:val="bottom"/>
          </w:tcPr>
          <w:p>
            <w:pPr>
              <w:spacing w:after="0"/>
              <w:rPr>
                <w:sz w:val="1"/>
                <w:szCs w:val="1"/>
                <w:color w:val="auto"/>
              </w:rPr>
            </w:pPr>
          </w:p>
        </w:tc>
      </w:tr>
      <w:tr>
        <w:trPr>
          <w:trHeight w:val="188"/>
        </w:trPr>
        <w:tc>
          <w:tcPr>
            <w:tcW w:w="13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99770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ectPr>
          <w:pgSz w:w="11900" w:h="16849" w:orient="portrait"/>
          <w:cols w:equalWidth="0" w:num="1">
            <w:col w:w="11420"/>
          </w:cols>
          <w:pgMar w:left="240" w:top="117" w:right="239" w:bottom="0" w:gutter="0" w:footer="0" w:header="0"/>
        </w:sectPr>
      </w:pPr>
    </w:p>
    <w:p>
      <w:pPr>
        <w:spacing w:after="0"/>
        <w:tabs>
          <w:tab w:leader="none" w:pos="8480" w:val="left"/>
          <w:tab w:leader="none" w:pos="10000" w:val="left"/>
        </w:tabs>
        <w:rPr>
          <w:sz w:val="20"/>
          <w:szCs w:val="20"/>
          <w:color w:val="auto"/>
        </w:rPr>
      </w:pPr>
      <w:r>
        <w:rPr>
          <w:rFonts w:ascii="Times New Roman" w:cs="Times New Roman" w:eastAsia="Times New Roman" w:hAnsi="Times New Roman"/>
          <w:sz w:val="18"/>
          <w:szCs w:val="18"/>
          <w:color w:val="auto"/>
        </w:rPr>
        <w:t>Balance at March 31, 2014</w:t>
      </w:r>
      <w:r>
        <w:rPr>
          <w:sz w:val="20"/>
          <w:szCs w:val="20"/>
          <w:color w:val="auto"/>
        </w:rPr>
        <w:tab/>
      </w:r>
      <w:r>
        <w:rPr>
          <w:rFonts w:ascii="Times New Roman" w:cs="Times New Roman" w:eastAsia="Times New Roman" w:hAnsi="Times New Roman"/>
          <w:sz w:val="18"/>
          <w:szCs w:val="18"/>
          <w:color w:val="auto"/>
        </w:rPr>
        <w:t>470,196,136</w:t>
      </w:r>
      <w:r>
        <w:rPr>
          <w:sz w:val="20"/>
          <w:szCs w:val="20"/>
          <w:color w:val="auto"/>
        </w:rPr>
        <w:tab/>
      </w:r>
      <w:r>
        <w:rPr>
          <w:rFonts w:ascii="Times New Roman" w:cs="Times New Roman" w:eastAsia="Times New Roman" w:hAnsi="Times New Roman"/>
          <w:sz w:val="18"/>
          <w:szCs w:val="18"/>
          <w:color w:val="auto"/>
        </w:rPr>
        <w:t>135,833,637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4445</wp:posOffset>
            </wp:positionV>
            <wp:extent cx="18522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ectPr>
          <w:pgSz w:w="11900" w:h="16849" w:orient="portrait"/>
          <w:cols w:equalWidth="0" w:num="1">
            <w:col w:w="11420"/>
          </w:cols>
          <w:pgMar w:left="240" w:top="117" w:right="239"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(exchanged)/issued in connection with Exchange Right exercises</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(213,000)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213,000</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469,983,136</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136,046,637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issuance of Class A shares in connection with the exercise of the Exchange Rights was exempt from the registration requirements of the Securities Act of 1933, as amended, pursuant to Section 4(2) thereof.</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exhibits listed on the accompanying Exhibit Index are filed or incorporated by reference as part of this report, and such Exhibit Index is incorporated herein by reference.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20" w:firstLine="45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40" w:type="dxa"/>
            <w:vAlign w:val="bottom"/>
            <w:gridSpan w:val="2"/>
          </w:tcPr>
          <w:p>
            <w:pPr>
              <w:ind w:left="3840"/>
              <w:spacing w:after="0"/>
              <w:rPr>
                <w:sz w:val="20"/>
                <w:szCs w:val="20"/>
                <w:color w:val="auto"/>
              </w:rPr>
            </w:pPr>
            <w:r>
              <w:rPr>
                <w:rFonts w:ascii="Times New Roman" w:cs="Times New Roman" w:eastAsia="Times New Roman" w:hAnsi="Times New Roman"/>
                <w:sz w:val="18"/>
                <w:szCs w:val="18"/>
                <w:color w:val="auto"/>
              </w:rPr>
              <w:t>PLAINS GP HOLDINGS, L.P.</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c>
          <w:tcPr>
            <w:tcW w:w="40" w:type="dxa"/>
            <w:vAlign w:val="bottom"/>
          </w:tcPr>
          <w:p>
            <w:pPr>
              <w:spacing w:after="0"/>
              <w:rPr>
                <w:sz w:val="24"/>
                <w:szCs w:val="24"/>
                <w:color w:val="auto"/>
              </w:rPr>
            </w:pPr>
          </w:p>
        </w:tc>
      </w:tr>
      <w:tr>
        <w:trPr>
          <w:trHeight w:val="432"/>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12, 2014</w:t>
            </w:r>
          </w:p>
        </w:tc>
        <w:tc>
          <w:tcPr>
            <w:tcW w:w="4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 L. Armstrong</w:t>
            </w:r>
          </w:p>
        </w:tc>
        <w:tc>
          <w:tcPr>
            <w:tcW w:w="4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5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 xml:space="preserve">Greg L. Armstrong, </w:t>
            </w:r>
            <w:r>
              <w:rPr>
                <w:rFonts w:ascii="Times New Roman" w:cs="Times New Roman" w:eastAsia="Times New Roman" w:hAnsi="Times New Roman"/>
                <w:sz w:val="18"/>
                <w:szCs w:val="18"/>
                <w:i w:val="1"/>
                <w:iCs w:val="1"/>
                <w:color w:val="auto"/>
                <w:w w:val="99"/>
              </w:rPr>
              <w:t>Chairman of the Board,</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Director</w:t>
            </w:r>
          </w:p>
        </w:tc>
        <w:tc>
          <w:tcPr>
            <w:tcW w:w="4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40" w:type="dxa"/>
            <w:vAlign w:val="bottom"/>
          </w:tcPr>
          <w:p>
            <w:pPr>
              <w:spacing w:after="0"/>
              <w:rPr>
                <w:sz w:val="20"/>
                <w:szCs w:val="20"/>
                <w:color w:val="auto"/>
              </w:rPr>
            </w:pPr>
          </w:p>
        </w:tc>
      </w:tr>
      <w:tr>
        <w:trPr>
          <w:trHeight w:val="432"/>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12, 2014</w:t>
            </w:r>
          </w:p>
        </w:tc>
        <w:tc>
          <w:tcPr>
            <w:tcW w:w="4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 Swanson</w:t>
            </w:r>
          </w:p>
        </w:tc>
        <w:tc>
          <w:tcPr>
            <w:tcW w:w="4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5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 xml:space="preserve">Al Swanson, </w:t>
            </w:r>
            <w:r>
              <w:rPr>
                <w:rFonts w:ascii="Times New Roman" w:cs="Times New Roman" w:eastAsia="Times New Roman" w:hAnsi="Times New Roman"/>
                <w:sz w:val="18"/>
                <w:szCs w:val="18"/>
                <w:i w:val="1"/>
                <w:iCs w:val="1"/>
                <w:color w:val="auto"/>
                <w:w w:val="99"/>
              </w:rPr>
              <w:t>Executive Vice President and</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40" w:type="dxa"/>
            <w:vAlign w:val="bottom"/>
          </w:tcPr>
          <w:p>
            <w:pPr>
              <w:spacing w:after="0"/>
              <w:rPr>
                <w:sz w:val="20"/>
                <w:szCs w:val="20"/>
                <w:color w:val="auto"/>
              </w:rPr>
            </w:pPr>
          </w:p>
        </w:tc>
      </w:tr>
      <w:tr>
        <w:trPr>
          <w:trHeight w:val="432"/>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12, 2014</w:t>
            </w:r>
          </w:p>
        </w:tc>
        <w:tc>
          <w:tcPr>
            <w:tcW w:w="4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Herbold</w:t>
            </w:r>
          </w:p>
        </w:tc>
        <w:tc>
          <w:tcPr>
            <w:tcW w:w="4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5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 xml:space="preserve">Chris Herbold, </w:t>
            </w:r>
            <w:r>
              <w:rPr>
                <w:rFonts w:ascii="Times New Roman" w:cs="Times New Roman" w:eastAsia="Times New Roman" w:hAnsi="Times New Roman"/>
                <w:sz w:val="18"/>
                <w:szCs w:val="18"/>
                <w:i w:val="1"/>
                <w:iCs w:val="1"/>
                <w:color w:val="auto"/>
                <w:w w:val="99"/>
              </w:rPr>
              <w:t>Vice President- Accounting and</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4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47</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4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4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4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4"/>
                <w:szCs w:val="24"/>
                <w:color w:val="auto"/>
              </w:rPr>
            </w:pP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Certificate of Limited Partnership of Plains GP Holdings, L.P. (incorporated by reference to Exhibit 3.1 to the Registration</w:t>
            </w:r>
          </w:p>
        </w:tc>
        <w:tc>
          <w:tcPr>
            <w:tcW w:w="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Statement on Form S-1 (333-190227) filed July 29, 2013).</w:t>
            </w:r>
          </w:p>
        </w:tc>
        <w:tc>
          <w:tcPr>
            <w:tcW w:w="40" w:type="dxa"/>
            <w:vAlign w:val="bottom"/>
          </w:tcPr>
          <w:p>
            <w:pPr>
              <w:spacing w:after="0"/>
              <w:rPr>
                <w:sz w:val="20"/>
                <w:szCs w:val="20"/>
                <w:color w:val="auto"/>
              </w:rPr>
            </w:pP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Amended and Restated Limited Partnership Agreement of Plains GP Holdings, L.P. (incorporated by reference to Exhibit 3.1 to</w:t>
            </w:r>
          </w:p>
        </w:tc>
        <w:tc>
          <w:tcPr>
            <w:tcW w:w="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Current Report on Form 8-K filed October 25, 2013).</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Certificate of Formation of PAA GP Holdings LLC (incorporated by reference to Exhibit 3.3 to the Registration Statement on</w:t>
            </w:r>
          </w:p>
        </w:tc>
        <w:tc>
          <w:tcPr>
            <w:tcW w:w="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S-1 (333-190227) filed July 29, 2013).</w:t>
            </w: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Amended and Restated Limited Liability Company Agreement of PAA GP Holdings LLC (incorporated by reference to</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-2171065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-2171065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3.2 to the Current Report on Form 8-K filed October 25, 2013).</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No. 1 to Amended and Restated Limited Liability Company Agreement of PAA GP Holdings LLC, dated as of</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2013 (incorporated by reference to Exhibit 3.2 to the Current Report on Form 8-K filed December 31, 2013).</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Fourth Amended and Restated Agreement of Limited Partnership of Plains All American Pipeline, L.P. dated as of May 17, 2012</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by reference to Exhibit 3.1 to PAA’s Current Report on Form 8-K filed May 23, 2012).</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No. 1 dated October 1, 2012 to the Fourth Amended and Restated Agreement of Limited Partnership of Plains All</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(incorporated by reference to Exhibit 3.1 to PAA’s Current Report on Form 8-K filed October 2, 2012).</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No. 2 dated December 31, 2013 to the Fourth Amended and Restated Agreement of Limited Partnership of Plains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American Pipeline, L.P. (incorporated by reference to Exhibit 3.3 to the Current Report on Form 8-K filed December 31,</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2013).</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Sixth Amended and Restated Limited Liability Company Agreement of Plains All American GP LLC dated October 21, 2013</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by reference to Exhibit 3.4 to the Current Report on Form 8-K filed October 25, 2013).</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Seventh Amended and Restated Limited Partnership Agreement of Plains AAP, L.P. dated October 21, 2013 (incorporated by</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to Exhibit 3.3 to the Current Report on Form 8-K filed October 25, 2013).</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No. 1 dated December 31, 2013 to Seventh Amended and Restated Limited Partnership Agreement of Plains AAP,</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L.P. (incorporated by reference to Exhibit 3.1 to the Current Report on Form 8-K filed December 31, 2013).</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Liability Company Agreement of PAA GP LLC dated December 28, 2007 (incorporated by reference to Exhibit 3.3 to</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PAA’s Current Report on Form 8-K filed January 4, 2008).</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Indenture dated September 25, 2002 among Plains All American Pipeline, L.P., PAA Finance Corp. and Wachovia Bank,</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National Association, as trustee (incorporated by reference to Exhibit 4.1 to PAA’s Quarterly Report on Form 10-Q for the</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quarter ended September 30, 2002).</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Wachovia Bank, National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Association, as trustee (incorporated by reference to Exhibit 4.5 to PAA’s Registration Statement on Form S-4, File No. 333-</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121168).</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Fifth Supplemental Indenture (Series A and Series B 5.25% Senior Notes due 2015) dated May 27, 2005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Wachovia Bank, National</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Association, as trustee (incorporated by reference to Exhibit 4.1 to PAA’s Current Report on Form 8-K filed May 31, 2005).</w:t>
            </w:r>
          </w:p>
        </w:tc>
      </w:tr>
      <w:tr>
        <w:trPr>
          <w:trHeight w:val="348"/>
        </w:trPr>
        <w:tc>
          <w:tcPr>
            <w:tcW w:w="12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4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48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Wachovia Bank, National</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Association, as trustee (incorporated by reference to Exhibit 4.1 to PAA’s Current Report on Form 8-K filed May 12, 2006).</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U.S. Bank National Association, as</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 (incorporated by reference to Exhibit 4.1 to PAA’s Current Report on Form 8-K filed October 30, 2006).</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U.S. Bank National Association, as</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 (incorporated by reference to Exhibit 4.2 to PAA’s Current Report on Form 8-K filed October 30, 2006).</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Thirteenth Supplemental Indenture (Series A and Series B 6.5% Senior Notes due 2018) dated April 23, 2008 among Plains All</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the Subsidiary Guarantors named therein and U.S. Bank National Association, as</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 (incorporated by reference to Exhibit 4.1 to PAA’s Current Report on Form 8-K filed April 23, 2008).</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Fifteenth Supplemental Indenture (8.75% Senior Notes due 2019) dated April 20, 2009 among Plains All American Pipeline,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L.P., PAA Finance Corp., the Subsidiary Guarantors named therein and U.S. Bank National Association, as trustee (incorporated</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 reference to Exhibit 4.1 to PAA’s Current Report on Form 8-K filed April 20, 2009).</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L.P., PAA Finance Corp., the Subsidiary Guarantors named therein and U.S. Bank National Association, as trustee</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by reference to Exhibit 4.1 to PAA’s Current Report on Form 8-K filed September 4, 2009).</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Eighteenth Supplemental Indenture (3.95% Senior Notes due 2015) dated July 14, 2010 among Plains All American Pipeline,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L.P., PAA Finance Corp., the Subsidiary Guarantors named therein and U.S. Bank National Association, as trustee (incorporated</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 reference to Exhibit 4.1 to PAA’s Current Report on Form 8-K filed July 13, 2010).</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Nineteenth Supplemental Indenture (5.00% Senior Notes due 2021) dated January 14, 2011 among Plains All American Pipeline,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L.P., PAA Finance Corp., the Subsidiary Guarantors named therein and U.S. Bank National Association, as trustee (incorporated</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 reference to Exhibit 4.1 to PAA’s Current Report on Form 8-K filed January 11,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-4778375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-4778375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Twentieth Supplemental Indenture (3.65% Senior Notes due 2022) dated March 22, 2012 among Plains All American Pipeline,</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L.P., PAA Finance Corp and U.S. Bank National Association, as trustee (incorporated by reference to Exhibit 4.1 to PAA’s</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filed March 26, 2012).</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Twenty-First Supplemental Indenture (5.15% Senior Notes due 2042) dated March 22, 2012 among Plains All American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L.P., PAA Finance Corp and U.S. Bank National Association, as trustee (incorporated by reference to Exhibit 4.3 to</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PAA’s Current Report on Form 8-K filed March 26, 2012).</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Twenty-Second Supplemental Indenture (2.85% Senior Notes due 2023) dated December 10, 2012,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and U.S. Bank National Association, as trustee (incorporated by reference to</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4.1 to PAA’s Current Report on Form 8-K filed December 12, 2012).</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Twenty-Third Supplemental Indenture (4.30% Senior Notes due 2043) dated December 10, 2012,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and U.S. Bank National Association, as trustee (incorporated by reference to</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4.3 to PAA’s Current Report on Form 8-K filed December 12, 2012).</w:t>
            </w:r>
          </w:p>
        </w:tc>
      </w:tr>
      <w:tr>
        <w:trPr>
          <w:trHeight w:val="348"/>
        </w:trPr>
        <w:tc>
          <w:tcPr>
            <w:tcW w:w="1280" w:type="dxa"/>
            <w:vAlign w:val="bottom"/>
            <w:tcBorders>
              <w:bottom w:val="single" w:sz="8" w:color="010101"/>
            </w:tcBorders>
            <w:gridSpan w:val="2"/>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r>
      <w:tr>
        <w:trPr>
          <w:trHeight w:val="523"/>
        </w:trPr>
        <w:tc>
          <w:tcPr>
            <w:tcW w:w="140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48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434"/>
        </w:trPr>
        <w:tc>
          <w:tcPr>
            <w:tcW w:w="3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4.16</w:t>
            </w:r>
          </w:p>
        </w:tc>
        <w:tc>
          <w:tcPr>
            <w:tcW w:w="9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Twenty-Fourth Supplemental Indenture (3.85% Senior Notes due 2023) dated August 15, 2013, by and among Plains All</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American Pipeline, L.P., PAA Finance Corp., and U.S. Bank National Association, as trustee (incorporated by reference to</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4.1 to PAA’s Current Report on Form 8-K filed August 15, 2013).</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Twenty-Fifth Supplemental Indenture (4.70% Senior Notes due 2044) dated April 23, 2014, by and among Plains All American</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Pipeline, L.P., PAA Finance Corp., and U.S. Bank National Association, as trustee (incorporated by reference to Exhibit 4.1 to</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Current Report on Form 8-K filed April 29, 2014).</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LTIP Grant Letter (PAGP Audit Committee Members) (incorporated by reference to Exhibit 10.1 to the Quarterly</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 on Form 10-Q for the quarter ended March 31, 2014).</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w:t>
            </w:r>
          </w:p>
        </w:tc>
      </w:tr>
      <w:tr>
        <w:trPr>
          <w:trHeight w:val="432"/>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-4915535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-4915535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COMPUTATION OF RATIO OF EARNINGS TO FIXED CHARGES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ratio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8"/>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8"/>
            <w:vMerge w:val="continue"/>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EARNINGS </w:t>
            </w:r>
            <w:r>
              <w:rPr>
                <w:rFonts w:ascii="Times New Roman" w:cs="Times New Roman" w:eastAsia="Times New Roman" w:hAnsi="Times New Roman"/>
                <w:sz w:val="22"/>
                <w:szCs w:val="22"/>
                <w:b w:val="1"/>
                <w:bCs w:val="1"/>
                <w:color w:val="auto"/>
                <w:vertAlign w:val="superscript"/>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Pre-tax income from continuing operations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before noncontrolling interest and income from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investees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1,019</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Distributed income of equity investees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Amortization of capitalized interest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Earnings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FIXED CHARGES </w:t>
            </w:r>
            <w:r>
              <w:rPr>
                <w:rFonts w:ascii="Times New Roman" w:cs="Times New Roman" w:eastAsia="Times New Roman" w:hAnsi="Times New Roman"/>
                <w:sz w:val="23"/>
                <w:szCs w:val="23"/>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expensed and capitalized </w:t>
            </w:r>
            <w:r>
              <w:rPr>
                <w:rFonts w:ascii="Times New Roman" w:cs="Times New Roman" w:eastAsia="Times New Roman" w:hAnsi="Times New Roman"/>
                <w:sz w:val="23"/>
                <w:szCs w:val="23"/>
                <w:color w:val="auto"/>
                <w:vertAlign w:val="superscript"/>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debt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Portion of rent expense related to interest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Charges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4.24x</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4.34x</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3.95x</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4.05x</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2.49x</w:t>
            </w:r>
          </w:p>
        </w:tc>
        <w:tc>
          <w:tcPr>
            <w:tcW w:w="2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40" w:hanging="332"/>
        <w:spacing w:after="0" w:line="23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98" w:lineRule="exact"/>
        <w:rPr>
          <w:rFonts w:ascii="Times New Roman" w:cs="Times New Roman" w:eastAsia="Times New Roman" w:hAnsi="Times New Roman"/>
          <w:sz w:val="23"/>
          <w:szCs w:val="23"/>
          <w:color w:val="auto"/>
          <w:vertAlign w:val="superscript"/>
        </w:rPr>
      </w:pPr>
    </w:p>
    <w:p>
      <w:pPr>
        <w:ind w:left="340" w:right="200" w:hanging="332"/>
        <w:spacing w:after="0" w:line="22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 costs attributable to borrowings for hedged inventory purchases of $7 million for the six months ended June 30, 2014 and $30 million, $12 million, $20 million, $17 million and $11 million for the years ended December 31, 2013, 2012, 2011, 2010 and 2009, respectively.</w:t>
      </w:r>
    </w:p>
    <w:p>
      <w:pPr>
        <w:spacing w:after="0" w:line="168"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8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40" w:firstLine="656"/>
        <w:spacing w:after="0" w:line="266" w:lineRule="auto"/>
        <w:tabs>
          <w:tab w:leader="none" w:pos="13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right="360" w:firstLine="656"/>
        <w:spacing w:after="0" w:line="282" w:lineRule="auto"/>
        <w:tabs>
          <w:tab w:leader="none" w:pos="13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20" w:firstLine="656"/>
        <w:spacing w:after="0" w:line="266" w:lineRule="auto"/>
        <w:tabs>
          <w:tab w:leader="none" w:pos="1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580" w:firstLine="656"/>
        <w:spacing w:after="0" w:line="282" w:lineRule="auto"/>
        <w:tabs>
          <w:tab w:leader="none" w:pos="13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60" w:firstLine="656"/>
        <w:spacing w:after="0" w:line="282" w:lineRule="auto"/>
        <w:tabs>
          <w:tab w:leader="none" w:pos="13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40" w:firstLine="656"/>
        <w:spacing w:after="0" w:line="266" w:lineRule="auto"/>
        <w:tabs>
          <w:tab w:leader="none" w:pos="1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320" w:firstLine="708"/>
        <w:spacing w:after="0" w:line="282" w:lineRule="auto"/>
        <w:tabs>
          <w:tab w:leader="none" w:pos="13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ind w:right="320" w:firstLine="656"/>
        <w:spacing w:after="0" w:line="266" w:lineRule="auto"/>
        <w:tabs>
          <w:tab w:leader="none" w:pos="13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580" w:firstLine="656"/>
        <w:spacing w:after="0" w:line="282" w:lineRule="auto"/>
        <w:tabs>
          <w:tab w:leader="none" w:pos="13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60" w:firstLine="656"/>
        <w:spacing w:after="0" w:line="282" w:lineRule="auto"/>
        <w:tabs>
          <w:tab w:leader="none" w:pos="13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 Swanson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449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80" w:firstLine="656"/>
        <w:spacing w:after="0" w:line="266" w:lineRule="auto"/>
        <w:tabs>
          <w:tab w:leader="none" w:pos="13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June 30, 2014 and filed with the Securities and Exchange Commission on the date hereof (the “Report”) by the Company fully complies with the requirements of Section 13(a) or 15(d)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Date: August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GP Holdings, L.P. (the “Company”), hereby certify that:</w:t>
      </w:r>
    </w:p>
    <w:p>
      <w:pPr>
        <w:spacing w:after="0" w:line="225" w:lineRule="exact"/>
        <w:rPr>
          <w:sz w:val="20"/>
          <w:szCs w:val="20"/>
          <w:color w:val="auto"/>
        </w:rPr>
      </w:pPr>
    </w:p>
    <w:p>
      <w:pPr>
        <w:ind w:right="80" w:firstLine="656"/>
        <w:spacing w:after="0" w:line="266" w:lineRule="auto"/>
        <w:tabs>
          <w:tab w:leader="none" w:pos="13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June 30, 2014 and filed with the Securities and Exchange Commission on the date hereof (the “Report”) by the Company fully complies with the requirements of Section 13(a) or 15(d)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Al Swanson</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Date: August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3"/>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lowerRoman"/>
      <w:start w:val="4"/>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Roman"/>
      <w:start w:val="2"/>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3"/>
    </w:lvl>
  </w:abstractNum>
  <w:abstractNum w:abstractNumId="35">
    <w:nsid w:val="2D517796"/>
    <w:multiLevelType w:val="hybridMultilevel"/>
    <w:lvl w:ilvl="0">
      <w:lvlJc w:val="left"/>
      <w:lvlText w:val="%1."/>
      <w:numFmt w:val="decimal"/>
      <w:start w:val="5"/>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lowerLetter"/>
      <w:start w:val="1"/>
    </w:lvl>
    <w:lvl w:ilvl="1">
      <w:lvlJc w:val="left"/>
      <w:lvlText w:val="(%2)"/>
      <w:numFmt w:val="lowerLetter"/>
      <w:start w:val="3"/>
    </w:lvl>
  </w:abstractNum>
  <w:abstractNum w:abstractNumId="39">
    <w:nsid w:val="70A64E2A"/>
    <w:multiLevelType w:val="hybridMultilevel"/>
    <w:lvl w:ilvl="0">
      <w:lvlJc w:val="left"/>
      <w:lvlText w:val="(%1)"/>
      <w:numFmt w:val="lowerLetter"/>
      <w:start w:val="4"/>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2020-01-28T06:50:40Z</dcterms:created>
  <dcterms:modified xsi:type="dcterms:W3CDTF">2020-01-28T06:50:40Z</dcterms:modified>
</cp:coreProperties>
</file>