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13,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1260" w:right="20" w:hanging="1241"/>
        <w:spacing w:after="0" w:line="282" w:lineRule="auto"/>
        <w:tabs>
          <w:tab w:leader="none" w:pos="124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Phantom Unit Grants to Named Executive Officers</w:t>
      </w:r>
    </w:p>
    <w:p>
      <w:pPr>
        <w:spacing w:after="0" w:line="225" w:lineRule="exact"/>
        <w:rPr>
          <w:sz w:val="20"/>
          <w:szCs w:val="20"/>
          <w:color w:val="auto"/>
        </w:rPr>
      </w:pPr>
    </w:p>
    <w:p>
      <w:pPr>
        <w:ind w:right="200" w:firstLine="414"/>
        <w:spacing w:after="0" w:line="259" w:lineRule="auto"/>
        <w:rPr>
          <w:sz w:val="20"/>
          <w:szCs w:val="20"/>
          <w:color w:val="auto"/>
        </w:rPr>
      </w:pPr>
      <w:r>
        <w:rPr>
          <w:rFonts w:ascii="Arial" w:cs="Arial" w:eastAsia="Arial" w:hAnsi="Arial"/>
          <w:sz w:val="18"/>
          <w:szCs w:val="18"/>
          <w:color w:val="auto"/>
        </w:rPr>
        <w:t>On August 13, 2020, the board of directors (the “Board”) of PAA GP Holdings LLC (“GP Holdings”), the general partner of Plains All American Pipeline, L.P. (“PAA”), approved grants of phantom units to certain of those individuals who were identified as Named Executive Officers in PAA’s 2020 proxy statement. These phantom unit grants were consistent with the annual LTIP targets disclosed in the 2020 proxy statement. The annual LTIP target values and resulting LTIP grants approved by the Board are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Annual LTIP Award Target</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vMerge w:val="restart"/>
          </w:tcPr>
          <w:p>
            <w:pPr>
              <w:ind w:left="220"/>
              <w:spacing w:after="0"/>
              <w:rPr>
                <w:sz w:val="20"/>
                <w:szCs w:val="20"/>
                <w:color w:val="auto"/>
              </w:rPr>
            </w:pPr>
            <w:r>
              <w:rPr>
                <w:rFonts w:ascii="Arial" w:cs="Arial" w:eastAsia="Arial" w:hAnsi="Arial"/>
                <w:sz w:val="18"/>
                <w:szCs w:val="18"/>
                <w:color w:val="auto"/>
              </w:rPr>
              <w:t>No. of Phantom</w:t>
            </w:r>
          </w:p>
        </w:tc>
        <w:tc>
          <w:tcPr>
            <w:tcW w:w="0" w:type="dxa"/>
            <w:vAlign w:val="bottom"/>
          </w:tcPr>
          <w:p>
            <w:pPr>
              <w:spacing w:after="0"/>
              <w:rPr>
                <w:sz w:val="1"/>
                <w:szCs w:val="1"/>
                <w:color w:val="auto"/>
              </w:rPr>
            </w:pPr>
          </w:p>
        </w:tc>
      </w:tr>
      <w:tr>
        <w:trPr>
          <w:trHeight w:val="179"/>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2"/>
          </w:tcPr>
          <w:p>
            <w:pPr>
              <w:jc w:val="center"/>
              <w:ind w:right="260"/>
              <w:spacing w:after="0" w:line="179" w:lineRule="exact"/>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5"/>
                <w:szCs w:val="15"/>
                <w:color w:val="auto"/>
              </w:rPr>
            </w:pPr>
          </w:p>
        </w:tc>
        <w:tc>
          <w:tcPr>
            <w:tcW w:w="1680" w:type="dxa"/>
            <w:vAlign w:val="bottom"/>
            <w:gridSpan w:val="2"/>
          </w:tcPr>
          <w:p>
            <w:pPr>
              <w:ind w:left="20"/>
              <w:spacing w:after="0" w:line="179" w:lineRule="exact"/>
              <w:rPr>
                <w:sz w:val="20"/>
                <w:szCs w:val="20"/>
                <w:color w:val="auto"/>
              </w:rPr>
            </w:pPr>
            <w:r>
              <w:rPr>
                <w:rFonts w:ascii="Arial" w:cs="Arial" w:eastAsia="Arial" w:hAnsi="Arial"/>
                <w:sz w:val="18"/>
                <w:szCs w:val="18"/>
                <w:color w:val="auto"/>
              </w:rPr>
              <w:t>2020 Annual LTIP</w:t>
            </w: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506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Name and Title</w:t>
            </w:r>
          </w:p>
        </w:tc>
        <w:tc>
          <w:tcPr>
            <w:tcW w:w="100" w:type="dxa"/>
            <w:vAlign w:val="bottom"/>
            <w:tcBorders>
              <w:bottom w:val="single" w:sz="8" w:color="CCEEFF"/>
            </w:tcBorders>
          </w:tcPr>
          <w:p>
            <w:pPr>
              <w:spacing w:after="0"/>
              <w:rPr>
                <w:sz w:val="23"/>
                <w:szCs w:val="23"/>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(as a percentage of base salary)</w:t>
            </w:r>
          </w:p>
        </w:tc>
        <w:tc>
          <w:tcPr>
            <w:tcW w:w="26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Award Value</w:t>
            </w:r>
          </w:p>
        </w:tc>
        <w:tc>
          <w:tcPr>
            <w:tcW w:w="2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10"/>
              <w:spacing w:after="0" w:line="267" w:lineRule="exact"/>
              <w:rPr>
                <w:sz w:val="20"/>
                <w:szCs w:val="20"/>
                <w:color w:val="auto"/>
              </w:rPr>
            </w:pPr>
            <w:r>
              <w:rPr>
                <w:rFonts w:ascii="Arial" w:cs="Arial" w:eastAsia="Arial" w:hAnsi="Arial"/>
                <w:sz w:val="18"/>
                <w:szCs w:val="18"/>
                <w:color w:val="auto"/>
              </w:rPr>
              <w:t>Units Granted</w:t>
            </w:r>
            <w:r>
              <w:rPr>
                <w:rFonts w:ascii="Arial" w:cs="Arial" w:eastAsia="Arial" w:hAnsi="Arial"/>
                <w:sz w:val="29"/>
                <w:szCs w:val="29"/>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Willie Chiang, Chief Executive Officer</w:t>
            </w:r>
          </w:p>
        </w:tc>
        <w:tc>
          <w:tcPr>
            <w:tcW w:w="1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4"/>
              </w:rPr>
              <w:t>3,000,000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w w:val="98"/>
              </w:rPr>
              <w:t>Al Swanson, Executive Vice President and Chief Financial Officer</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ind w:left="760"/>
              <w:spacing w:after="0"/>
              <w:rPr>
                <w:sz w:val="20"/>
                <w:szCs w:val="20"/>
                <w:color w:val="auto"/>
              </w:rPr>
            </w:pPr>
            <w:r>
              <w:rPr>
                <w:rFonts w:ascii="Arial" w:cs="Arial" w:eastAsia="Arial" w:hAnsi="Arial"/>
                <w:sz w:val="18"/>
                <w:szCs w:val="18"/>
                <w:color w:val="auto"/>
              </w:rPr>
              <w:t>1,200,000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150,380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Richard McGee, Executive Vice President, General Counsel and</w:t>
            </w:r>
          </w:p>
        </w:tc>
        <w:tc>
          <w:tcPr>
            <w:tcW w:w="2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Secretary</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1,200,000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Chris Chandler, Executive Vice President and Chief Operating</w:t>
            </w: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ind w:left="760"/>
              <w:spacing w:after="0"/>
              <w:rPr>
                <w:sz w:val="20"/>
                <w:szCs w:val="20"/>
                <w:color w:val="auto"/>
              </w:rPr>
            </w:pPr>
            <w:r>
              <w:rPr>
                <w:rFonts w:ascii="Arial" w:cs="Arial" w:eastAsia="Arial" w:hAnsi="Arial"/>
                <w:sz w:val="18"/>
                <w:szCs w:val="18"/>
                <w:color w:val="auto"/>
              </w:rPr>
              <w:t>1,200,000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150,380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Goebel, Executive Vice President – Commercial</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1,200,000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150,380</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80" w:hanging="332"/>
        <w:spacing w:after="0"/>
        <w:tabs>
          <w:tab w:leader="none" w:pos="38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Based on a volume weighted average price per unit for a 10-day period preceding the date of grant of $7.98.</w:t>
      </w:r>
    </w:p>
    <w:p>
      <w:pPr>
        <w:spacing w:after="0" w:line="202" w:lineRule="exact"/>
        <w:rPr>
          <w:sz w:val="20"/>
          <w:szCs w:val="20"/>
          <w:color w:val="auto"/>
        </w:rPr>
      </w:pPr>
    </w:p>
    <w:p>
      <w:pPr>
        <w:ind w:right="100" w:firstLine="364"/>
        <w:spacing w:after="0" w:line="287" w:lineRule="auto"/>
        <w:rPr>
          <w:sz w:val="20"/>
          <w:szCs w:val="20"/>
          <w:color w:val="auto"/>
        </w:rPr>
      </w:pPr>
      <w:r>
        <w:rPr>
          <w:rFonts w:ascii="Arial" w:cs="Arial" w:eastAsia="Arial" w:hAnsi="Arial"/>
          <w:sz w:val="16"/>
          <w:szCs w:val="16"/>
          <w:color w:val="auto"/>
        </w:rPr>
        <w:t>The phantom units will vest (become payable 1-for-1 in common units of PAA) as follows: (a) Tranche 1, consisting of 50% of the number of phantom units granted, will vest on the August 2023 distribution date assuming continued service through such date; (b) Tranche 2, consisting of 25% of the number of phantom units granted (assuming 100% payout at target), will potentially vest on the August 2023 distribution date at a scaled payout range of between 0% to 200% based on PAA’s total shareholder return (TSR) over the three-year period ending June 30, 2023 compared to the TSR of a selected peer group that includes the S&amp;P 500 Index and the Alerian MLP Index (AMZ) as additional comparators; and (c) Tranche 3, consisting of 25% of the number of phantom units granted (assuming 100% payout at target), will potentially vest on the August 2023 distribution date at a scaled payout range of between 0% to 200% based on (i) PAA achieving cumulative distributable cash flow per common unit equivalent of $6.00 over the three-year period ending June 30, 2023 and (ii) PAA achieving a leverage ratio as of June 30, 2023 consistent with the leverage ratio assumed in its long term plan as of August 2020. The phantom units include tandem distribution equivalent rights (“DERs”) that vest as follows: (a) DERs associated with Tranche 1 will accrue for the first year and be paid in cash in a lump sum on the August 2021 distribution date; beginning in November 2021, DERs associated with Tranche 1 will be paid quarterly until the related phantom units vest; and (b) DERs associated with Tranches 2 and 3 will accrue during the three-year vesting period and be paid in cash in a lump sum on the August 2023 distribution date with respect to each phantom unit that vests on such 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720" w:val="left"/>
          <w:tab w:leader="none" w:pos="6180" w:val="left"/>
        </w:tabs>
        <w:rPr>
          <w:sz w:val="20"/>
          <w:szCs w:val="20"/>
          <w:color w:val="auto"/>
        </w:rPr>
      </w:pPr>
      <w:r>
        <w:rPr>
          <w:rFonts w:ascii="Arial" w:cs="Arial" w:eastAsia="Arial" w:hAnsi="Arial"/>
          <w:sz w:val="18"/>
          <w:szCs w:val="18"/>
          <w:color w:val="auto"/>
        </w:rPr>
        <w:t>Date: August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Name:</w:t>
        <w:tab/>
        <w:t>Richard McGee</w:t>
      </w:r>
    </w:p>
    <w:p>
      <w:pPr>
        <w:spacing w:after="0" w:line="2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2020-08-19T15:32:21Z</dcterms:created>
  <dcterms:modified xsi:type="dcterms:W3CDTF">2020-08-19T15:32:21Z</dcterms:modified>
</cp:coreProperties>
</file>