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McGee Richard K.</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EVP, General Counsel &amp; Sec.</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08/14/2019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46,000</w:t>
            </w:r>
          </w:p>
        </w:tc>
        <w:tc>
          <w:tcPr>
            <w:tcW w:w="45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258,574</w:t>
            </w:r>
          </w:p>
        </w:tc>
        <w:tc>
          <w:tcPr>
            <w:tcW w:w="9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w:t>
            </w:r>
          </w:p>
        </w:tc>
        <w:tc>
          <w:tcPr>
            <w:tcW w:w="90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08/14/2019</w:t>
            </w:r>
          </w:p>
        </w:tc>
        <w:tc>
          <w:tcPr>
            <w:tcW w:w="77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3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18,101</w:t>
            </w:r>
          </w:p>
        </w:tc>
        <w:tc>
          <w:tcPr>
            <w:tcW w:w="4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21.75</w:t>
            </w:r>
            <w:r>
              <w:rPr/>
              <w:t xml:space="preserve"> </w:t>
            </w:r>
          </w:p>
        </w:tc>
        <w:tc>
          <w:tcPr>
            <w:tcW w:w="11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240,473</w:t>
            </w:r>
          </w:p>
        </w:tc>
        <w:tc>
          <w:tcPr>
            <w:tcW w:w="9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524" w:type="dxa"/>
        <w:jc w:val="left"/>
        <w:tblInd w:w="0" w:type="dxa"/>
        <w:tblCellMar>
          <w:top w:w="60" w:type="dxa"/>
          <w:left w:w="60" w:type="dxa"/>
          <w:bottom w:w="60" w:type="dxa"/>
          <w:right w:w="60" w:type="dxa"/>
        </w:tblCellMar>
      </w:tblPr>
      <w:tblGrid>
        <w:gridCol w:w="87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52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46,000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08/14/2019</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46,000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46,000</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0"/>
                <w:highlight w:val="white"/>
              </w:rPr>
              <w:t>Phantom Units</w:t>
            </w:r>
            <w:r>
              <w:rPr>
                <w:rFonts w:ascii="Times;serif" w:hAnsi="Times;serif"/>
                <w:color w:val="008000"/>
                <w:position w:val="7"/>
                <w:sz w:val="16"/>
                <w:sz w:val="20"/>
                <w:highlight w:val="white"/>
              </w:rPr>
              <w:t>(1)</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08/15/2019</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50,300</w:t>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Units</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50,300</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50,300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Phantom Units granted under Long-Term Incentive Plan (includes distribution equivalent rights payable in cash).</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One Common Unit is deliverable, upon vesting, for each Phantom Unit that vests.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N/A</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Phantom Units will vest 50% on the August 2022 distribution date and 50% on the later of the August 2022 distribution date and the first distribution date following PAA's achievement of distributable cash flow ("DCF") per common unit of at least $2.65 on a trailing four quarter basis. The applicable trailing four quarter period for determining whether the requisite DCF per common unit has been achieved for vesting of phantom units may not begin until after December 31, 2020. The associated DERs will vest (i) 50% on the August 2020 distribution date and (ii) 50% on the first distribution date following January 1, 2021 on which PAA achieves DCF per common unit of at least $2.50 on a trailing four quarter basis.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Richard K. McGee</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08/16/2019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490023"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714</Words>
  <CharactersWithSpaces>4410</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