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348089d8k.htm"/>
      <w:bookmarkStart w:id="1" w:name="ksd348089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May 9,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20"/>
        </w:rPr>
      </w:pPr>
      <w:r>
        <w:rPr>
          <w:rFonts w:ascii="Times New Roman" w:hAnsi="Times New Roman"/>
          <w:b/>
          <w:sz w:val="20"/>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18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On May 9, 2012, Plains All American Pipeline, L.P. (the </w:t>
      </w:r>
      <w:r>
        <w:rPr>
          <w:rFonts w:ascii="Times New Roman" w:hAnsi="Times New Roman"/>
          <w:b/>
          <w:sz w:val="20"/>
        </w:rPr>
        <w:t>Partnership</w:t>
      </w:r>
      <w:r>
        <w:rPr>
          <w:rFonts w:ascii="Times New Roman" w:hAnsi="Times New Roman"/>
          <w:sz w:val="20"/>
        </w:rPr>
        <w:t>) entered into an Equity Distribution Agreement (the </w:t>
      </w:r>
      <w:r>
        <w:rPr>
          <w:rFonts w:ascii="Times New Roman" w:hAnsi="Times New Roman"/>
          <w:b/>
          <w:sz w:val="20"/>
        </w:rPr>
        <w:t>Agreement</w:t>
      </w:r>
      <w:r>
        <w:rPr>
          <w:rFonts w:ascii="Times New Roman" w:hAnsi="Times New Roman"/>
          <w:sz w:val="20"/>
        </w:rPr>
        <w:t>) with Citigroup Global Markets Inc. (</w:t>
      </w:r>
      <w:r>
        <w:rPr>
          <w:rFonts w:ascii="Times New Roman" w:hAnsi="Times New Roman"/>
          <w:b/>
          <w:sz w:val="20"/>
        </w:rPr>
        <w:t>Citigroup</w:t>
      </w:r>
      <w:r>
        <w:rPr>
          <w:rFonts w:ascii="Times New Roman" w:hAnsi="Times New Roman"/>
          <w:sz w:val="20"/>
        </w:rPr>
        <w:t>). Pursuant to the terms of the Agreement, the Partnership may sell from time to time through Citigroup, as the Partnerships sales agent, common units representing limited partner interests having an aggregate offering price of up to $300,000,000 (the </w:t>
      </w:r>
      <w:r>
        <w:rPr>
          <w:rFonts w:ascii="Times New Roman" w:hAnsi="Times New Roman"/>
          <w:b/>
          <w:sz w:val="20"/>
        </w:rPr>
        <w:t>Units</w:t>
      </w:r>
      <w:r>
        <w:rPr>
          <w:rFonts w:ascii="Times New Roman" w:hAnsi="Times New Roman"/>
          <w:sz w:val="20"/>
        </w:rPr>
        <w:t xml:space="preserve">). Sales of the Units, if any, will be made by means of ordinary brokers transactions on the New York Stock Exchange at market prices, in block transactions or as otherwise agreed by the Partnership and Citigroup. </w:t>
      </w:r>
    </w:p>
    <w:p>
      <w:pPr>
        <w:pStyle w:val="TextBody"/>
        <w:spacing w:before="180" w:after="0"/>
        <w:rPr>
          <w:rFonts w:ascii="Times New Roman" w:hAnsi="Times New Roman"/>
          <w:sz w:val="20"/>
        </w:rPr>
      </w:pPr>
      <w:r>
        <w:rPr>
          <w:rFonts w:ascii="Times New Roman" w:hAnsi="Times New Roman"/>
          <w:sz w:val="20"/>
        </w:rPr>
        <w:t xml:space="preserve">Under the terms of the Agreement, the Partnership may also sell Units from time to time to Citigroup as principal for its own account at a price to be agreed upon at the time of sale. Any sale of Units to Citigroup as principal would be pursuant to the terms of a separate terms agreement between the Partnership and Citigroup. </w:t>
      </w:r>
    </w:p>
    <w:p>
      <w:pPr>
        <w:pStyle w:val="TextBody"/>
        <w:spacing w:before="180" w:after="0"/>
        <w:rPr>
          <w:rFonts w:ascii="Times New Roman" w:hAnsi="Times New Roman"/>
          <w:sz w:val="20"/>
        </w:rPr>
      </w:pPr>
      <w:r>
        <w:rPr>
          <w:rFonts w:ascii="Times New Roman" w:hAnsi="Times New Roman"/>
          <w:sz w:val="20"/>
        </w:rPr>
        <w:t xml:space="preserve">The Units will be issued pursuant to the Partnerships existing effective shelf registration statement on Form S-3 (Registration No. 333-162476). </w:t>
      </w:r>
    </w:p>
    <w:p>
      <w:pPr>
        <w:pStyle w:val="TextBody"/>
        <w:spacing w:before="180" w:after="0"/>
        <w:rPr>
          <w:rFonts w:ascii="Times New Roman" w:hAnsi="Times New Roman"/>
          <w:sz w:val="20"/>
        </w:rPr>
      </w:pPr>
      <w:r>
        <w:rPr>
          <w:rFonts w:ascii="Times New Roman" w:hAnsi="Times New Roman"/>
          <w:sz w:val="20"/>
        </w:rPr>
        <w:t xml:space="preserve">The foregoing description of the Agreement does not purport to be complete and is qualified in its entirety by reference to the full text of the Agreement, a copy of which is filed herewith as Exhibit 1.1 and is incorporated by reference herein. Legal opinions relating to the Units are filed herewith as Exhibits 5.1 and 8.1.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185"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4"/>
        <w:gridCol w:w="526"/>
        <w:gridCol w:w="9205"/>
      </w:tblGrid>
      <w:tr>
        <w:trPr/>
        <w:tc>
          <w:tcPr>
            <w:tcW w:w="47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9205" w:type="dxa"/>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6" w:type="dxa"/>
            <w:tcBorders/>
            <w:shd w:fill="auto" w:val="clear"/>
            <w:vAlign w:val="bottom"/>
          </w:tcPr>
          <w:p>
            <w:pPr>
              <w:pStyle w:val="TableContents"/>
              <w:spacing w:before="0" w:after="283"/>
              <w:rPr/>
            </w:pPr>
            <w:r>
              <w:rPr/>
              <w:t>  </w:t>
            </w:r>
          </w:p>
        </w:tc>
        <w:tc>
          <w:tcPr>
            <w:tcW w:w="9205"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pPr>
            <w:r>
              <w:rPr/>
              <w:t>  </w:t>
            </w:r>
            <w:r>
              <w:rPr>
                <w:rFonts w:ascii="Times New Roman" w:hAnsi="Times New Roman"/>
                <w:sz w:val="20"/>
              </w:rPr>
              <w:t>1.1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Equity Distribution Agreement, dated May 9, 2012, between Plains All American Pipeline, L.P. and Citigroup Global Markets Inc.</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pPr>
            <w:r>
              <w:rPr/>
              <w:t>  </w:t>
            </w:r>
            <w:r>
              <w:rPr>
                <w:rFonts w:ascii="Times New Roman" w:hAnsi="Times New Roman"/>
                <w:sz w:val="20"/>
              </w:rPr>
              <w:t>5.1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legality of the Units.</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pPr>
            <w:r>
              <w:rPr/>
              <w:t>  </w:t>
            </w:r>
            <w:r>
              <w:rPr>
                <w:rFonts w:ascii="Times New Roman" w:hAnsi="Times New Roman"/>
                <w:sz w:val="20"/>
              </w:rPr>
              <w:t>8.1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tax matters.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1"/>
        <w:gridCol w:w="60"/>
        <w:gridCol w:w="3401"/>
      </w:tblGrid>
      <w:tr>
        <w:trPr/>
        <w:tc>
          <w:tcPr>
            <w:tcW w:w="6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62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w:t>
            </w:r>
          </w:p>
        </w:tc>
      </w:tr>
    </w:tbl>
    <w:p>
      <w:pPr>
        <w:pStyle w:val="TextBody"/>
        <w:spacing w:before="180" w:after="0"/>
        <w:rPr>
          <w:rFonts w:ascii="Times New Roman" w:hAnsi="Times New Roman"/>
          <w:sz w:val="20"/>
        </w:rPr>
      </w:pPr>
      <w:r>
        <w:rPr>
          <w:rFonts w:ascii="Times New Roman" w:hAnsi="Times New Roman"/>
          <w:sz w:val="20"/>
        </w:rPr>
        <w:t xml:space="preserve">Date: May 9, 2012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4"/>
        <w:gridCol w:w="526"/>
        <w:gridCol w:w="9205"/>
      </w:tblGrid>
      <w:tr>
        <w:trPr/>
        <w:tc>
          <w:tcPr>
            <w:tcW w:w="47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bottom"/>
          </w:tcPr>
          <w:p>
            <w:pPr>
              <w:pStyle w:val="TableContents"/>
              <w:spacing w:before="0" w:after="283"/>
              <w:rPr>
                <w:sz w:val="4"/>
                <w:szCs w:val="4"/>
              </w:rPr>
            </w:pPr>
            <w:r>
              <w:rPr>
                <w:sz w:val="4"/>
                <w:szCs w:val="4"/>
              </w:rPr>
            </w:r>
          </w:p>
        </w:tc>
        <w:tc>
          <w:tcPr>
            <w:tcW w:w="9205" w:type="dxa"/>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Exhibit</w:t>
              <w:br/>
              <w:t>Number</w:t>
            </w:r>
          </w:p>
        </w:tc>
        <w:tc>
          <w:tcPr>
            <w:tcW w:w="526" w:type="dxa"/>
            <w:tcBorders/>
            <w:shd w:fill="auto" w:val="clear"/>
            <w:vAlign w:val="bottom"/>
          </w:tcPr>
          <w:p>
            <w:pPr>
              <w:pStyle w:val="TableContents"/>
              <w:spacing w:before="0" w:after="283"/>
              <w:rPr/>
            </w:pPr>
            <w:r>
              <w:rPr/>
              <w:t>  </w:t>
            </w:r>
          </w:p>
        </w:tc>
        <w:tc>
          <w:tcPr>
            <w:tcW w:w="9205" w:type="dxa"/>
            <w:tcBorders/>
            <w:shd w:fill="auto" w:val="clear"/>
            <w:vAlign w:val="bottom"/>
          </w:tcPr>
          <w:p>
            <w:pPr>
              <w:pStyle w:val="TableContents"/>
              <w:pBdr>
                <w:bottom w:val="single" w:sz="2" w:space="1" w:color="000000"/>
              </w:pBdr>
              <w:spacing w:before="0" w:after="283"/>
              <w:jc w:val="center"/>
              <w:rPr>
                <w:rFonts w:ascii="Times New Roman" w:hAnsi="Times New Roman"/>
                <w:sz w:val="14"/>
              </w:rPr>
            </w:pPr>
            <w:r>
              <w:rPr>
                <w:rFonts w:ascii="Times New Roman" w:hAnsi="Times New Roman"/>
                <w:sz w:val="14"/>
              </w:rPr>
              <w:t>Description</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pPr>
            <w:r>
              <w:rPr/>
              <w:t>  </w:t>
            </w:r>
            <w:r>
              <w:rPr>
                <w:rFonts w:ascii="Times New Roman" w:hAnsi="Times New Roman"/>
                <w:sz w:val="20"/>
              </w:rPr>
              <w:t>1.1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Equity Distribution Agreement, dated May 9, 2012, between Plains All American Pipeline, L.P. and Citigroup Global Markets Inc.</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pPr>
            <w:r>
              <w:rPr/>
              <w:t>  </w:t>
            </w:r>
            <w:r>
              <w:rPr>
                <w:rFonts w:ascii="Times New Roman" w:hAnsi="Times New Roman"/>
                <w:sz w:val="20"/>
              </w:rPr>
              <w:t>5.1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legality of the Units.</w:t>
            </w:r>
          </w:p>
        </w:tc>
      </w:tr>
      <w:tr>
        <w:trPr>
          <w:trHeight w:val="120" w:hRule="atLeast"/>
        </w:trPr>
        <w:tc>
          <w:tcPr>
            <w:tcW w:w="474" w:type="dxa"/>
            <w:tcBorders/>
            <w:shd w:fill="auto" w:val="clear"/>
            <w:vAlign w:val="center"/>
          </w:tcPr>
          <w:p>
            <w:pPr>
              <w:pStyle w:val="TableContents"/>
              <w:spacing w:before="0" w:after="283"/>
              <w:rPr>
                <w:sz w:val="4"/>
                <w:szCs w:val="4"/>
              </w:rPr>
            </w:pPr>
            <w:r>
              <w:rPr>
                <w:sz w:val="4"/>
                <w:szCs w:val="4"/>
              </w:rPr>
            </w:r>
          </w:p>
        </w:tc>
        <w:tc>
          <w:tcPr>
            <w:tcW w:w="9731" w:type="dxa"/>
            <w:gridSpan w:val="2"/>
            <w:tcBorders/>
            <w:shd w:fill="auto" w:val="clear"/>
            <w:vAlign w:val="center"/>
          </w:tcPr>
          <w:p>
            <w:pPr>
              <w:pStyle w:val="TableContents"/>
              <w:spacing w:before="0" w:after="283"/>
              <w:rPr>
                <w:sz w:val="4"/>
                <w:szCs w:val="4"/>
              </w:rPr>
            </w:pPr>
            <w:r>
              <w:rPr>
                <w:sz w:val="4"/>
                <w:szCs w:val="4"/>
              </w:rPr>
            </w:r>
          </w:p>
        </w:tc>
      </w:tr>
      <w:tr>
        <w:trPr/>
        <w:tc>
          <w:tcPr>
            <w:tcW w:w="474" w:type="dxa"/>
            <w:tcBorders/>
            <w:shd w:fill="auto" w:val="clear"/>
          </w:tcPr>
          <w:p>
            <w:pPr>
              <w:pStyle w:val="TableContents"/>
              <w:spacing w:before="0" w:after="283"/>
              <w:rPr/>
            </w:pPr>
            <w:r>
              <w:rPr/>
              <w:t>  </w:t>
            </w:r>
            <w:r>
              <w:rPr>
                <w:rFonts w:ascii="Times New Roman" w:hAnsi="Times New Roman"/>
                <w:sz w:val="20"/>
              </w:rPr>
              <w:t>8.1</w:t>
            </w:r>
          </w:p>
        </w:tc>
        <w:tc>
          <w:tcPr>
            <w:tcW w:w="526" w:type="dxa"/>
            <w:tcBorders/>
            <w:shd w:fill="auto" w:val="clear"/>
            <w:vAlign w:val="bottom"/>
          </w:tcPr>
          <w:p>
            <w:pPr>
              <w:pStyle w:val="TableContents"/>
              <w:spacing w:before="0" w:after="283"/>
              <w:rPr/>
            </w:pPr>
            <w:r>
              <w:rPr/>
              <w:t>  </w:t>
            </w:r>
          </w:p>
        </w:tc>
        <w:tc>
          <w:tcPr>
            <w:tcW w:w="9205"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tax matters.</w:t>
            </w:r>
          </w:p>
        </w:tc>
      </w:tr>
    </w:tbl>
    <w:p>
      <w:pPr>
        <w:pStyle w:val="TextBody"/>
        <w:spacing w:before="0" w:after="0"/>
        <w:jc w:val="right"/>
        <w:rPr>
          <w:rFonts w:ascii="Times New Roman" w:hAnsi="Times New Roman"/>
          <w:b/>
          <w:sz w:val="20"/>
        </w:rPr>
      </w:pPr>
      <w:r>
        <w:br w:type="page"/>
      </w:r>
      <w:bookmarkStart w:id="2" w:name="d348089dex11.htm"/>
      <w:bookmarkStart w:id="3" w:name="ksd348089dex11"/>
      <w:bookmarkEnd w:id="2"/>
      <w:bookmarkEnd w:id="3"/>
      <w:r>
        <w:rPr>
          <w:rFonts w:ascii="Times New Roman" w:hAnsi="Times New Roman"/>
          <w:b/>
          <w:sz w:val="20"/>
        </w:rPr>
        <w:t xml:space="preserve">Exhibit 1.1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b/>
          <w:sz w:val="20"/>
        </w:rPr>
      </w:pPr>
      <w:r>
        <w:rPr>
          <w:rFonts w:ascii="Times New Roman" w:hAnsi="Times New Roman"/>
          <w:b/>
          <w:sz w:val="20"/>
        </w:rPr>
        <w:t xml:space="preserve">Common Units Representing Limited Partner Interests </w:t>
      </w:r>
    </w:p>
    <w:p>
      <w:pPr>
        <w:pStyle w:val="TextBody"/>
        <w:spacing w:before="180" w:after="0"/>
        <w:jc w:val="center"/>
        <w:rPr>
          <w:rFonts w:ascii="Times New Roman" w:hAnsi="Times New Roman"/>
          <w:b/>
          <w:sz w:val="20"/>
        </w:rPr>
      </w:pPr>
      <w:r>
        <w:rPr>
          <w:rFonts w:ascii="Times New Roman" w:hAnsi="Times New Roman"/>
          <w:b/>
          <w:sz w:val="20"/>
        </w:rPr>
        <w:t xml:space="preserve">Having an Aggregate Offering Price of up to </w:t>
      </w:r>
    </w:p>
    <w:p>
      <w:pPr>
        <w:pStyle w:val="TextBody"/>
        <w:spacing w:before="180" w:after="0"/>
        <w:jc w:val="center"/>
        <w:rPr>
          <w:rFonts w:ascii="Times New Roman" w:hAnsi="Times New Roman"/>
          <w:b/>
          <w:sz w:val="20"/>
        </w:rPr>
      </w:pPr>
      <w:r>
        <w:rPr>
          <w:rFonts w:ascii="Times New Roman" w:hAnsi="Times New Roman"/>
          <w:b/>
          <w:sz w:val="20"/>
        </w:rPr>
        <w:t xml:space="preserve">$300,000,000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EQUITY DISTRIBUTION AGREEMENT </w:t>
      </w:r>
    </w:p>
    <w:p>
      <w:pPr>
        <w:pStyle w:val="TextBody"/>
        <w:spacing w:before="180" w:after="0"/>
        <w:jc w:val="right"/>
        <w:rPr>
          <w:rFonts w:ascii="Times New Roman" w:hAnsi="Times New Roman"/>
          <w:sz w:val="20"/>
        </w:rPr>
      </w:pPr>
      <w:r>
        <w:rPr>
          <w:rFonts w:ascii="Times New Roman" w:hAnsi="Times New Roman"/>
          <w:sz w:val="20"/>
        </w:rPr>
        <w:t xml:space="preserve">May 9, 2012 </w:t>
      </w:r>
    </w:p>
    <w:p>
      <w:pPr>
        <w:pStyle w:val="TextBody"/>
        <w:spacing w:before="180" w:after="0"/>
        <w:rPr>
          <w:rFonts w:ascii="Times New Roman" w:hAnsi="Times New Roman"/>
          <w:sz w:val="20"/>
        </w:rPr>
      </w:pPr>
      <w:r>
        <w:rPr>
          <w:rFonts w:ascii="Times New Roman" w:hAnsi="Times New Roman"/>
          <w:sz w:val="20"/>
        </w:rPr>
        <w:t xml:space="preserve">Citigroup Global Markets Inc. </w:t>
      </w:r>
    </w:p>
    <w:p>
      <w:pPr>
        <w:pStyle w:val="TextBody"/>
        <w:spacing w:before="0" w:after="0"/>
        <w:rPr>
          <w:rFonts w:ascii="Times New Roman" w:hAnsi="Times New Roman"/>
          <w:sz w:val="20"/>
        </w:rPr>
      </w:pPr>
      <w:r>
        <w:rPr>
          <w:rFonts w:ascii="Times New Roman" w:hAnsi="Times New Roman"/>
          <w:sz w:val="20"/>
        </w:rPr>
        <w:t xml:space="preserve">388 Greenwich Street </w:t>
      </w:r>
    </w:p>
    <w:p>
      <w:pPr>
        <w:pStyle w:val="TextBody"/>
        <w:spacing w:before="0" w:after="0"/>
        <w:rPr>
          <w:rFonts w:ascii="Times New Roman" w:hAnsi="Times New Roman"/>
          <w:sz w:val="20"/>
        </w:rPr>
      </w:pPr>
      <w:r>
        <w:rPr>
          <w:rFonts w:ascii="Times New Roman" w:hAnsi="Times New Roman"/>
          <w:sz w:val="20"/>
        </w:rPr>
        <w:t xml:space="preserve">New York, New York, 10013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Plains All American Pipeline, L.P., a Delaware limited partnership (the </w:t>
      </w:r>
      <w:r>
        <w:rPr>
          <w:rFonts w:ascii="Times New Roman" w:hAnsi="Times New Roman"/>
          <w:sz w:val="20"/>
          <w:u w:val="single"/>
        </w:rPr>
        <w:t>Partnership</w:t>
      </w:r>
      <w:r>
        <w:rPr>
          <w:rFonts w:ascii="Times New Roman" w:hAnsi="Times New Roman"/>
          <w:sz w:val="20"/>
        </w:rPr>
        <w:t>), confirms its agreement (this </w:t>
      </w:r>
      <w:r>
        <w:rPr>
          <w:rFonts w:ascii="Times New Roman" w:hAnsi="Times New Roman"/>
          <w:sz w:val="20"/>
          <w:u w:val="single"/>
        </w:rPr>
        <w:t>Agreement</w:t>
      </w:r>
      <w:r>
        <w:rPr>
          <w:rFonts w:ascii="Times New Roman" w:hAnsi="Times New Roman"/>
          <w:sz w:val="20"/>
        </w:rPr>
        <w:t>) with Citigroup Global Markets Inc. (the </w:t>
      </w:r>
      <w:r>
        <w:rPr>
          <w:rFonts w:ascii="Times New Roman" w:hAnsi="Times New Roman"/>
          <w:sz w:val="20"/>
          <w:u w:val="single"/>
        </w:rPr>
        <w:t>Manager</w:t>
      </w:r>
      <w:r>
        <w:rPr>
          <w:rFonts w:ascii="Times New Roman" w:hAnsi="Times New Roman"/>
          <w:sz w:val="20"/>
        </w:rPr>
        <w:t xml:space="preserve">)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Description of Units</w:t>
      </w:r>
      <w:r>
        <w:rPr>
          <w:rFonts w:ascii="Times New Roman" w:hAnsi="Times New Roman"/>
          <w:sz w:val="20"/>
        </w:rPr>
        <w:t>. The Partnership proposes to issue and sell through or to the Manager, as sales agent and/or principal, common units representing limited partner interests in the Partnership (</w:t>
      </w:r>
      <w:r>
        <w:rPr>
          <w:rFonts w:ascii="Times New Roman" w:hAnsi="Times New Roman"/>
          <w:sz w:val="20"/>
          <w:u w:val="single"/>
        </w:rPr>
        <w:t>Common Units</w:t>
      </w:r>
      <w:r>
        <w:rPr>
          <w:rFonts w:ascii="Times New Roman" w:hAnsi="Times New Roman"/>
          <w:sz w:val="20"/>
        </w:rPr>
        <w:t>), having an aggregate gross sales price of up to $300,000,000 (the </w:t>
      </w:r>
      <w:r>
        <w:rPr>
          <w:rFonts w:ascii="Times New Roman" w:hAnsi="Times New Roman"/>
          <w:sz w:val="20"/>
          <w:u w:val="single"/>
        </w:rPr>
        <w:t>Units</w:t>
      </w:r>
      <w:r>
        <w:rPr>
          <w:rFonts w:ascii="Times New Roman" w:hAnsi="Times New Roman"/>
          <w:sz w:val="20"/>
        </w:rPr>
        <w:t>), from time to time during the term of this Agreement and on the terms set forth in Section 3 hereof. For the avoidance of doubt, the term Units as used in this Agreement refers only to the Common Units to be sold pursuant to this Agreement. The Units are further described in the Prospectus referred to herein. For purposes of selling the Units through the Manager, the Partnership hereby appoints the Manager as exclusive agent of the Partnership for the purpose of soliciting purchases of the Units from the Partnership pursuant to this Agreement and the Manager agrees to use its reasonable efforts to solicit purchases of the Units on the terms and subject to the conditions stated herein. The Partnership agrees that whenever it determines to sell Units directly to the Manager as principal, it will enter into a separate agreement (each, a </w:t>
      </w:r>
      <w:r>
        <w:rPr>
          <w:rFonts w:ascii="Times New Roman" w:hAnsi="Times New Roman"/>
          <w:sz w:val="20"/>
          <w:u w:val="single"/>
        </w:rPr>
        <w:t>Terms Agreement</w:t>
      </w:r>
      <w:r>
        <w:rPr>
          <w:rFonts w:ascii="Times New Roman" w:hAnsi="Times New Roman"/>
          <w:sz w:val="20"/>
        </w:rPr>
        <w:t xml:space="preserve">) in substantially the form of </w:t>
      </w:r>
      <w:r>
        <w:rPr>
          <w:rFonts w:ascii="Times New Roman" w:hAnsi="Times New Roman"/>
          <w:sz w:val="20"/>
          <w:u w:val="single"/>
        </w:rPr>
        <w:t>Annex I</w:t>
      </w:r>
      <w:r>
        <w:rPr>
          <w:rFonts w:ascii="Times New Roman" w:hAnsi="Times New Roman"/>
          <w:sz w:val="20"/>
        </w:rPr>
        <w:t xml:space="preserve"> hereto, relating to such sale in accordance with Section 3 hereof. Certain terms used herein are defined in Section 20 hereof.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w:t>
      </w:r>
      <w:r>
        <w:rPr>
          <w:rFonts w:ascii="Times New Roman" w:hAnsi="Times New Roman"/>
          <w:sz w:val="20"/>
        </w:rPr>
        <w:t xml:space="preserve">. The Partnership represents and warrants to, and agrees with, the Manager at the Execution Time and on each such time the following representations and warranties are repeated or deemed to be made pursuant to this Agreement, as set forth below.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w:t>
      </w:r>
      <w:r>
        <w:rPr>
          <w:rFonts w:ascii="Times New Roman" w:hAnsi="Times New Roman"/>
          <w:sz w:val="20"/>
        </w:rPr>
        <w:t>The Partnership meets the requirements for use of Form S-3 under the Act. The Partnership has prepared and filed with the Commission a registration statement (File Number 333-162476) on Form S-3 (including a related Base Prospectus) for registration of the offering and sale of Common Units, including the Units,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Units in accordance with Rule 424(b). As filed, the Prospectus Supplement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Units,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Units,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the final form of prospectus, including all documents incorporated therein by reference, included in any such registration statement at the time such registration statement became effective. As used herein, the term </w:t>
      </w:r>
      <w:r>
        <w:rPr>
          <w:rFonts w:ascii="Times New Roman" w:hAnsi="Times New Roman"/>
          <w:sz w:val="20"/>
          <w:u w:val="single"/>
        </w:rPr>
        <w:t>Incorporated Documents</w:t>
      </w:r>
      <w:r>
        <w:rPr>
          <w:rFonts w:ascii="Times New Roman" w:hAnsi="Times New Roman"/>
          <w:sz w:val="20"/>
        </w:rPr>
        <w:t xml:space="preserve"> means the documents that at the time are incorporated by reference in the Registration Statement, the Base Prospectus, the Prospectus Supplement or the Prospectus or any amendment or supplement thereto.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Material Misstatements or Omissions in Registration Statement. </w:t>
      </w:r>
      <w:r>
        <w:rPr>
          <w:rFonts w:ascii="Times New Roman" w:hAnsi="Times New Roman"/>
          <w:sz w:val="20"/>
        </w:rPr>
        <w:t xml:space="preserve">On each Effective Date, at the Execution Time, at each Applicable Time, at each Settlement Date and at all times during which a prospectus is required by the Act to be delivered (whether physically, deemed to be delivered pursuant to Rule 153 or through compliance with Rule 172 or any similar rule) in connection with any offer or sale of Units, the Registration Statement complied and will comply in all material respects with the applicable requirements of the Act and the Exchange Act and the respective rules thereunder, and did not and will not contain any untrue statement of a material fact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Units,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makes no representations or warranties as to any statement contained in or omitted from the Registration Statement or the Prospectus (or any supplement thereto) in reliance upon and in conformity with information furnished in writing to the Partnership by the Manager specifically for use with respect to the Registration Statement or the Prospectus (or any supplement thereto), which information is specified in Section 19.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Ineligible Issuer. </w:t>
      </w:r>
      <w:r>
        <w:rPr>
          <w:rFonts w:ascii="Times New Roman" w:hAnsi="Times New Roman"/>
          <w:sz w:val="20"/>
        </w:rPr>
        <w:t xml:space="preserve">For purposes of each offering of the Units pursuant to transactions under this Agreement that are not firm commitment underwritings, the Partnership will be an ineligible issuer (as defined in Rule 405 of the Act) as of each relevant eligibility determination date for purposes of Rules 164 and 433 under the Act.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Other Prospectus. </w:t>
      </w:r>
      <w:r>
        <w:rPr>
          <w:rFonts w:ascii="Times New Roman" w:hAnsi="Times New Roman"/>
          <w:sz w:val="20"/>
        </w:rPr>
        <w:t xml:space="preserve">Prior to the execution of this Agreement, the Partnership has not, directly or indirectly, offered or sold any Units by means of any prospectus (in each case within the meaning of the Act) or used any prospectus (in each case within the meaning of the Act) in connection with the offer or sale of Units, and from and after the execution of this Agreement, the Partnership will not, directly or indirectly, offer or sell any Units pursuant to this Agreement by means of any prospectus (within the meaning of the Act) or use any prospectus (within the meaning of the Act) in connection with any such offer or sale of the Units,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Units pursuant to this Agreement.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Proceedings under the Act. </w:t>
      </w:r>
      <w:r>
        <w:rPr>
          <w:rFonts w:ascii="Times New Roman" w:hAnsi="Times New Roman"/>
          <w:sz w:val="20"/>
        </w:rPr>
        <w:t xml:space="preserve">The Registration Statement is not the subject of a pending proceeding or examination under Section 8(d) or 8(e) of the Act, and the Partnership is not the subject of a pending proceeding under Section 8A of the Act in connection with the offering of the Units.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Regulation M. </w:t>
      </w:r>
      <w:r>
        <w:rPr>
          <w:rFonts w:ascii="Times New Roman" w:hAnsi="Times New Roman"/>
          <w:sz w:val="20"/>
        </w:rPr>
        <w:t xml:space="preserve">The Common Units are an actively traded security exempted from the requirements of Rule 101 of Regulation M under the Exchange Act by subsection (c)(1) of such rule.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Market Stabilization. </w:t>
      </w:r>
      <w:r>
        <w:rPr>
          <w:rFonts w:ascii="Times New Roman" w:hAnsi="Times New Roman"/>
          <w:sz w:val="20"/>
        </w:rPr>
        <w:t xml:space="preserve">Except as stated in this Agreement, any Terms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 </w:t>
      </w:r>
    </w:p>
    <w:p>
      <w:pPr>
        <w:pStyle w:val="TextBody"/>
        <w:spacing w:before="90" w:after="0"/>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Other Sales Agency Agreements. </w:t>
      </w:r>
      <w:r>
        <w:rPr>
          <w:rFonts w:ascii="Times New Roman" w:hAnsi="Times New Roman"/>
          <w:sz w:val="20"/>
        </w:rPr>
        <w:t xml:space="preserve">Except pursuant to this Agreement, the Partnership has not entered into any other sales agency agreements or other similar arrangements with any agent or any other representative in respect of at the market offerings of the Units in accordance with Rule 415(a)(4) of the Act.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Brokers. </w:t>
      </w:r>
      <w:r>
        <w:rPr>
          <w:rFonts w:ascii="Times New Roman" w:hAnsi="Times New Roman"/>
          <w:sz w:val="20"/>
        </w:rPr>
        <w:t xml:space="preserve">Except pursuant to this Agreement, there is no broker, finder or other party that is entitled to receive from the Partnership any brokerage or finders fee or other fee or commission as a result of any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Formation and Qualification of Certain Entities.</w:t>
      </w:r>
      <w:r>
        <w:rPr>
          <w:rFonts w:ascii="Times New Roman" w:hAnsi="Times New Roman"/>
          <w:sz w:val="20"/>
        </w:rPr>
        <w:t xml:space="preserve"> Each of the Partnership, PAA GP LLC, a Delaware limited liability company and the general partner of the Partnership (the </w:t>
      </w:r>
      <w:r>
        <w:rPr>
          <w:rFonts w:ascii="Times New Roman" w:hAnsi="Times New Roman"/>
          <w:sz w:val="20"/>
          <w:u w:val="single"/>
        </w:rPr>
        <w:t>General Partner</w:t>
      </w:r>
      <w:r>
        <w:rPr>
          <w:rFonts w:ascii="Times New Roman" w:hAnsi="Times New Roman"/>
          <w:sz w:val="20"/>
        </w:rPr>
        <w:t>), Plains AAP, L.P., a Delaware limited partnership and the sole member of the General Partner (</w:t>
      </w:r>
      <w:r>
        <w:rPr>
          <w:rFonts w:ascii="Times New Roman" w:hAnsi="Times New Roman"/>
          <w:sz w:val="20"/>
          <w:u w:val="single"/>
        </w:rPr>
        <w:t>Plains AAP</w:t>
      </w:r>
      <w:r>
        <w:rPr>
          <w:rFonts w:ascii="Times New Roman" w:hAnsi="Times New Roman"/>
          <w:sz w:val="20"/>
        </w:rPr>
        <w:t>), Plains All American GP LLC, a Delaware limited liability company and the general partner of Plains AAP (</w:t>
      </w:r>
      <w:r>
        <w:rPr>
          <w:rFonts w:ascii="Times New Roman" w:hAnsi="Times New Roman"/>
          <w:sz w:val="20"/>
          <w:u w:val="single"/>
        </w:rPr>
        <w:t>GP LLC</w:t>
      </w:r>
      <w:r>
        <w:rPr>
          <w:rFonts w:ascii="Times New Roman" w:hAnsi="Times New Roman"/>
          <w:sz w:val="20"/>
        </w:rPr>
        <w:t> and, collectively with the General Partner and Plains AAP, the </w:t>
      </w:r>
      <w:r>
        <w:rPr>
          <w:rFonts w:ascii="Times New Roman" w:hAnsi="Times New Roman"/>
          <w:sz w:val="20"/>
          <w:u w:val="single"/>
        </w:rPr>
        <w:t>GP Entities</w:t>
      </w:r>
      <w:r>
        <w:rPr>
          <w:rFonts w:ascii="Times New Roman" w:hAnsi="Times New Roman"/>
          <w:sz w:val="20"/>
        </w:rPr>
        <w:t xml:space="preserve">), and the subsidiaries of the Partnership listed on </w:t>
      </w:r>
      <w:r>
        <w:rPr>
          <w:rFonts w:ascii="Times New Roman" w:hAnsi="Times New Roman"/>
          <w:sz w:val="20"/>
          <w:u w:val="single"/>
        </w:rPr>
        <w:t>Schedule I</w:t>
      </w:r>
      <w:r>
        <w:rPr>
          <w:rFonts w:ascii="Times New Roman" w:hAnsi="Times New Roman"/>
          <w:sz w:val="20"/>
        </w:rPr>
        <w:t xml:space="preserve"> attached hereto (as updated from time to time with any affirmation of this representation, collectively, the </w:t>
      </w:r>
      <w:r>
        <w:rPr>
          <w:rFonts w:ascii="Times New Roman" w:hAnsi="Times New Roman"/>
          <w:sz w:val="20"/>
          <w:u w:val="single"/>
        </w:rPr>
        <w:t>Material Subsidiaries</w:t>
      </w:r>
      <w:r>
        <w:rPr>
          <w:rFonts w:ascii="Times New Roman" w:hAnsi="Times New Roman"/>
          <w:sz w:val="20"/>
        </w:rPr>
        <w:t>)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as disclosed in the Prospectus. Each of the Partnership, the GP Entities and the Material Subsidiaries is duly registered or qualified as a foreign corporation,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adverse effect upon the condition (financial or other), business, prospects, properties, net worth or results of operations of the Partnerships direct or indirect majority owned subsidiaries (collectively, the </w:t>
      </w:r>
      <w:r>
        <w:rPr>
          <w:rFonts w:ascii="Times New Roman" w:hAnsi="Times New Roman"/>
          <w:sz w:val="20"/>
          <w:u w:val="single"/>
        </w:rPr>
        <w:t>Subsidiaries</w:t>
      </w:r>
      <w:r>
        <w:rPr>
          <w:rFonts w:ascii="Times New Roman" w:hAnsi="Times New Roman"/>
          <w:sz w:val="20"/>
        </w:rPr>
        <w:t>) and the Partnership (collectively, the </w:t>
      </w:r>
      <w:r>
        <w:rPr>
          <w:rFonts w:ascii="Times New Roman" w:hAnsi="Times New Roman"/>
          <w:sz w:val="20"/>
          <w:u w:val="single"/>
        </w:rPr>
        <w:t>Plains Entities</w:t>
      </w:r>
      <w:r>
        <w:rPr>
          <w:rFonts w:ascii="Times New Roman" w:hAnsi="Times New Roman"/>
          <w:sz w:val="20"/>
        </w:rPr>
        <w:t>), taken as a whole (a </w:t>
      </w:r>
      <w:r>
        <w:rPr>
          <w:rFonts w:ascii="Times New Roman" w:hAnsi="Times New Roman"/>
          <w:sz w:val="20"/>
          <w:u w:val="single"/>
        </w:rPr>
        <w:t>Material Adverse Effect</w:t>
      </w:r>
      <w:r>
        <w:rPr>
          <w:rFonts w:ascii="Times New Roman" w:hAnsi="Times New Roman"/>
          <w:sz w:val="20"/>
        </w:rPr>
        <w:t xml:space="preserve">), or (ii) subject the limited partners of the Partnership to any material liability or disability. </w:t>
      </w:r>
    </w:p>
    <w:p>
      <w:pPr>
        <w:pStyle w:val="TextBody"/>
        <w:spacing w:before="90" w:after="0"/>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General Partners. </w:t>
      </w:r>
      <w:r>
        <w:rPr>
          <w:rFonts w:ascii="Times New Roman" w:hAnsi="Times New Roman"/>
          <w:sz w:val="20"/>
        </w:rPr>
        <w:t xml:space="preserve">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Ownership of Interests in the Partnership, the General Partner and Plains AAP. </w:t>
      </w:r>
      <w:r>
        <w:rPr>
          <w:rFonts w:ascii="Times New Roman" w:hAnsi="Times New Roman"/>
          <w:sz w:val="20"/>
        </w:rPr>
        <w:t>The GP Entities hold the general partner and membership interests, as disclosed in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date of determination, such agreement being referred to herein as the </w:t>
      </w:r>
      <w:r>
        <w:rPr>
          <w:rFonts w:ascii="Times New Roman" w:hAnsi="Times New Roman"/>
          <w:sz w:val="20"/>
          <w:u w:val="single"/>
        </w:rPr>
        <w:t>General Partner LLC Agreement</w:t>
      </w:r>
      <w:r>
        <w:rPr>
          <w:rFonts w:ascii="Times New Roman" w:hAnsi="Times New Roman"/>
          <w:sz w:val="20"/>
        </w:rPr>
        <w:t>)) and nonassessable (except as such nonassessability may be affected by Sections 18-607 and 18-804 of the Delaware Limited Liability Company Act (the </w:t>
      </w:r>
      <w:r>
        <w:rPr>
          <w:rFonts w:ascii="Times New Roman" w:hAnsi="Times New Roman"/>
          <w:sz w:val="20"/>
          <w:u w:val="single"/>
        </w:rPr>
        <w:t>Delaware LLC Act</w:t>
      </w:r>
      <w:r>
        <w:rPr>
          <w:rFonts w:ascii="Times New Roman" w:hAnsi="Times New Roman"/>
          <w:sz w:val="20"/>
        </w:rPr>
        <w:t>)); and such general partner and membership interests held by the GP Entities are owned free and clear of all liens, encumbrances, security interests, equities, charges or claims (</w:t>
      </w:r>
      <w:r>
        <w:rPr>
          <w:rFonts w:ascii="Times New Roman" w:hAnsi="Times New Roman"/>
          <w:sz w:val="20"/>
          <w:u w:val="single"/>
        </w:rPr>
        <w:t>Liens</w:t>
      </w:r>
      <w:r>
        <w:rPr>
          <w:rFonts w:ascii="Times New Roman" w:hAnsi="Times New Roman"/>
          <w:sz w:val="20"/>
        </w:rPr>
        <w:t xml:space="preserve">), except (i) as disclosed in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Prospectus to be conducted. </w:t>
      </w:r>
    </w:p>
    <w:p>
      <w:pPr>
        <w:pStyle w:val="TextBody"/>
        <w:spacing w:before="90" w:after="0"/>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Ownership of the Material Subsidiaries. </w:t>
      </w:r>
      <w:r>
        <w:rPr>
          <w:rFonts w:ascii="Times New Roman" w:hAnsi="Times New Roman"/>
          <w:sz w:val="20"/>
        </w:rPr>
        <w:t>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Execution Date and as the same may be amended or restated prior to the date of determination) (the </w:t>
      </w:r>
      <w:r>
        <w:rPr>
          <w:rFonts w:ascii="Times New Roman" w:hAnsi="Times New Roman"/>
          <w:sz w:val="20"/>
          <w:u w:val="single"/>
        </w:rPr>
        <w:t>Organizational Documents</w:t>
      </w:r>
      <w:r>
        <w:rPr>
          <w:rFonts w:ascii="Times New Roman" w:hAnsi="Times New Roman"/>
          <w:sz w:val="20"/>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sz w:val="20"/>
          <w:u w:val="single"/>
        </w:rPr>
        <w:t>Delaware LP Act</w:t>
      </w:r>
      <w:r>
        <w:rPr>
          <w:rFonts w:ascii="Times New Roman" w:hAnsi="Times New Roman"/>
          <w:sz w:val="20"/>
        </w:rPr>
        <w:t xml:space="preserve">)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other than the portion of the limited partner interest in PAA Natural Gas Storage, L.P. held by public or private investors, are owned, directly or indirectly, by the Partnership, free and clear of all Liens, except for such Liens as are not, individually or in the aggregate, material to such ownership or as described in the Prospectus.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Capitalization. </w:t>
      </w:r>
      <w:r>
        <w:rPr>
          <w:rFonts w:ascii="Times New Roman" w:hAnsi="Times New Roman"/>
          <w:sz w:val="20"/>
        </w:rPr>
        <w:t>As of the Execution Date, the issued and outstanding limited partner interests of the Partnership consist of 161,318,749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Third Amended and Restated Agreement of Limited Partnership of the Partnership, dated as of June 27, 2001, as amended (the </w:t>
      </w:r>
      <w:r>
        <w:rPr>
          <w:rFonts w:ascii="Times New Roman" w:hAnsi="Times New Roman"/>
          <w:sz w:val="20"/>
          <w:u w:val="single"/>
        </w:rPr>
        <w:t>Partnership Agreement</w:t>
      </w:r>
      <w:r>
        <w:rPr>
          <w:rFonts w:ascii="Times New Roman" w:hAnsi="Times New Roman"/>
          <w:sz w:val="20"/>
        </w:rPr>
        <w:t xml:space="preserve">)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Prospectus. </w:t>
      </w:r>
    </w:p>
    <w:p>
      <w:pPr>
        <w:pStyle w:val="TextBody"/>
        <w:spacing w:before="90" w:after="0"/>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Duly Authorized and Validly Issued Units. </w:t>
      </w:r>
      <w:r>
        <w:rPr>
          <w:rFonts w:ascii="Times New Roman" w:hAnsi="Times New Roman"/>
          <w:sz w:val="20"/>
        </w:rPr>
        <w:t xml:space="preserve">At each Applicable Time and at each Settlement Date, the Units to be sold by the Partnership and 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17-607 and 17-804 of the Delaware LP Act). </w:t>
      </w:r>
    </w:p>
    <w:p>
      <w:pPr>
        <w:pStyle w:val="TextBody"/>
        <w:spacing w:before="90" w:after="0"/>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Preemptive or Other Rights. </w:t>
      </w:r>
      <w:r>
        <w:rPr>
          <w:rFonts w:ascii="Times New Roman" w:hAnsi="Times New Roman"/>
          <w:sz w:val="20"/>
        </w:rPr>
        <w:t xml:space="preserve">Except as described in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Prospectus and (ii) for awards issued pursuant to the Partnerships long-term incentive plans, there are no outstanding rights to purchase any Common Units or other equity interests in the Partnership.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Authority. </w:t>
      </w:r>
      <w:r>
        <w:rPr>
          <w:rFonts w:ascii="Times New Roman" w:hAnsi="Times New Roman"/>
          <w:sz w:val="20"/>
        </w:rPr>
        <w:t xml:space="preserve">The Partnership has all requisite power and authority to issue, sell and deliver the Units, in accordance with and upon the terms and conditions set forth in this Agreement, the Partnership Agreement, the Registration Statement and the Prospectus. At each Settlement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Authorization, Execution and Delivery of this Agreement. </w:t>
      </w:r>
      <w:r>
        <w:rPr>
          <w:rFonts w:ascii="Times New Roman" w:hAnsi="Times New Roman"/>
          <w:sz w:val="20"/>
        </w:rPr>
        <w:t xml:space="preserve">This Agreement has been duly and validly authorized, executed and delivered by or on behalf of the Partnership. </w:t>
      </w:r>
    </w:p>
    <w:p>
      <w:pPr>
        <w:pStyle w:val="TextBody"/>
        <w:spacing w:before="90" w:after="0"/>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Authorization, Execution and Enforceability of the Operating Agreements. </w:t>
      </w:r>
      <w:r>
        <w:rPr>
          <w:rFonts w:ascii="Times New Roman" w:hAnsi="Times New Roman"/>
          <w:sz w:val="20"/>
        </w:rPr>
        <w:t xml:space="preserve">The partnership agreement or limited liability company agreement, as applicable, of each of the Partnership, the GP Entities and the Material Subsidiaries has been duly authorized, executed and delivered by the parties thereto and is a valid and legally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No Consents. </w:t>
      </w:r>
      <w:r>
        <w:rPr>
          <w:rFonts w:ascii="Times New Roman" w:hAnsi="Times New Roman"/>
          <w:sz w:val="20"/>
        </w:rPr>
        <w:t>No consent, approval, authorization, filing with or order of any court or governmental agency or body having 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Act, (ii) such as may be required under the blue sky laws of any jurisdiction or the by-laws and rules of the Financial Industry Regulatory Authority, Inc. (</w:t>
      </w:r>
      <w:r>
        <w:rPr>
          <w:rFonts w:ascii="Times New Roman" w:hAnsi="Times New Roman"/>
          <w:sz w:val="20"/>
          <w:u w:val="single"/>
        </w:rPr>
        <w:t>FINRA</w:t>
      </w:r>
      <w:r>
        <w:rPr>
          <w:rFonts w:ascii="Times New Roman" w:hAnsi="Times New Roman"/>
          <w:sz w:val="20"/>
        </w:rPr>
        <w:t xml:space="preserve">) in connection with the purchase and distribution of the Units in the manner contemplated herein and in the Prospectus and (iii) such that the failure to obtain or make would not reasonably be expected to have a Material Adverse Effect or materially impair the ability of the Partnership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No Conflicts. </w:t>
      </w:r>
      <w:r>
        <w:rPr>
          <w:rFonts w:ascii="Times New Roman" w:hAnsi="Times New Roman"/>
          <w:sz w:val="20"/>
        </w:rPr>
        <w:t xml:space="preserve">None of the offering, issuance and sale by the Partnership of the Units, the execution, delivery and performance of 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Financial Statements. </w:t>
      </w:r>
      <w:r>
        <w:rPr>
          <w:rFonts w:ascii="Times New Roman" w:hAnsi="Times New Roman"/>
          <w:sz w:val="20"/>
        </w:rPr>
        <w:t xml:space="preserve">The financial statements (including the related notes and supporting schedules) and other financial information included 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 </w:t>
      </w:r>
    </w:p>
    <w:p>
      <w:pPr>
        <w:pStyle w:val="TextBody"/>
        <w:spacing w:before="90" w:after="0"/>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No Legal Actions. </w:t>
      </w:r>
      <w:r>
        <w:rPr>
          <w:rFonts w:ascii="Times New Roman" w:hAnsi="Times New Roman"/>
          <w:sz w:val="20"/>
        </w:rPr>
        <w:t xml:space="preserve">Except as described in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in the case of each of clauses (i) and (ii) that would reasonably be expected, individually or in the aggregate, to have a Material Adverse Effect or prevent or result in the suspension of the offering and issuance of the Units. </w:t>
      </w:r>
    </w:p>
    <w:p>
      <w:pPr>
        <w:pStyle w:val="TextBody"/>
        <w:spacing w:before="90" w:after="0"/>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No Default. </w:t>
      </w:r>
      <w:r>
        <w:rPr>
          <w:rFonts w:ascii="Times New Roman" w:hAnsi="Times New Roman"/>
          <w:sz w:val="20"/>
        </w:rPr>
        <w:t xml:space="preserve">(i)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to perform its obligations under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Independent Registered Public Accounting Firm. </w:t>
      </w:r>
      <w:r>
        <w:rPr>
          <w:rFonts w:ascii="Times New Roman" w:hAnsi="Times New Roman"/>
          <w:sz w:val="20"/>
        </w:rPr>
        <w:t>PricewaterhouseCoopers LLP (the </w:t>
      </w:r>
      <w:r>
        <w:rPr>
          <w:rFonts w:ascii="Times New Roman" w:hAnsi="Times New Roman"/>
          <w:sz w:val="20"/>
          <w:u w:val="single"/>
        </w:rPr>
        <w:t>Accountants</w:t>
      </w:r>
      <w:r>
        <w:rPr>
          <w:rFonts w:ascii="Times New Roman" w:hAnsi="Times New Roman"/>
          <w:sz w:val="20"/>
        </w:rPr>
        <w:t xml:space="preserve">), which has certified the audited financial statements included or incorporated by reference in the Registration Statement and the Prospectus (and any amendment or supplement thereto), is an independent registered public accounting firm with respect to the GP Entities and the Partnership and its consolidated subsidiaries as required by the Act and the Public Company Accounting Oversight Board. </w:t>
      </w:r>
    </w:p>
    <w:p>
      <w:pPr>
        <w:pStyle w:val="TextBody"/>
        <w:spacing w:before="90" w:after="0"/>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No Material Adverse Changes. </w:t>
      </w:r>
      <w:r>
        <w:rPr>
          <w:rFonts w:ascii="Times New Roman" w:hAnsi="Times New Roman"/>
          <w:sz w:val="20"/>
        </w:rPr>
        <w:t xml:space="preserve">None of the Plains Entities or the GP Entities has sustained, since the date of the latest audited financial statements 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 to have a Material Adverse Effect. Except as disclosed in the Prospectus, subsequent to the respective dates as of which information is given in the Registration Statement and the Prospectus,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declared, paid or made on the security interests of any of the Plains Entities or the GP Entities, in each case other than as set forth in the Registration Statement and the Prospectus. </w:t>
      </w:r>
    </w:p>
    <w:p>
      <w:pPr>
        <w:pStyle w:val="TextBody"/>
        <w:spacing w:before="90" w:after="0"/>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Required Disclosures and Descriptions. </w:t>
      </w:r>
      <w:r>
        <w:rPr>
          <w:rFonts w:ascii="Times New Roman" w:hAnsi="Times New Roman"/>
          <w:sz w:val="20"/>
        </w:rPr>
        <w:t xml:space="preserve">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Securities Act or the Exchange Act.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Title to Properties. </w:t>
      </w:r>
      <w:r>
        <w:rPr>
          <w:rFonts w:ascii="Times New Roman" w:hAnsi="Times New Roman"/>
          <w:sz w:val="20"/>
        </w:rPr>
        <w:t xml:space="preserve">The Plains Entities, directly or indirectly, have good and indefeasible title to all real property and good title to all personal 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Permits. </w:t>
      </w:r>
      <w:r>
        <w:rPr>
          <w:rFonts w:ascii="Times New Roman" w:hAnsi="Times New Roman"/>
          <w:sz w:val="20"/>
        </w:rPr>
        <w:t>Each of the Plains Entities, directly or indirectly, has such permits, consents, licenses, franchises, certificates and authorizations of governmental or regulatory authorities (</w:t>
      </w:r>
      <w:r>
        <w:rPr>
          <w:rFonts w:ascii="Times New Roman" w:hAnsi="Times New Roman"/>
          <w:sz w:val="20"/>
          <w:u w:val="single"/>
        </w:rPr>
        <w:t>Permits</w:t>
      </w:r>
      <w:r>
        <w:rPr>
          <w:rFonts w:ascii="Times New Roman" w:hAnsi="Times New Roman"/>
          <w:sz w:val="20"/>
        </w:rPr>
        <w:t xml:space="preserve">) as are necessary to own its properties and to conduct its business in the manner described 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 </w:t>
      </w:r>
    </w:p>
    <w:p>
      <w:pPr>
        <w:pStyle w:val="TextBody"/>
        <w:spacing w:before="90" w:after="0"/>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Rights-of-Way. </w:t>
      </w:r>
      <w:r>
        <w:rPr>
          <w:rFonts w:ascii="Times New Roman" w:hAnsi="Times New Roman"/>
          <w:sz w:val="20"/>
        </w:rPr>
        <w:t>Each of the Plains Entities, directly or indirectly, has such consents, easements, rights-of-way or licenses from any person (</w:t>
      </w:r>
      <w:r>
        <w:rPr>
          <w:rFonts w:ascii="Times New Roman" w:hAnsi="Times New Roman"/>
          <w:sz w:val="20"/>
          <w:u w:val="single"/>
        </w:rPr>
        <w:t>rights-of-way</w:t>
      </w:r>
      <w:r>
        <w:rPr>
          <w:rFonts w:ascii="Times New Roman" w:hAnsi="Times New Roman"/>
          <w:sz w:val="20"/>
        </w:rPr>
        <w:t xml:space="preserve">)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 </w:t>
      </w:r>
    </w:p>
    <w:p>
      <w:pPr>
        <w:pStyle w:val="TextBody"/>
        <w:spacing w:before="90" w:after="0"/>
        <w:rPr>
          <w:rFonts w:ascii="Times New Roman" w:hAnsi="Times New Roman"/>
          <w:sz w:val="20"/>
        </w:rPr>
      </w:pPr>
      <w:r>
        <w:rPr>
          <w:rFonts w:ascii="Times New Roman" w:hAnsi="Times New Roman"/>
          <w:sz w:val="20"/>
        </w:rPr>
        <w:t xml:space="preserve">(ee) </w:t>
      </w:r>
      <w:r>
        <w:rPr>
          <w:rFonts w:ascii="Times New Roman" w:hAnsi="Times New Roman"/>
          <w:i/>
          <w:sz w:val="20"/>
        </w:rPr>
        <w:t>Investment Company.</w:t>
      </w:r>
      <w:r>
        <w:rPr>
          <w:rFonts w:ascii="Times New Roman" w:hAnsi="Times New Roman"/>
          <w:sz w:val="20"/>
        </w:rPr>
        <w:t xml:space="preserve"> None of the Plains Entities is now, and after sale of the Units to be sold by the Partnership hereunder and application of the net proceeds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sz w:val="20"/>
          <w:u w:val="single"/>
        </w:rPr>
        <w:t>Investment Company Act</w:t>
      </w:r>
      <w:r>
        <w:rPr>
          <w:rFonts w:ascii="Times New Roman" w:hAnsi="Times New Roman"/>
          <w:sz w:val="20"/>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90" w:after="0"/>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Environmental Compliance. </w:t>
      </w:r>
      <w:r>
        <w:rPr>
          <w:rFonts w:ascii="Times New Roman" w:hAnsi="Times New Roman"/>
          <w:sz w:val="20"/>
        </w:rPr>
        <w:t>Except as described in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sz w:val="20"/>
          <w:u w:val="single"/>
        </w:rPr>
        <w:t>Environmental Laws</w:t>
      </w:r>
      <w:r>
        <w:rPr>
          <w:rFonts w:ascii="Times New Roman" w:hAnsi="Times New Roman"/>
          <w:sz w:val="20"/>
        </w:rPr>
        <w:t xml:space="preserve">),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No Labor Disputes. </w:t>
      </w:r>
      <w:r>
        <w:rPr>
          <w:rFonts w:ascii="Times New Roman" w:hAnsi="Times New Roman"/>
          <w:sz w:val="20"/>
        </w:rPr>
        <w:t xml:space="preserve">No labor dispute with the employees of any of the Plains Entities or the GP Entities exists or, to the knowledge of the Partnership, is imminent, that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Execution Date and will be outstanding and duly in force on each applicable Settlement Date, except for such insurance for which the failure to be outstanding and duly in force would not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Distribution Restrictions. </w:t>
      </w:r>
      <w:r>
        <w:rPr>
          <w:rFonts w:ascii="Times New Roman" w:hAnsi="Times New Roman"/>
          <w:sz w:val="20"/>
        </w:rPr>
        <w:t xml:space="preserve">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Prospectus, (ii) as provided in the Credit Agreement dated August 19, 2011 among PAA Natural Gas Storage, L.P., Bank of America, N.A. and the other lenders from time to time party thereto, as amended, (iii) such prohibitions mandated by the laws of each such Subsidiarys state of formation and the terms of any such Subsidiarys Organizational Documents and (iv) where such prohibition would not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(jj) </w:t>
      </w:r>
      <w:r>
        <w:rPr>
          <w:rFonts w:ascii="Times New Roman" w:hAnsi="Times New Roman"/>
          <w:i/>
          <w:sz w:val="20"/>
        </w:rPr>
        <w:t xml:space="preserve">No Distribution of Other Offering Materials. </w:t>
      </w:r>
      <w:r>
        <w:rPr>
          <w:rFonts w:ascii="Times New Roman" w:hAnsi="Times New Roman"/>
          <w:sz w:val="20"/>
        </w:rPr>
        <w:t xml:space="preserve">None of the Plains Entities or the GP Entities has distributed and, prior to the latest Settlement Date, will not distribute, any prospectus (as defined under the Securities Act) in connection with the offering and sale of the Units other than the Prospectus or other materials, if any, permitted by the Securities Act, including Rule 134 under the Securities Act. </w:t>
      </w:r>
    </w:p>
    <w:p>
      <w:pPr>
        <w:pStyle w:val="TextBody"/>
        <w:spacing w:before="90" w:after="0"/>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NYSE Listing of Common Units. </w:t>
      </w:r>
      <w:r>
        <w:rPr>
          <w:rFonts w:ascii="Times New Roman" w:hAnsi="Times New Roman"/>
          <w:sz w:val="20"/>
        </w:rPr>
        <w:t>The Common Units are listed on the New York Stock Exchange (the </w:t>
      </w:r>
      <w:r>
        <w:rPr>
          <w:rFonts w:ascii="Times New Roman" w:hAnsi="Times New Roman"/>
          <w:sz w:val="20"/>
          <w:u w:val="single"/>
        </w:rPr>
        <w:t>NYSE</w:t>
      </w:r>
      <w:r>
        <w:rPr>
          <w:rFonts w:ascii="Times New Roman" w:hAnsi="Times New Roman"/>
          <w:sz w:val="20"/>
        </w:rPr>
        <w:t xml:space="preserve">), and prior to each Settlement Date, the Units to be issued on such Settlement Date will be approved for listing on the NYSE subject only to official notice of issuance. </w:t>
      </w:r>
    </w:p>
    <w:p>
      <w:pPr>
        <w:pStyle w:val="TextBody"/>
        <w:spacing w:before="90" w:after="0"/>
        <w:rPr>
          <w:rFonts w:ascii="Times New Roman" w:hAnsi="Times New Roman"/>
          <w:sz w:val="20"/>
        </w:rPr>
      </w:pPr>
      <w:r>
        <w:rPr>
          <w:rFonts w:ascii="Times New Roman" w:hAnsi="Times New Roman"/>
          <w:sz w:val="20"/>
        </w:rPr>
        <w:t xml:space="preserve">(ll) </w:t>
      </w:r>
      <w:r>
        <w:rPr>
          <w:rFonts w:ascii="Times New Roman" w:hAnsi="Times New Roman"/>
          <w:i/>
          <w:sz w:val="20"/>
        </w:rPr>
        <w:t xml:space="preserve">Books and Records; Accounting Controls. </w:t>
      </w:r>
      <w:r>
        <w:rPr>
          <w:rFonts w:ascii="Times New Roman" w:hAnsi="Times New Roman"/>
          <w:sz w:val="20"/>
        </w:rPr>
        <w:t xml:space="preserve">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(mm) </w:t>
      </w:r>
      <w:r>
        <w:rPr>
          <w:rFonts w:ascii="Times New Roman" w:hAnsi="Times New Roman"/>
          <w:i/>
          <w:sz w:val="20"/>
        </w:rPr>
        <w:t xml:space="preserve">Sarbanes-Oxley Act. </w:t>
      </w:r>
      <w:r>
        <w:rPr>
          <w:rFonts w:ascii="Times New Roman" w:hAnsi="Times New Roman"/>
          <w:sz w:val="20"/>
        </w:rPr>
        <w:t xml:space="preserve">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90" w:after="0"/>
        <w:rPr>
          <w:rFonts w:ascii="Times New Roman" w:hAnsi="Times New Roman"/>
          <w:sz w:val="20"/>
        </w:rPr>
      </w:pPr>
      <w:r>
        <w:rPr>
          <w:rFonts w:ascii="Times New Roman" w:hAnsi="Times New Roman"/>
          <w:sz w:val="20"/>
        </w:rPr>
        <w:t xml:space="preserve">(nn) </w:t>
      </w:r>
      <w:r>
        <w:rPr>
          <w:rFonts w:ascii="Times New Roman" w:hAnsi="Times New Roman"/>
          <w:i/>
          <w:sz w:val="20"/>
        </w:rPr>
        <w:t xml:space="preserve">Disclosure Controls. </w:t>
      </w:r>
      <w:r>
        <w:rPr>
          <w:rFonts w:ascii="Times New Roman" w:hAnsi="Times New Roman"/>
          <w:sz w:val="20"/>
        </w:rPr>
        <w:t xml:space="preserve">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90" w:after="0"/>
        <w:rPr>
          <w:rFonts w:ascii="Times New Roman" w:hAnsi="Times New Roman"/>
          <w:sz w:val="20"/>
        </w:rPr>
      </w:pPr>
      <w:r>
        <w:rPr>
          <w:rFonts w:ascii="Times New Roman" w:hAnsi="Times New Roman"/>
          <w:sz w:val="20"/>
        </w:rPr>
        <w:t xml:space="preserve">(oo) </w:t>
      </w:r>
      <w:r>
        <w:rPr>
          <w:rFonts w:ascii="Times New Roman" w:hAnsi="Times New Roman"/>
          <w:i/>
          <w:sz w:val="20"/>
        </w:rPr>
        <w:t xml:space="preserve">No Deficiency in Internal Controls. </w:t>
      </w:r>
      <w:r>
        <w:rPr>
          <w:rFonts w:ascii="Times New Roman" w:hAnsi="Times New Roman"/>
          <w:sz w:val="20"/>
        </w:rPr>
        <w:t xml:space="preserve">Based on the evaluation of its disclosure controls and procedures conducted in connection with the preparation and filing of the Partnerships most recently-filed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90" w:after="0"/>
        <w:rPr>
          <w:rFonts w:ascii="Times New Roman" w:hAnsi="Times New Roman"/>
          <w:sz w:val="20"/>
        </w:rPr>
      </w:pPr>
      <w:r>
        <w:rPr>
          <w:rFonts w:ascii="Times New Roman" w:hAnsi="Times New Roman"/>
          <w:sz w:val="20"/>
        </w:rPr>
        <w:t xml:space="preserve">(pp) </w:t>
      </w:r>
      <w:r>
        <w:rPr>
          <w:rFonts w:ascii="Times New Roman" w:hAnsi="Times New Roman"/>
          <w:i/>
          <w:sz w:val="20"/>
        </w:rPr>
        <w:t xml:space="preserve">FCPA. </w:t>
      </w:r>
      <w:r>
        <w:rPr>
          <w:rFonts w:ascii="Times New Roman" w:hAnsi="Times New Roman"/>
          <w:sz w:val="20"/>
        </w:rPr>
        <w:t xml:space="preserve">None of the Plains Entities or the GP Entities nor, to the knowledge of the Partnership,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90" w:after="0"/>
        <w:rPr>
          <w:rFonts w:ascii="Times New Roman" w:hAnsi="Times New Roman"/>
          <w:sz w:val="20"/>
        </w:rPr>
      </w:pPr>
      <w:r>
        <w:rPr>
          <w:rFonts w:ascii="Times New Roman" w:hAnsi="Times New Roman"/>
          <w:sz w:val="20"/>
        </w:rPr>
        <w:t xml:space="preserve">(qq) </w:t>
      </w:r>
      <w:r>
        <w:rPr>
          <w:rFonts w:ascii="Times New Roman" w:hAnsi="Times New Roman"/>
          <w:i/>
          <w:sz w:val="20"/>
        </w:rPr>
        <w:t xml:space="preserve">Money Laundering Laws. </w:t>
      </w:r>
      <w:r>
        <w:rPr>
          <w:rFonts w:ascii="Times New Roman" w:hAnsi="Times New Roman"/>
          <w:sz w:val="20"/>
        </w:rPr>
        <w:t xml:space="preserve">No action, suit or proceeding by or before any court or governmental agency, authority or body or any arbitrator involving the Plains Entities or the GP Entities that involve allegations of money laundering is pending or, to the knowledge of the Partnership, threatened. </w:t>
      </w:r>
    </w:p>
    <w:p>
      <w:pPr>
        <w:pStyle w:val="TextBody"/>
        <w:spacing w:before="90" w:after="0"/>
        <w:rPr>
          <w:rFonts w:ascii="Times New Roman" w:hAnsi="Times New Roman"/>
          <w:sz w:val="20"/>
        </w:rPr>
      </w:pPr>
      <w:r>
        <w:rPr>
          <w:rFonts w:ascii="Times New Roman" w:hAnsi="Times New Roman"/>
          <w:sz w:val="20"/>
        </w:rPr>
        <w:t xml:space="preserve">(rr) </w:t>
      </w:r>
      <w:r>
        <w:rPr>
          <w:rFonts w:ascii="Times New Roman" w:hAnsi="Times New Roman"/>
          <w:i/>
          <w:sz w:val="20"/>
        </w:rPr>
        <w:t xml:space="preserve">OFAC. </w:t>
      </w:r>
      <w:r>
        <w:rPr>
          <w:rFonts w:ascii="Times New Roman" w:hAnsi="Times New Roman"/>
          <w:sz w:val="20"/>
        </w:rPr>
        <w:t xml:space="preserve">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(ss) </w:t>
      </w:r>
      <w:r>
        <w:rPr>
          <w:rFonts w:ascii="Times New Roman" w:hAnsi="Times New Roman"/>
          <w:i/>
          <w:sz w:val="20"/>
        </w:rPr>
        <w:t xml:space="preserve">Use of Proceeds. </w:t>
      </w:r>
      <w:r>
        <w:rPr>
          <w:rFonts w:ascii="Times New Roman" w:hAnsi="Times New Roman"/>
          <w:sz w:val="20"/>
        </w:rPr>
        <w:t xml:space="preserve">Except as disclosed in the Registration Statement and the Prospectus, the Partnership does not intend to use any of the proceeds from the sale of the Units hereunder to repay any outstanding debt owed to any lender known to the Partnership to be an affiliate of Citigroup Global Markets Holdings Inc. </w:t>
      </w:r>
    </w:p>
    <w:p>
      <w:pPr>
        <w:pStyle w:val="TextBody"/>
        <w:spacing w:before="90" w:after="0"/>
        <w:rPr>
          <w:rFonts w:ascii="Times New Roman" w:hAnsi="Times New Roman"/>
          <w:sz w:val="20"/>
        </w:rPr>
      </w:pPr>
      <w:r>
        <w:rPr>
          <w:rFonts w:ascii="Times New Roman" w:hAnsi="Times New Roman"/>
          <w:sz w:val="20"/>
        </w:rPr>
        <w:t xml:space="preserve">(tt) </w:t>
      </w:r>
      <w:r>
        <w:rPr>
          <w:rFonts w:ascii="Times New Roman" w:hAnsi="Times New Roman"/>
          <w:i/>
          <w:sz w:val="20"/>
        </w:rPr>
        <w:t>XBRL.</w:t>
      </w:r>
      <w:r>
        <w:rPr>
          <w:rFonts w:ascii="Times New Roman" w:hAnsi="Times New Roman"/>
          <w:sz w:val="20"/>
        </w:rPr>
        <w:t xml:space="preserve">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 </w:t>
      </w:r>
    </w:p>
    <w:p>
      <w:pPr>
        <w:pStyle w:val="TextBody"/>
        <w:spacing w:before="180" w:after="0"/>
        <w:rPr>
          <w:rFonts w:ascii="Times New Roman" w:hAnsi="Times New Roman"/>
          <w:sz w:val="20"/>
        </w:rPr>
      </w:pPr>
      <w:r>
        <w:rPr>
          <w:rFonts w:ascii="Times New Roman" w:hAnsi="Times New Roman"/>
          <w:sz w:val="20"/>
        </w:rPr>
        <w:t xml:space="preserve">The applicable statements made in any certificate signed by any officer of the Partnership and delivered to the Manager in connection with this Agreement or any Terms Agreement shall be deemed a representation and warranty by the Partnership, as to matters covered thereby, to the Manager. </w:t>
      </w:r>
    </w:p>
    <w:p>
      <w:pPr>
        <w:pStyle w:val="TextBody"/>
        <w:spacing w:before="9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Sale and Delivery of Units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Sale of Offered Units by Manager, as Sales Agent. </w:t>
      </w:r>
      <w:r>
        <w:rPr>
          <w:rFonts w:ascii="Times New Roman" w:hAnsi="Times New Roman"/>
          <w:sz w:val="20"/>
        </w:rPr>
        <w:t xml:space="preserve">Subject to the terms and conditions and in reliance upon the representations and warranties herein set forth, the Partnership agrees to issue and sell Units from time to time through the Manager, acting as sales agent, and the Manager agrees to use its reasonable efforts to sell, as sales agent for the Partnership, the Units on the following terms. </w:t>
      </w:r>
    </w:p>
    <w:p>
      <w:pPr>
        <w:pStyle w:val="TextBody"/>
        <w:spacing w:before="90" w:after="0"/>
        <w:rPr>
          <w:rFonts w:ascii="Times New Roman" w:hAnsi="Times New Roman"/>
          <w:sz w:val="20"/>
        </w:rPr>
      </w:pPr>
      <w:r>
        <w:rPr>
          <w:rFonts w:ascii="Times New Roman" w:hAnsi="Times New Roman"/>
          <w:sz w:val="20"/>
        </w:rPr>
        <w:t xml:space="preserve">(i) The Units are to be sold on a daily basis or otherwise as shall be agreed to by the Partnership and the Manager on any day that (A) is a trading day for the NYSE (other than a day on which the NYSE is scheduled to close prior to its regular weekday closing time), (B) the Partnership has instructed the Manager by telephone (confirmed promptly by electronic mail) to make such sales and (C) the Partnership has satisfied its obligations under Section 6 hereof. The Partnership will designate the maximum amount of the Units to be sold by the Manager daily as agreed to by the Manager (in any event not in excess of the amount available for issuance under the Prospectus and the currently effective Registration Statement) and the minimum price per Unit at which such Units may be sold. Subject to the terms and conditions hereof, the Manager shall use its reasonable efforts to sell on a particular day all of the Units designated for the sale by the Partnership on such day. The gross sales price of the Units sold under this Section 3(a) shall be the market price for the Units sold by the Manager under this Section 3(a) on the NYSE at the time of sale of such Units. </w:t>
      </w:r>
    </w:p>
    <w:p>
      <w:pPr>
        <w:pStyle w:val="TextBody"/>
        <w:spacing w:before="90" w:after="0"/>
        <w:rPr>
          <w:rFonts w:ascii="Times New Roman" w:hAnsi="Times New Roman"/>
          <w:sz w:val="20"/>
        </w:rPr>
      </w:pPr>
      <w:r>
        <w:rPr>
          <w:rFonts w:ascii="Times New Roman" w:hAnsi="Times New Roman"/>
          <w:sz w:val="20"/>
        </w:rPr>
        <w:t xml:space="preserve">(ii) The Partnership acknowledges and agrees that (A) there can be no assurance that the Manager will be successful in selling the Units, (B) the Manager will incur no liability or obligation to the Partnership or any other person or entity if it does not sell Units for any reason other than a failure by the Manager to use its reasonable efforts consistent with its normal trading and sales practices and applicable law and regulations to sell such Units as required under this Agreement, and (C) the Manager shall be under no obligation to purchase Units on a principal basis pursuant to this Agreement, except as otherwise specifically agreed by the Manager and the Partnership.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(iii) The Partnership shall not authorize the issuance and sale of, and the Manager shall not be obligated to use its reasonable efforts to sell, any Units at a price lower than the minimum price therefor designated from time to time by the Board of Directors (the </w:t>
      </w:r>
      <w:r>
        <w:rPr>
          <w:rFonts w:ascii="Times New Roman" w:hAnsi="Times New Roman"/>
          <w:sz w:val="20"/>
          <w:u w:val="single"/>
        </w:rPr>
        <w:t>Board</w:t>
      </w:r>
      <w:r>
        <w:rPr>
          <w:rFonts w:ascii="Times New Roman" w:hAnsi="Times New Roman"/>
          <w:sz w:val="20"/>
        </w:rPr>
        <w:t xml:space="preserve">) of GP LLC, a duly authorized committee thereof, or any individual to whom such authority has been duly and properly delegated by the Board or a duly authorized committee thereof, and notified to the Manager in writing. The Partnership or the Manager may, upon notice to the other party hereto by telephone (confirmed promptly by electronic mail), suspend or terminate the offering of the Units for any reason and at any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or termination shall not affect or impair the parties respective obligations with respect to the Units sold hereunder prior to the giving of such notice. </w:t>
      </w:r>
    </w:p>
    <w:p>
      <w:pPr>
        <w:pStyle w:val="TextBody"/>
        <w:spacing w:before="90" w:after="0"/>
        <w:rPr>
          <w:rFonts w:ascii="Times New Roman" w:hAnsi="Times New Roman"/>
          <w:sz w:val="20"/>
        </w:rPr>
      </w:pPr>
      <w:r>
        <w:rPr>
          <w:rFonts w:ascii="Times New Roman" w:hAnsi="Times New Roman"/>
          <w:sz w:val="20"/>
        </w:rPr>
        <w:t>(iv) The Manager hereby covenants and agrees not to make any sales of the Units on behalf of the Partnership pursuant to this Section 3(a), other than (A) by means of ordinary brokers transactions between members of the NYSE that qualify for delivery of a Prospectus to the NYSE in accordance with Rule 153 (such transactions are hereinafter referred to as </w:t>
      </w:r>
      <w:r>
        <w:rPr>
          <w:rFonts w:ascii="Times New Roman" w:hAnsi="Times New Roman"/>
          <w:sz w:val="20"/>
          <w:u w:val="single"/>
        </w:rPr>
        <w:t>Continuous Offerings</w:t>
      </w:r>
      <w:r>
        <w:rPr>
          <w:rFonts w:ascii="Times New Roman" w:hAnsi="Times New Roman"/>
          <w:sz w:val="20"/>
        </w:rPr>
        <w:t xml:space="preserve">) and (B) such other sales of the Units on behalf of the Partnership in its capacity as agent of the Partnership as shall be agreed by the Partnership and the Manager pursuant to a Terms Agreement. </w:t>
      </w:r>
    </w:p>
    <w:p>
      <w:pPr>
        <w:pStyle w:val="TextBody"/>
        <w:spacing w:before="90" w:after="0"/>
        <w:rPr>
          <w:rFonts w:ascii="Times New Roman" w:hAnsi="Times New Roman"/>
          <w:sz w:val="20"/>
        </w:rPr>
      </w:pPr>
      <w:r>
        <w:rPr>
          <w:rFonts w:ascii="Times New Roman" w:hAnsi="Times New Roman"/>
          <w:sz w:val="20"/>
        </w:rPr>
        <w:t>(v) The compensation to the Manager for sales of the Units with respect to which the Manager acts as sales agent under this Agreement shall be up to 2.0% of the gross sales price of the Units sold pursuant to this Section 3(a) and payable as described in the succeeding subsection (vi) below. The foregoing rate of compensation shall not apply when the Manager acts as principal, in which case the Partnership may sell Units to the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 w:hAnsi="Times New Roman"/>
          <w:sz w:val="20"/>
          <w:u w:val="single"/>
        </w:rPr>
        <w:t>Transaction Fees</w:t>
      </w:r>
      <w:r>
        <w:rPr>
          <w:rFonts w:ascii="Times New Roman" w:hAnsi="Times New Roman"/>
          <w:sz w:val="20"/>
        </w:rPr>
        <w:t>), shall constitute the net proceeds due to the Partnership for such Units (the </w:t>
      </w:r>
      <w:r>
        <w:rPr>
          <w:rFonts w:ascii="Times New Roman" w:hAnsi="Times New Roman"/>
          <w:sz w:val="20"/>
          <w:u w:val="single"/>
        </w:rPr>
        <w:t>Net Proceeds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(vi) The Manager shall provide written confirmation (which may be by facsimile or electronic mail) to the Partnership following the close of trading on the NYSE each day in which the Units are sold under this Section 3(a), setting forth the number of the Units sold on such day, the aggregate gross sales proceeds and the Net Proceeds to the Partnership, and the compensation payable by the Partnership to the Manager with respect to such sales. Such compensation shall be set forth and invoiced in periodic statements from the Manager to the Company, with payment to be made by the Partnership promptly after its receipt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(vii) Settlement for sales of the Units pursuant to this Section 3(a) will occur on the third business day following the date on which such sales are made (each such day, a </w:t>
      </w:r>
      <w:r>
        <w:rPr>
          <w:rFonts w:ascii="Times New Roman" w:hAnsi="Times New Roman"/>
          <w:sz w:val="20"/>
          <w:u w:val="single"/>
        </w:rPr>
        <w:t>Settlement Date</w:t>
      </w:r>
      <w:r>
        <w:rPr>
          <w:rFonts w:ascii="Times New Roman" w:hAnsi="Times New Roman"/>
          <w:sz w:val="20"/>
        </w:rPr>
        <w:t>). On each Settlement Date, the Units sold through the Manager for settlement on such date shall be issued and delivered by or on behalf of the Partnership to the Manager against payment of the aggregate gross sales proceeds less any Transaction Fees for the sale of such Units. Settlement for all such Units shall be effected by free delivery of the Units to the Managers or the Managers designees account at The Depository Trust &amp; Clearing Corporation (</w:t>
      </w:r>
      <w:r>
        <w:rPr>
          <w:rFonts w:ascii="Times New Roman" w:hAnsi="Times New Roman"/>
          <w:sz w:val="20"/>
          <w:u w:val="single"/>
        </w:rPr>
        <w:t>DTC</w:t>
      </w:r>
      <w:r>
        <w:rPr>
          <w:rFonts w:ascii="Times New Roman" w:hAnsi="Times New Roman"/>
          <w:sz w:val="20"/>
        </w:rPr>
        <w:t xml:space="preserve">) in return for payments in same day funds delivered to the Partnership by federal funds wire transfer to the account designated by the Partnership. If the Partnership or its transfer agent shall default on the obligation to deliver the Units on any Settlement Date, the Partnership shall (A) indemnify and hold the Manager harmless against any loss, claim or damage arising from or as a result of such default by the Partnership and (B) pay the Manager any commission to which it would otherwise be entitled absent such default. If the Manager breaches this Agreement by failing to deliver the aggregate gross sales proceeds less any Transaction Fees to the Partnership on any Settlement Date for the Units delivered by the Partnership, the Manager will pay the Partnership interest based on the effective overnight federal funds rate on such unpaid amount less any compensation due to the Manager. </w:t>
      </w:r>
    </w:p>
    <w:p>
      <w:pPr>
        <w:pStyle w:val="TextBody"/>
        <w:spacing w:before="90" w:after="0"/>
        <w:rPr>
          <w:rFonts w:ascii="Times New Roman" w:hAnsi="Times New Roman"/>
          <w:sz w:val="20"/>
        </w:rPr>
      </w:pPr>
      <w:r>
        <w:rPr>
          <w:rFonts w:ascii="Times New Roman" w:hAnsi="Times New Roman"/>
          <w:sz w:val="20"/>
        </w:rPr>
        <w:t xml:space="preserve">(viii) At each Applicable Time, Settlement Date, and Representation Date (as defined in Section 4(l)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the Manager to use its reasonable efforts to sell the Units on behalf of the Partnership shall be 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Section 6 hereof.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Sale of Offered Units by Manager, as Principal. </w:t>
      </w:r>
      <w:r>
        <w:rPr>
          <w:rFonts w:ascii="Times New Roman" w:hAnsi="Times New Roman"/>
          <w:sz w:val="20"/>
        </w:rPr>
        <w:t>If the Partnership wishes to issue and sell the Units pursuant to this Agreement but other than as set forth in Section 3(a) hereof (each, a </w:t>
      </w:r>
      <w:r>
        <w:rPr>
          <w:rFonts w:ascii="Times New Roman" w:hAnsi="Times New Roman"/>
          <w:sz w:val="20"/>
          <w:u w:val="single"/>
        </w:rPr>
        <w:t>Placement</w:t>
      </w:r>
      <w:r>
        <w:rPr>
          <w:rFonts w:ascii="Times New Roman" w:hAnsi="Times New Roman"/>
          <w:sz w:val="20"/>
        </w:rPr>
        <w:t xml:space="preserve">), it will notify the Manager of the proposed terms of such Placement. If the Manager, acting as principal, wishes to accept such proposed terms (which it may decline to do for any reason in its sole discretion) or, following discussions with the Partnership wishes to accept amended terms, the Manager and the Partnership will enter into a Terms Agreement setting forth the terms of such Placement. The terms set forth in a Terms Agreement will not be binding on the Partnership or the Manager unless and until the Partnership and the Manager have each executed such Terms Agreement accepting all of the terms of such Terms Agreement. In the event of a conflict between the terms of this Agreement and the terms of a Terms Agreement, the terms of such Terms Agreement will control.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Terms Agreement. </w:t>
      </w:r>
      <w:r>
        <w:rPr>
          <w:rFonts w:ascii="Times New Roman" w:hAnsi="Times New Roman"/>
          <w:sz w:val="20"/>
        </w:rPr>
        <w:t>Each sale of the Units to the Manager shall be made in accordance with the terms of this Agreement and, if applicable, a Terms Agreement, which will provide for the sale of such Units to, and the purchase thereof by, the Manager. A Terms Agreement may also specify certain provisions relating to the reoffering of such Units by the Manager. The commitment of the Manager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the Units to be purchased by the Manager pursuant thereto, the price to be paid to the Partnership for such Units, any provisions relating to rights of, and default by, underwriters acting together with the Manager in the reoffering of the Units, and the time and date (each such time and date being referred to herein as a </w:t>
      </w:r>
      <w:r>
        <w:rPr>
          <w:rFonts w:ascii="Times New Roman" w:hAnsi="Times New Roman"/>
          <w:sz w:val="20"/>
          <w:u w:val="single"/>
        </w:rPr>
        <w:t>Time of Delivery</w:t>
      </w:r>
      <w:r>
        <w:rPr>
          <w:rFonts w:ascii="Times New Roman" w:hAnsi="Times New Roman"/>
          <w:sz w:val="20"/>
        </w:rPr>
        <w:t xml:space="preserve">) and place of delivery of and payment for such Units. Such Terms Agreement shall also specify any requirements for opinions of counsel, accountants letters and officers certificates pursuant to Section 6 hereof and any other information or documents required by the Manager.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Limitations on Number and Amount of Offered Units Sold. </w:t>
      </w:r>
      <w:r>
        <w:rPr>
          <w:rFonts w:ascii="Times New Roman" w:hAnsi="Times New Roman"/>
          <w:sz w:val="20"/>
        </w:rPr>
        <w:t xml:space="preserve">Under no circumstances shall the number and aggregate amount of the Units sold pursuant to this Agreement and any Terms Agreement exceed (i) the aggregate amount set forth in Section 1, (ii) the number of Common Units available for issuance under the currently effective Registration Statement or (iii) the number and aggregate amount of the Units, if any, authorized to be issued and sold under this Agreement by the Board, or a duly authorized committee thereof, and notified to the Manager in writing.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Regulation M. </w:t>
      </w:r>
      <w:r>
        <w:rPr>
          <w:rFonts w:ascii="Times New Roman" w:hAnsi="Times New Roman"/>
          <w:sz w:val="20"/>
        </w:rPr>
        <w:t xml:space="preserve">If either party has reason to believe that the exemptive provisions set forth in Rule 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 </w:t>
      </w:r>
    </w:p>
    <w:p>
      <w:pPr>
        <w:pStyle w:val="TextBody"/>
        <w:spacing w:before="18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Agreements</w:t>
      </w:r>
      <w:r>
        <w:rPr>
          <w:rFonts w:ascii="Times New Roman" w:hAnsi="Times New Roman"/>
          <w:sz w:val="20"/>
        </w:rPr>
        <w:t xml:space="preserve">. The Partnership agrees with the Manager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Filing of Amendment or Supplement. </w:t>
      </w:r>
      <w:r>
        <w:rPr>
          <w:rFonts w:ascii="Times New Roman" w:hAnsi="Times New Roman"/>
          <w:sz w:val="20"/>
        </w:rPr>
        <w:t xml:space="preserve">During any period when the delivery of a prospectus relating to the Units is required (including in circumstances where such requirement may be satisfied pursuant to Rule 172) to be delivered under the Act, the Partnership will advise the Manager promptly of any amendment or supplement to the Registration Statement or the Prospectus which is proposed to be filed (other than any amendment or supplement which does not relate to the sale of the Units and not including any reports or documents and any preliminary or definitive proxy or information statement required to be filed by the Partnership with the Commission in order to comply with the Exchange Act) and not to effect any such amendment or supplement in a form to which the Manager reasonably objects. The Partnership has properly completed the Prospectus, in a form approved by the Manager, and filed such Prospectus, as amended at the Execution Time, with the Commission pursuant to the applicable paragraph of Rule 424(b) by the Execution Time and will cause any supplement to the Prospectus to be properly completed, in a form approved by the Manager, and will file such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with the Commission pursuant to the applicable paragraph of Rule 424(b) within the time period prescribed thereby and will provide evidence satisfactory to the Manager of such timely filing. The Partnership will promptly advise the Manager (i) when the Prospectus, and any supplement thereto, shall have been filed (if required) with the Commission pursuant to Rule 424(b) or when any Rule 462(b) Registration Statement relating to the Units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relating to the Units,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 of Ineligibility. </w:t>
      </w:r>
      <w:r>
        <w:rPr>
          <w:rFonts w:ascii="Times New Roman" w:hAnsi="Times New Roman"/>
          <w:sz w:val="20"/>
        </w:rPr>
        <w:t xml:space="preserve">If at any time when Units remain unsold by the Manager the Partnership receives from the Commission a notice or otherwise ceases to be eligible to use Form S-3, the Company will promptly notify the Manager, and the Partnership will not give the Manager instructions to sell Units under this Agreement until such time as the Partnership is again eligible to use Form S-3 for such purpose.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of Material Changes. </w:t>
      </w:r>
      <w:r>
        <w:rPr>
          <w:rFonts w:ascii="Times New Roman" w:hAnsi="Times New Roman"/>
          <w:sz w:val="20"/>
        </w:rPr>
        <w:t xml:space="preserve">If, at any time on or after an Applicable Time but prior to the related Settlement Date or Time of Delivery,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 so that any use of the Prospectus may cease until it is amended or supplemented; (ii) amend or supplement the Prospectus to correct such statement or omission; and (iii) supply any amendment or supplement to the Manager in such quantities as the Manager may reasonably request.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Material Misstatements or Omissions in Prospectus. </w:t>
      </w:r>
      <w:r>
        <w:rPr>
          <w:rFonts w:ascii="Times New Roman" w:hAnsi="Times New Roman"/>
          <w:sz w:val="20"/>
        </w:rPr>
        <w:t xml:space="preserve">During any period when the delivery of a prospectus relating to the Units is required (including in circumstances where such requirement may be satisfied pursuant to Rule 172) under the Act, if any event occurs as a result of which the Prospectus as then supplemented would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 of any such event, (ii) prepare and file with the Commission, subject to the second sentence of paragraph (a) of this Section 4,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Reports to Security Holders.</w:t>
      </w:r>
      <w:r>
        <w:rPr>
          <w:rFonts w:ascii="Times New Roman" w:hAnsi="Times New Roman"/>
          <w:sz w:val="20"/>
        </w:rPr>
        <w:t xml:space="preserve"> In accordance with Section 11(a) of the Act and Rule 158,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Signed Copies of Registration Statement. </w:t>
      </w:r>
      <w:r>
        <w:rPr>
          <w:rFonts w:ascii="Times New Roman" w:hAnsi="Times New Roman"/>
          <w:sz w:val="20"/>
        </w:rPr>
        <w:t xml:space="preserve">The Partnership will make available to the Manager, without charge, signed copies of the Registration Statement and, so long as delivery of a prospectus by the Manager or dealer may be required by the Act (including in circumstances where such requirement may be satisfied pursuant to Rule 172), as many copies of the Prospectus and any amendments or supplement thereto as the Manager may reasonably request. The Partnership will pay the expenses of printing or other production of all documents relating to the offering.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Qualification. </w:t>
      </w:r>
      <w:r>
        <w:rPr>
          <w:rFonts w:ascii="Times New Roman" w:hAnsi="Times New Roman"/>
          <w:sz w:val="20"/>
        </w:rPr>
        <w:t xml:space="preserve">The Partnership will arrange, if necessary, for the qualification of the Units for sale under the laws of such jurisdictions as the Manager may designate and will maintain such qualifications in effect so long as required for the distribution of the Units; </w:t>
      </w:r>
      <w:r>
        <w:rPr>
          <w:rFonts w:ascii="Times New Roman" w:hAnsi="Times New Roman"/>
          <w:i/>
          <w:sz w:val="20"/>
        </w:rPr>
        <w:t>provided</w:t>
      </w:r>
      <w:r>
        <w:rPr>
          <w:rFonts w:ascii="Times New Roman" w:hAnsi="Times New Roman"/>
          <w:sz w:val="20"/>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w:t>
      </w:r>
    </w:p>
    <w:p>
      <w:pPr>
        <w:pStyle w:val="TextBody"/>
        <w:spacing w:before="90" w:after="0"/>
        <w:rPr>
          <w:rFonts w:ascii="Times New Roman" w:hAnsi="Times New Roman"/>
          <w:sz w:val="20"/>
        </w:rPr>
      </w:pPr>
      <w:r>
        <w:rPr>
          <w:rFonts w:ascii="Times New Roman" w:hAnsi="Times New Roman"/>
          <w:sz w:val="20"/>
        </w:rPr>
        <w:t xml:space="preserve">(h) </w:t>
      </w:r>
      <w:r>
        <w:rPr>
          <w:rFonts w:ascii="Times New Roman" w:hAnsi="Times New Roman"/>
          <w:i/>
          <w:sz w:val="20"/>
        </w:rPr>
        <w:t>No Issuer Free Writing Prospectus.</w:t>
      </w:r>
      <w:r>
        <w:rPr>
          <w:rFonts w:ascii="Times New Roman" w:hAnsi="Times New Roman"/>
          <w:sz w:val="20"/>
        </w:rPr>
        <w:t xml:space="preserve"> Each of the Partnership and the Manager agree that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Limitations on Sale of Common Units. </w:t>
      </w:r>
      <w:r>
        <w:rPr>
          <w:rFonts w:ascii="Times New Roman" w:hAnsi="Times New Roman"/>
          <w:sz w:val="20"/>
        </w:rPr>
        <w:t xml:space="preserve">At any time that sales of the Units have been made but not settled or at any time the Partnership has outstanding with the Manager any instructions to sell the Units but such instructions have not been fulfilled or cancelled, the Partnership will not (i) offer, sell, contract to sell, pledge or otherwise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dispose of (or enter into any transaction that is designed to, or might reasonably be expected to, result in the disposition (whether by actual disposition or effective economic disposition due to cash settlement or otherwise) by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 w:hAnsi="Times New Roman"/>
          <w:i/>
          <w:sz w:val="20"/>
        </w:rPr>
        <w:t>pari passu</w:t>
      </w:r>
      <w:r>
        <w:rPr>
          <w:rFonts w:ascii="Times New Roman" w:hAnsi="Times New Roman"/>
          <w:sz w:val="20"/>
        </w:rPr>
        <w:t xml:space="preserve"> with Common Units, or publicly announce an intention to effect any such transaction, or (ii) grant any options or warrants to purchase Common Units, without giving the Manager at least three Business Days prior written notice specifying the nature of the proposed transaction and the date of such proposed transaction;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 the Partnership may issue the Units pursuant to this Agreement or any Terms Agreement; (B) the Partnership may file a registration statement on Form S-8 or issue and sell Common Units or securities convertible into or exchangeable for Common Units pursuant to any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 In the event that notice of a proposed sale is provided by the Partnership pursuant to this Section 4(i), the Manager may (and shall if requested by the Partnership) suspend activity under this program for such period of time as may be requested by the Partnership or as may be deemed appropriate by the Manager.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Market Stabilization. </w:t>
      </w:r>
      <w:r>
        <w:rPr>
          <w:rFonts w:ascii="Times New Roman" w:hAnsi="Times New Roman"/>
          <w:sz w:val="20"/>
        </w:rPr>
        <w:t xml:space="preserve">Except as stated in this Agreement, any Terms Agreement and the Prospectus, the Partnership has not taken, nor will it (i) take, directly or indirectly, any action designed to or that might reasonably be expected to cause or result in stabilization or manipulation of the price of the Common Units to facilitate the sale or resale of the Units or (ii) sell, bid for, purchase or pay any person any compensation for soliciting purchases of the Units. </w:t>
      </w:r>
    </w:p>
    <w:p>
      <w:pPr>
        <w:pStyle w:val="TextBody"/>
        <w:spacing w:before="90" w:after="0"/>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Notifications to Manager. </w:t>
      </w:r>
      <w:r>
        <w:rPr>
          <w:rFonts w:ascii="Times New Roman" w:hAnsi="Times New Roman"/>
          <w:sz w:val="20"/>
        </w:rPr>
        <w:t xml:space="preserve">The Company will, at any time during the term of this Agreement, as supplemented from time to time, advise the Manager immediately after it shall have received notice or obtain knowledge thereof, of any information or fact that would alter or affect any opinion, certificate, letter and other document which has been previously provided to the Manager pursuant to Section 6 herein. </w:t>
      </w:r>
    </w:p>
    <w:p>
      <w:pPr>
        <w:pStyle w:val="TextBody"/>
        <w:spacing w:before="90" w:after="0"/>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Certificates. </w:t>
      </w:r>
      <w:r>
        <w:rPr>
          <w:rFonts w:ascii="Times New Roman" w:hAnsi="Times New Roman"/>
          <w:sz w:val="20"/>
        </w:rPr>
        <w:t xml:space="preserve">Upon commencement of the offering of the Units under this Agreement (and upon the recommencement of the offering of the Units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 Rule 424(b) pursuant to Section 4(bb) hereof or a prospectus supplement relating solely to the offering of securities other than the Units), (ii) there is filed with the Commission any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document incorporated by reference into the Prospectus (other than a Current Report on Form 8-K, unless the Manager shall otherwise reasonably request), (iii) the Units are delivered to the Manager as principal at the Time of Delivery pursuant to a Terms Agreement, or (iv) otherwise as the Manager may reasonably request and upon reasonable advance notice to the Partnership (such commencement or recommencement date and each such date referred to in subsection (i), (ii), (iii) and (iv) herein, each a </w:t>
      </w:r>
      <w:r>
        <w:rPr>
          <w:rFonts w:ascii="Times New Roman" w:hAnsi="Times New Roman"/>
          <w:sz w:val="20"/>
          <w:u w:val="single"/>
        </w:rPr>
        <w:t>Representation Date</w:t>
      </w:r>
      <w:r>
        <w:rPr>
          <w:rFonts w:ascii="Times New Roman" w:hAnsi="Times New Roman"/>
          <w:sz w:val="20"/>
        </w:rPr>
        <w:t xml:space="preserve">), the Partnership shall furnish or cause to be furnished to the Manager forthwith a certificate dated and delivered on the Representation Date, in form satisfactory to the Manager to the effect that the statements contained in the certificate referred to in Section 6(b) hereof which were last furnished to the Manager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Section 6(b), modified as described immediately above to the time of delivery of such certificate. </w:t>
      </w:r>
    </w:p>
    <w:p>
      <w:pPr>
        <w:pStyle w:val="TextBody"/>
        <w:spacing w:before="90" w:after="0"/>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Opinion of Partnership Counsel. </w:t>
      </w:r>
      <w:r>
        <w:rPr>
          <w:rFonts w:ascii="Times New Roman" w:hAnsi="Times New Roman"/>
          <w:sz w:val="20"/>
        </w:rPr>
        <w:t>At each Representation Date, the Partnership shall furnish or cause to be furnished forthwith to the Manager a written opinion of Vinson &amp; Elkins L.L.P., counsel for the Partnership (</w:t>
      </w:r>
      <w:r>
        <w:rPr>
          <w:rFonts w:ascii="Times New Roman" w:hAnsi="Times New Roman"/>
          <w:sz w:val="20"/>
          <w:u w:val="single"/>
        </w:rPr>
        <w:t>Partnership Counsel</w:t>
      </w:r>
      <w:r>
        <w:rPr>
          <w:rFonts w:ascii="Times New Roman" w:hAnsi="Times New Roman"/>
          <w:sz w:val="20"/>
        </w:rPr>
        <w:t xml:space="preserve">), or other counsel satisfactory to the Manager, dated as of the Representation Date, in form and substance satisfactory to the Manager, of the same tenor as the opinion referred to in Section 6(c)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Opinion of General Counsel. </w:t>
      </w:r>
      <w:r>
        <w:rPr>
          <w:rFonts w:ascii="Times New Roman" w:hAnsi="Times New Roman"/>
          <w:sz w:val="20"/>
        </w:rPr>
        <w:t>At each Representation Date, the Partnership shall furnish or cause to be furnished forthwith to the Manager a written opinion of the general counsel for GP LLC (</w:t>
      </w:r>
      <w:r>
        <w:rPr>
          <w:rFonts w:ascii="Times New Roman" w:hAnsi="Times New Roman"/>
          <w:sz w:val="20"/>
          <w:u w:val="single"/>
        </w:rPr>
        <w:t>General Counsel</w:t>
      </w:r>
      <w:r>
        <w:rPr>
          <w:rFonts w:ascii="Times New Roman" w:hAnsi="Times New Roman"/>
          <w:sz w:val="20"/>
        </w:rPr>
        <w:t xml:space="preserve">), dated as of the Representation Date, in form and substance satisfactory to the Manager, of the same tenor as the opinion referred to in Section 6(d)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Opinion of Canadian Counsel. </w:t>
      </w:r>
      <w:r>
        <w:rPr>
          <w:rFonts w:ascii="Times New Roman" w:hAnsi="Times New Roman"/>
          <w:sz w:val="20"/>
        </w:rPr>
        <w:t>Upon commencement of the offering of Units under this Agreement (and upon the recommencement of the offering of Units under this Agreement following the termination of a suspension of sales hereunder) and as otherwise as the Manager may reasonably request, the Company shall furnish or cause to be furnished forthwith to the Manager a written opinion of Bennett Jones LLP, special Canadian counsel to the Partnership, or other outside counsel satisfactory to the Manager (</w:t>
      </w:r>
      <w:r>
        <w:rPr>
          <w:rFonts w:ascii="Times New Roman" w:hAnsi="Times New Roman"/>
          <w:sz w:val="20"/>
          <w:u w:val="single"/>
        </w:rPr>
        <w:t>Outside Canadian Counsel</w:t>
      </w:r>
      <w:r>
        <w:rPr>
          <w:rFonts w:ascii="Times New Roman" w:hAnsi="Times New Roman"/>
          <w:sz w:val="20"/>
        </w:rPr>
        <w:t xml:space="preserve">), dated and delivered the date of commencement or recommencement or promptly upon such request, as the case may be, in form and substance satisfactory to the Manager, of the same tenor as the opinion referred to in Section 6(e) hereof, but modified as necessary to relate to the Registration Statement and the Prospectus, in each case as amended and supplemented to the time of delivery of such opinion. Further, at each Representation Date, the Partnership shall furnish or cause to be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furnished forthwith to the Manager a written opinion of either the Outside Canadian Counsel or special internal Canadian counsel for the Partnership (the </w:t>
      </w:r>
      <w:r>
        <w:rPr>
          <w:rFonts w:ascii="Times New Roman" w:hAnsi="Times New Roman"/>
          <w:sz w:val="20"/>
          <w:u w:val="single"/>
        </w:rPr>
        <w:t>Internal Canadian Counsel</w:t>
      </w:r>
      <w:r>
        <w:rPr>
          <w:rFonts w:ascii="Times New Roman" w:hAnsi="Times New Roman"/>
          <w:sz w:val="20"/>
        </w:rPr>
        <w:t>; each of the Internal Canadian Counsel and the Outside Canadian Counsel, individually, the </w:t>
      </w:r>
      <w:r>
        <w:rPr>
          <w:rFonts w:ascii="Times New Roman" w:hAnsi="Times New Roman"/>
          <w:sz w:val="20"/>
          <w:u w:val="single"/>
        </w:rPr>
        <w:t>Canadian Counsel</w:t>
      </w:r>
      <w:r>
        <w:rPr>
          <w:rFonts w:ascii="Times New Roman" w:hAnsi="Times New Roman"/>
          <w:sz w:val="20"/>
        </w:rPr>
        <w:t xml:space="preserve">), dated as of the Representation Date, in form and substance satisfactory to the Manager, of the same tenor as the opinion referred to in Section 6(e)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Opinion of Managers Counsel. </w:t>
      </w:r>
      <w:r>
        <w:rPr>
          <w:rFonts w:ascii="Times New Roman" w:hAnsi="Times New Roman"/>
          <w:sz w:val="20"/>
        </w:rPr>
        <w:t>At each Representation Date, Baker Botts L.L.P., counsel for the Manager (</w:t>
      </w:r>
      <w:r>
        <w:rPr>
          <w:rFonts w:ascii="Times New Roman" w:hAnsi="Times New Roman"/>
          <w:sz w:val="20"/>
          <w:u w:val="single"/>
        </w:rPr>
        <w:t>Managers Counsel</w:t>
      </w:r>
      <w:r>
        <w:rPr>
          <w:rFonts w:ascii="Times New Roman" w:hAnsi="Times New Roman"/>
          <w:sz w:val="20"/>
        </w:rPr>
        <w:t xml:space="preserve">), shall deliver a written opinion, dated as of the Representation Date, in form and substance satisfactory to the Manager, of the same tenor as the opinion referred to in Section 6(f)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Letter of Independent Accountants. </w:t>
      </w:r>
      <w:r>
        <w:rPr>
          <w:rFonts w:ascii="Times New Roman" w:hAnsi="Times New Roman"/>
          <w:sz w:val="20"/>
        </w:rPr>
        <w:t xml:space="preserve">Upon commencement of the offering of the Units under this Agreement (and upon the recommencement of the offering of the Units under this Agreement following the termination of a suspension of sales hereunder), and each time that (i) the Registration Statement or the Prospectus shall be amended or supplemented to include additional or amended financial information, (ii) the Units are delivered to the Manager as principal at the Time of Delivery pursuant to a Terms Agreement, (iii) the Partnership files a Quarterly Report on Form 10-Q or an Annual Report on Form 10-K, or (iv) at the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 forthwith, to furnish, as promptly as practicable after such date, the Manager a letter, dated the date of commencement or recommencement, effectiveness of such amendment, the date of filing of such supplement or other document with the Commission, or the Time of Delivery, as the case may be, in form satisfactory to the Manager, of the same tenor as the letter referred to in Section 6(g) hereof but modified to incorporate the disclosures contained in the Registration Statement and the Prospectus, in each case as amended or supplemented as of such date.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w:t>
      </w:r>
      <w:r>
        <w:rPr>
          <w:rFonts w:ascii="Times New Roman" w:hAnsi="Times New Roman"/>
          <w:sz w:val="20"/>
        </w:rPr>
        <w:t xml:space="preserve">At each Representation Date, if requested by the Manager, the Partnership will conduct a due diligence session, in form and substance satisfactory to the Manager, which shall include representatives of the management and the independent accountants of the Partnership. The Partnership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officers and the Partnerships agents during regular business hours and at the Partnerships principal offices, and timely furnishing or causing to be furnished such certificates, letters and opinions from the Partnership, its officers and its agents, as the Manager may reasonably request.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Manager Trading. </w:t>
      </w:r>
      <w:r>
        <w:rPr>
          <w:rFonts w:ascii="Times New Roman" w:hAnsi="Times New Roman"/>
          <w:sz w:val="20"/>
        </w:rPr>
        <w:t xml:space="preserve">The Partnership consents to the Manager trading in the Common Units for the Managers own account and for the account of its clients at the same time as sales of the Units occur pursuant to this Agreement or pursuant to a Terms Agreement.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Disclosures in Periodic Reports. </w:t>
      </w:r>
      <w:r>
        <w:rPr>
          <w:rFonts w:ascii="Times New Roman" w:hAnsi="Times New Roman"/>
          <w:sz w:val="20"/>
        </w:rPr>
        <w:t xml:space="preserve">The Partnership will disclose in its Annual Reports on Form 10-K, Quarterly Reports on Form 10-Q, and in any other filings made by the Partnership where the Commission may require the Partnership to disclose such information, the number of Units sold to or through the Manager under this Agreement, the Net Proceeds to the Partnership and the compensation paid by the Partnership with respect to sales of Units pursuant to this Agreement during the relevant quarter. </w:t>
      </w:r>
    </w:p>
    <w:p>
      <w:pPr>
        <w:pStyle w:val="TextBody"/>
        <w:spacing w:before="90" w:after="0"/>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Failure of Certain Conditions. </w:t>
      </w:r>
      <w:r>
        <w:rPr>
          <w:rFonts w:ascii="Times New Roman" w:hAnsi="Times New Roman"/>
          <w:sz w:val="20"/>
        </w:rPr>
        <w:t xml:space="preserve">If to the knowledge of the Partnership, the conditions set forth in Sections 6(a) or 6(h) hereof shall not be true and correct on the applicable Settlement Date, the Partnership will offer to any person who has agreed to purchase Units from the Partnership as the result of an offer to purchase solicited by the Manager the right to refuse to purchase and pay for such Units.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Affirmation of Representations and Warranties. </w:t>
      </w:r>
      <w:r>
        <w:rPr>
          <w:rFonts w:ascii="Times New Roman" w:hAnsi="Times New Roman"/>
          <w:sz w:val="20"/>
        </w:rPr>
        <w:t xml:space="preserve">Each acceptance by the Partnership of an offer to purchase the Units hereunder, and each execution and delivery by the Partnership of a Terms Agreement, shall be deemed to be an affirmation to the Manager that the representations and warranties of the Partnership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Units relating to such acceptance or as of the Time of Delivery relating to such sale, as the case may be, as though made at and as of such date (except that such representations and warranties shall be deemed modified to incorporate the disclosures contained in the Registration Statement and the Prospectus, in each case as amended or supplemented as of such date). </w:t>
      </w:r>
    </w:p>
    <w:p>
      <w:pPr>
        <w:pStyle w:val="TextBody"/>
        <w:spacing w:before="90" w:after="0"/>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Partnership Authority. </w:t>
      </w:r>
      <w:r>
        <w:rPr>
          <w:rFonts w:ascii="Times New Roman" w:hAnsi="Times New Roman"/>
          <w:sz w:val="20"/>
        </w:rPr>
        <w:t xml:space="preserve">The Partnership shall ensure prior to instructing the Manager to sell Units that (i) the Partnership shall have obtained all necessary partnership authority for the offer and sale of such Units, (ii) there are at all times sufficient Common Units to provide for the issuance, free of any preemptive rights, of the maximum aggregate number of Units authorized for issuance pursuant to the terms of this Agreement. </w:t>
      </w:r>
    </w:p>
    <w:p>
      <w:pPr>
        <w:pStyle w:val="TextBody"/>
        <w:spacing w:before="90" w:after="0"/>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NYSE Listing. </w:t>
      </w:r>
      <w:r>
        <w:rPr>
          <w:rFonts w:ascii="Times New Roman" w:hAnsi="Times New Roman"/>
          <w:sz w:val="20"/>
        </w:rPr>
        <w:t xml:space="preserve">The Partnership will use its reasonable efforts to effect the listing of the Units for trading on the NYSE, subject to notice of issuance, and to maintain such listing. </w:t>
      </w:r>
    </w:p>
    <w:p>
      <w:pPr>
        <w:pStyle w:val="TextBody"/>
        <w:spacing w:before="90" w:after="0"/>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Exchange Act Filings. </w:t>
      </w:r>
      <w:r>
        <w:rPr>
          <w:rFonts w:ascii="Times New Roman" w:hAnsi="Times New Roman"/>
          <w:sz w:val="20"/>
        </w:rPr>
        <w:t xml:space="preserve">During any period when the delivery of a prospectus relating to the Units is required (including in circumstances where such requirement may be satisfied pursuant to Rule 172) to be delivered under the Act, the Partnership will file all documents required to be filed with the Commission pursuant to the Exchange Act within the time periods required by the Exchange Act and the regulations thereunder.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DTC. </w:t>
      </w:r>
      <w:r>
        <w:rPr>
          <w:rFonts w:ascii="Times New Roman" w:hAnsi="Times New Roman"/>
          <w:sz w:val="20"/>
        </w:rPr>
        <w:t xml:space="preserve">The Partnership shall cooperate with Manager and use its reasonable efforts to permit the Units to be eligible for clearance and settlement through the facilities of DTC. </w:t>
      </w:r>
    </w:p>
    <w:p>
      <w:pPr>
        <w:pStyle w:val="TextBody"/>
        <w:spacing w:before="90" w:after="0"/>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Use of Proceeds. </w:t>
      </w:r>
      <w:r>
        <w:rPr>
          <w:rFonts w:ascii="Times New Roman" w:hAnsi="Times New Roman"/>
          <w:sz w:val="20"/>
        </w:rPr>
        <w:t xml:space="preserve">The Partnership will apply the Net Proceeds from the sale of the Units in the manner set forth in the Prospectus Supplement.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Rule 424 Filings. </w:t>
      </w:r>
      <w:r>
        <w:rPr>
          <w:rFonts w:ascii="Times New Roman" w:hAnsi="Times New Roman"/>
          <w:sz w:val="20"/>
        </w:rPr>
        <w:t xml:space="preserve">The Partnership will make all filings with respect to the Units required to be filed by the Commission pursuant to Rule 424 within the applicable time period prescribed for such filing by Rule 424. </w:t>
      </w:r>
    </w:p>
    <w:p>
      <w:pPr>
        <w:pStyle w:val="TextBody"/>
        <w:spacing w:before="9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Payment of Expenses</w:t>
      </w:r>
      <w:r>
        <w:rPr>
          <w:rFonts w:ascii="Times New Roman" w:hAnsi="Times New Roman"/>
          <w:sz w:val="20"/>
        </w:rPr>
        <w:t xml:space="preserve">.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each amendment or supplement to either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Managers Counsel relating to such registration and qualification); (vii) any filings required to be made with FINRA (including filing fees and the reasonable fees and expenses of Managers Counsel relating to such filings); (viii) the transportation and other expenses incurred by or on behalf of Company representatives in connection with presentations to prospective purchasers of the Units; (ix) the fees and expenses of the Partnerships accountants and the fees and expenses of counsel (including local and special counsel) for the Partnership and the reasonable fees and expenses of counsel for the Manager; and (x) all other costs and expenses incident to the performance by the Partnership of its obligations hereunder. It is understood, however, that except as provided in Sections 3(a)(v) and 7 hereof, the Manager will pay all of its own out-of-pocket costs and expenses incurred in connection with entering into this Agreement and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Obligations of the Manager</w:t>
      </w:r>
      <w:r>
        <w:rPr>
          <w:rFonts w:ascii="Times New Roman" w:hAnsi="Times New Roman"/>
          <w:sz w:val="20"/>
        </w:rPr>
        <w:t xml:space="preserve">. The obligations of the Manager under this Agreement and any Terms Agreement shall be subject to (i) 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 (iii) the following additional conditions: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 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 </w:t>
      </w:r>
    </w:p>
    <w:p>
      <w:pPr>
        <w:pStyle w:val="TextBody"/>
        <w:spacing w:before="90" w:after="0"/>
        <w:rPr>
          <w:rFonts w:ascii="Times New Roman" w:hAnsi="Times New Roman"/>
          <w:sz w:val="20"/>
        </w:rPr>
      </w:pPr>
      <w:r>
        <w:rPr>
          <w:rFonts w:ascii="Times New Roman" w:hAnsi="Times New Roman"/>
          <w:sz w:val="20"/>
        </w:rPr>
        <w:t xml:space="preserve">(b) The Partnership shall have furnished or caused to be furnished to the Manager, on every date specified in Section 4(l) hereof, a certificate of the Partnership, signed on behalf of the Partnership by any two of the Chief Executive Officer, any President, any Executive Vice President, any Senior Vice President or any Vice President of GP LLC, dated as of such date, to the effect that the signers of such certificate have carefully examined the Registration Statement and the Prospectus and any supplements or amendments thereto and this Agreement and that: </w:t>
      </w:r>
    </w:p>
    <w:p>
      <w:pPr>
        <w:pStyle w:val="TextBody"/>
        <w:spacing w:before="90" w:after="0"/>
        <w:rPr>
          <w:rFonts w:ascii="Times New Roman" w:hAnsi="Times New Roman"/>
          <w:sz w:val="20"/>
        </w:rPr>
      </w:pPr>
      <w:r>
        <w:rPr>
          <w:rFonts w:ascii="Times New Roman" w:hAnsi="Times New Roman"/>
          <w:sz w:val="20"/>
        </w:rPr>
        <w:t xml:space="preserve">(i) 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 </w:t>
      </w:r>
    </w:p>
    <w:p>
      <w:pPr>
        <w:pStyle w:val="TextBody"/>
        <w:spacing w:before="90" w:after="0"/>
        <w:rPr>
          <w:rFonts w:ascii="Times New Roman" w:hAnsi="Times New Roman"/>
          <w:sz w:val="20"/>
        </w:rPr>
      </w:pPr>
      <w:r>
        <w:rPr>
          <w:rFonts w:ascii="Times New Roman" w:hAnsi="Times New Roman"/>
          <w:sz w:val="20"/>
        </w:rPr>
        <w:t xml:space="preserve">(ii)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90" w:after="0"/>
        <w:rPr>
          <w:rFonts w:ascii="Times New Roman" w:hAnsi="Times New Roman"/>
          <w:sz w:val="20"/>
        </w:rPr>
      </w:pPr>
      <w:r>
        <w:rPr>
          <w:rFonts w:ascii="Times New Roman" w:hAnsi="Times New Roman"/>
          <w:sz w:val="20"/>
        </w:rPr>
        <w:t xml:space="preserve">(iii) 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 or not arising from transactions in the ordinary course of business, that would reasonably be expected to cause a Material Adverse Effect, other than as set forth in or contemplated by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The Partnership shall have requested and caused the Partnership Counsel to furnish to the Manager, on every date specified in Section 4(m) hereof, its opinion, dated as of such date and addressed to the Manager, in the form set forth in </w:t>
      </w:r>
      <w:r>
        <w:rPr>
          <w:rFonts w:ascii="Times New Roman" w:hAnsi="Times New Roman"/>
          <w:sz w:val="20"/>
          <w:u w:val="single"/>
        </w:rPr>
        <w:t>Annex II</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(d) The Partnership shall have furnished to the Manager, on every date specified in Section 4(n) hereof, an opinion of the General Counsel, addressed to the Manager, and dated as of such date, and in form satisfactory to the Manager, in the form set forth in </w:t>
      </w:r>
      <w:r>
        <w:rPr>
          <w:rFonts w:ascii="Times New Roman" w:hAnsi="Times New Roman"/>
          <w:sz w:val="20"/>
          <w:u w:val="single"/>
        </w:rPr>
        <w:t>Annex III</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(e) The Partnership shall have furnished, or shall have requested and caused the Outside Canadian Counsel to furnish, to the Manager, on every date specified in Section 4(o) hereof, an opinion of such applicable Canadian Counsel, dated as of such date and addressed to the Manager, in the form set forth in </w:t>
      </w:r>
      <w:r>
        <w:rPr>
          <w:rFonts w:ascii="Times New Roman" w:hAnsi="Times New Roman"/>
          <w:sz w:val="20"/>
          <w:u w:val="single"/>
        </w:rPr>
        <w:t>Annex IV</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(f) The Manager shall have received from Managers Counsel on every date specified in Section 4(p) hereof, such opinion or opinions, dated as of such date and addressed to the Manager, with respect to the issuance and sale of the Units, the Registration Statement, the Prospectus (together with any supplement thereto) and other related matters as the Manager may reasonably require, and the Partnership shall have furnished to such counsel such documents as they request for the purpose of enabling them to pass upon such matters. </w:t>
      </w:r>
    </w:p>
    <w:p>
      <w:pPr>
        <w:pStyle w:val="TextBody"/>
        <w:spacing w:before="90" w:after="0"/>
        <w:rPr>
          <w:rFonts w:ascii="Times New Roman" w:hAnsi="Times New Roman"/>
          <w:sz w:val="20"/>
        </w:rPr>
      </w:pPr>
      <w:r>
        <w:rPr>
          <w:rFonts w:ascii="Times New Roman" w:hAnsi="Times New Roman"/>
          <w:sz w:val="20"/>
        </w:rPr>
        <w:t xml:space="preserve">(g) The Partnership shall have requested and caused the Accountants to have furnished to the Manager, on every date specified in Section 4(q) hereof and to the extent reasonably requested by the Manager with advance notice to the Partnership in connection with any offering of the Units, letters (which may refer to letters previously delivered to the Manager) containing statements and information of the type ordinarily included in accountants comfort letters to underwriters with respect to the financial statements and certain financial information contained in the Registration Statement and the Prospectus, dated as of such date, in form and substance satisfactory to the Manager; provided that the cut-off date for the procedures performed by such accountants and described in such letters shall be a date not more than five days prior to the date of such letter. </w:t>
      </w:r>
    </w:p>
    <w:p>
      <w:pPr>
        <w:pStyle w:val="TextBody"/>
        <w:spacing w:before="90" w:after="0"/>
        <w:rPr>
          <w:rFonts w:ascii="Times New Roman" w:hAnsi="Times New Roman"/>
          <w:sz w:val="20"/>
        </w:rPr>
      </w:pPr>
      <w:r>
        <w:rPr>
          <w:rFonts w:ascii="Times New Roman" w:hAnsi="Times New Roman"/>
          <w:sz w:val="20"/>
        </w:rPr>
        <w:t xml:space="preserve">(h) 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the Managers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the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the Managers opinion, materially adversely affect the market for the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FINRA shall not have raised any objection with respect to the fairness and reasonableness of the terms and arrangements under this Agreement. </w:t>
      </w:r>
    </w:p>
    <w:p>
      <w:pPr>
        <w:pStyle w:val="TextBody"/>
        <w:spacing w:before="90" w:after="0"/>
        <w:rPr>
          <w:rFonts w:ascii="Times New Roman" w:hAnsi="Times New Roman"/>
          <w:sz w:val="20"/>
        </w:rPr>
      </w:pPr>
      <w:r>
        <w:rPr>
          <w:rFonts w:ascii="Times New Roman" w:hAnsi="Times New Roman"/>
          <w:sz w:val="20"/>
        </w:rPr>
        <w:t xml:space="preserve">(j) The Units shall have been listed and admitted and authorized for trading on the NYSE, and satisfactory evidence of such actions shall have been provided to the Manager. </w:t>
      </w:r>
    </w:p>
    <w:p>
      <w:pPr>
        <w:pStyle w:val="TextBody"/>
        <w:spacing w:before="90" w:after="0"/>
        <w:rPr>
          <w:rFonts w:ascii="Times New Roman" w:hAnsi="Times New Roman"/>
          <w:sz w:val="20"/>
        </w:rPr>
      </w:pPr>
      <w:r>
        <w:rPr>
          <w:rFonts w:ascii="Times New Roman" w:hAnsi="Times New Roman"/>
          <w:sz w:val="20"/>
        </w:rPr>
        <w:t xml:space="preserve">(k) Prior to each Settlement Date and Time of Delivery, as applicable, the Partnership shall have furnished to the Manager such further information, certificates and documents as the Manager may reasonably request. </w:t>
      </w:r>
    </w:p>
    <w:p>
      <w:pPr>
        <w:pStyle w:val="TextBody"/>
        <w:spacing w:before="180" w:after="0"/>
        <w:rPr>
          <w:rFonts w:ascii="Times New Roman" w:hAnsi="Times New Roman"/>
          <w:sz w:val="20"/>
        </w:rPr>
      </w:pPr>
      <w:r>
        <w:rPr>
          <w:rFonts w:ascii="Times New Roman" w:hAnsi="Times New Roman"/>
          <w:sz w:val="20"/>
        </w:rPr>
        <w:t xml:space="preserve">If any of the conditions specified in this Section 6 shall not have been fulfilled when and as provided in this Agreement, or if any of the opinions and certificates mentioned in this Section 6 or elsewhere in this Agreement shall not be reasonably satisfactory in form and substance to the Manager, this Agreement and all obligations of the Manager hereunder may be canceled at, or at any time prior to, any Settlement Date or Time of Delivery, as applicable, by the Manager. Notice of such cancellation shall be given to the Partnership in writing or by telephone or facsimile confirmed in writing. </w:t>
      </w:r>
    </w:p>
    <w:p>
      <w:pPr>
        <w:pStyle w:val="TextBody"/>
        <w:spacing w:before="180" w:after="0"/>
        <w:rPr>
          <w:rFonts w:ascii="Times New Roman" w:hAnsi="Times New Roman"/>
          <w:sz w:val="20"/>
        </w:rPr>
      </w:pPr>
      <w:r>
        <w:rPr>
          <w:rFonts w:ascii="Times New Roman" w:hAnsi="Times New Roman"/>
          <w:sz w:val="20"/>
        </w:rPr>
        <w:t xml:space="preserve">The documents required to be delivered to the Manager by this Section 6 shall be delivered at the office of Managers Counsel, at Baker Botts LLP, One Shell Plaza, 910 Louisiana Street, Houston, Texas 77002, on each such date as provided in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agrees to indemnify and hold harmless the Manager, the directors, officers, employees and agents of the Manager, each affiliate of the Manager who has participated in the distribution of the Units, each broker-dealer affiliate of the Manger and each other affiliate of the Manager within the meaning of Rule 405 under the Act, and each person who controls the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the Manager specifically for use therein, which information is specified in Section 19. The foregoing indemnity will be in addition to any liability that the Partnership may otherwise have. </w:t>
      </w:r>
    </w:p>
    <w:p>
      <w:pPr>
        <w:pStyle w:val="TextBody"/>
        <w:spacing w:before="90" w:after="0"/>
        <w:rPr>
          <w:rFonts w:ascii="Times New Roman" w:hAnsi="Times New Roman"/>
          <w:sz w:val="20"/>
        </w:rPr>
      </w:pPr>
      <w:r>
        <w:rPr>
          <w:rFonts w:ascii="Times New Roman" w:hAnsi="Times New Roman"/>
          <w:sz w:val="20"/>
        </w:rPr>
        <w:t xml:space="preserve">(b) If any action, suit or proceeding shall be brought against the Manager, the directors, officers, employees and agents of the Manager or any person controlling the Manager in respect of which indemnity may be sought against the Partnership, the Manager or such director, officer, employee, agent or controlling person shall promptly notify the Partnership in writing, and the Partnership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The Manager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the Manager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90" w:after="0"/>
        <w:rPr>
          <w:rFonts w:ascii="Times New Roman" w:hAnsi="Times New Roman"/>
          <w:sz w:val="20"/>
        </w:rPr>
      </w:pPr>
      <w:r>
        <w:rPr>
          <w:rFonts w:ascii="Times New Roman" w:hAnsi="Times New Roman"/>
          <w:sz w:val="20"/>
        </w:rPr>
        <w:t xml:space="preserve">(c) The Manager agrees to indemnify and hold harmless the Partnership, GP LLCs directors and the officers who sign the Registration Statement, and any person who controls the Partnership within the meaning of Section 15 of the Act or Section 20 of the Exchange Act, to the same extent as the foregoing indemnity from the Partnership to the Manager, but only with respect to information furnished in writing by or on behalf of the Manager expressly for use in Registration Statement or the Prospectus, or any amendment or supplement thereto, which information is specified in Section 19.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the Manager pursuant to this paragraph (c), the Manager shall have the rights and duties given to the Partnership by paragraph (b) above (except that if the Partnership shall have assumed the defense thereof the Manager shall not be required to do so, but may employ separate counsel therein and participate in (but not control) the defense thereof, but the fees and expenses of such counsel shall be at the Managers expense), and the Partnership, any of such directors and officers and any such controlling person shall have the rights and duties given to the Manager by paragraph (b) above. The foregoing indemnity agreement shall be in addition to any liability that the Manager may otherwise have. </w:t>
      </w:r>
    </w:p>
    <w:p>
      <w:pPr>
        <w:pStyle w:val="TextBody"/>
        <w:spacing w:before="90" w:after="0"/>
        <w:rPr>
          <w:rFonts w:ascii="Times New Roman" w:hAnsi="Times New Roman"/>
          <w:sz w:val="20"/>
        </w:rPr>
      </w:pPr>
      <w:r>
        <w:rPr>
          <w:rFonts w:ascii="Times New Roman" w:hAnsi="Times New Roman"/>
          <w:sz w:val="20"/>
        </w:rPr>
        <w:t xml:space="preserve">(d) In the event that the indemnification provided for in this Section 7 is unavailable to an indemnified party under paragraph (a) or (c)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Partnership on the one hand and the Manager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Manager on the other in connection with the statements or omissions that resulted in such losses, claims, damages, liabilities or expenses, as well as any other relevant equitable considerations. The relative benefits received by the Partnership on the one hand and the Manager on the other shall be deemed to be in the same proportion as the total net proceeds from the offering (before deducting expenses) received by the Partnership bear to the total underwriting discounts and commissions received by Manager, in each case as determined by this Agreement or any applicable Terms Agreement. The relative fault of the Partnership on the one hand and the Manager on the other hand shall be determined by reference to, among other things, whether the untrue or alleged untrue statement of a material fact or the omission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alleged omission to state a material fact relates to information supplied by the Partnership or any affiliate of the Partnership on the one hand, or by the Manager on the other hand, and the parties relative intent, knowledge, access to information and opportunity to correct or prevent such statement or omission. </w:t>
      </w:r>
    </w:p>
    <w:p>
      <w:pPr>
        <w:pStyle w:val="TextBody"/>
        <w:spacing w:before="90" w:after="0"/>
        <w:rPr>
          <w:rFonts w:ascii="Times New Roman" w:hAnsi="Times New Roman"/>
          <w:sz w:val="20"/>
        </w:rPr>
      </w:pPr>
      <w:r>
        <w:rPr>
          <w:rFonts w:ascii="Times New Roman" w:hAnsi="Times New Roman"/>
          <w:sz w:val="20"/>
        </w:rPr>
        <w:t xml:space="preserve">(e) The Partnership and the Manager agree that it would not be just and equitable if contribution pursuant to this Section 7 were determined by a pro rata allocation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the Manager shall not be required to contribute any amount in excess of the amount by which the total price of the Units distributed to the public pursuant to this Agreement exceeds the amount of damages that the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w:t>
      </w:r>
    </w:p>
    <w:p>
      <w:pPr>
        <w:pStyle w:val="TextBody"/>
        <w:spacing w:before="90" w:after="0"/>
        <w:rPr>
          <w:rFonts w:ascii="Times New Roman" w:hAnsi="Times New Roman"/>
          <w:sz w:val="20"/>
        </w:rPr>
      </w:pPr>
      <w:r>
        <w:rPr>
          <w:rFonts w:ascii="Times New Roman" w:hAnsi="Times New Roman"/>
          <w:sz w:val="20"/>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90" w:after="0"/>
        <w:rPr>
          <w:rFonts w:ascii="Times New Roman" w:hAnsi="Times New Roman"/>
          <w:sz w:val="20"/>
        </w:rPr>
      </w:pPr>
      <w:r>
        <w:rPr>
          <w:rFonts w:ascii="Times New Roman" w:hAnsi="Times New Roman"/>
          <w:sz w:val="20"/>
        </w:rPr>
        <w:t xml:space="preserve">(g) 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the Partnership set forth in this Agreement shall remain operative and in full force and effect, regardless of (i) any investigation made by or on behalf of the Manager or any person controlling the Manager, the Partnership or any of GP LLCs directors or officers or any person controlling the Partnership, (ii) acceptance of any Units and payment therefore in accordance with the terms of this Agreement, and (iii) any termination of this Agreement. A successor to the Manager or any person controlling the Manager, or to the Partnership or any of GP LLCs directors or officers or any person controlling the Partnership shall be entitled to the benefits of the indemnity, contribution and reimbursement agreements contained in this Section 7.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the Manager for the Partnership, then Section 4(v) shall remain in full force and effect, (ii) with respect to any pending sale, through the Manager for the Partnership, the obligations of the Partnership, including in respect of compensation of the Manager, shall remain in full force and effect notwithstanding the termination and (iii) the provisions of Sections 5, 7, 9, 10, 11, 12, 13 and 15 hereof shall remain in full force and effect notwithstanding such termination. </w:t>
      </w:r>
    </w:p>
    <w:p>
      <w:pPr>
        <w:pStyle w:val="TextBody"/>
        <w:spacing w:before="90" w:after="0"/>
        <w:rPr>
          <w:rFonts w:ascii="Times New Roman" w:hAnsi="Times New Roman"/>
          <w:sz w:val="20"/>
        </w:rPr>
      </w:pPr>
      <w:r>
        <w:rPr>
          <w:rFonts w:ascii="Times New Roman" w:hAnsi="Times New Roman"/>
          <w:sz w:val="20"/>
        </w:rPr>
        <w:t xml:space="preserve">(b) The Manager shall have the right, by giving written notice as hereinafter specified, to terminate the provisions hereof relating to the solicitation of offers to purchase the Units in its sole discretion at any time. Any such termination shall be without liability of any party to any other party except that the provisions of Sections 5, 7, 9, 10, 11, 12, 13 and 15 hereof shall remain in full force and effect notwithstanding such termination. </w:t>
      </w:r>
    </w:p>
    <w:p>
      <w:pPr>
        <w:pStyle w:val="TextBody"/>
        <w:spacing w:before="90" w:after="0"/>
        <w:rPr>
          <w:rFonts w:ascii="Times New Roman" w:hAnsi="Times New Roman"/>
          <w:sz w:val="20"/>
        </w:rPr>
      </w:pPr>
      <w:r>
        <w:rPr>
          <w:rFonts w:ascii="Times New Roman" w:hAnsi="Times New Roman"/>
          <w:sz w:val="20"/>
        </w:rPr>
        <w:t xml:space="preserve">(c) This Agreement shall remain in full force and effect unless terminated pursuant to Sections 8(a) or (b) hereof or otherwise by mutual agreement of the parties; provided that any such termination by mutual agreement shall in all cases be deemed to provide that Sections 5, 7 and 9 shall remain in full force and effect. </w:t>
      </w:r>
    </w:p>
    <w:p>
      <w:pPr>
        <w:pStyle w:val="TextBody"/>
        <w:spacing w:before="90" w:after="0"/>
        <w:rPr>
          <w:rFonts w:ascii="Times New Roman" w:hAnsi="Times New Roman"/>
          <w:sz w:val="20"/>
        </w:rPr>
      </w:pPr>
      <w:r>
        <w:rPr>
          <w:rFonts w:ascii="Times New Roman" w:hAnsi="Times New Roman"/>
          <w:sz w:val="20"/>
        </w:rPr>
        <w:t xml:space="preserve">(d) Any termination of this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that such termination shall not be effective until the close of business on the date of receipt of such notice by the Manager or the Partnership, as the case may be. If such termination shall occur prior to the Settlement Date or Time of Delivery for any sale of the Units, such sale shall settle in accordance with the provisions of Section 3(a)(vii) hereof. </w:t>
      </w:r>
    </w:p>
    <w:p>
      <w:pPr>
        <w:pStyle w:val="TextBody"/>
        <w:spacing w:before="90" w:after="0"/>
        <w:rPr>
          <w:rFonts w:ascii="Times New Roman" w:hAnsi="Times New Roman"/>
          <w:sz w:val="20"/>
        </w:rPr>
      </w:pPr>
      <w:r>
        <w:rPr>
          <w:rFonts w:ascii="Times New Roman" w:hAnsi="Times New Roman"/>
          <w:sz w:val="20"/>
        </w:rPr>
        <w:t xml:space="preserve">(e) In the case of any purchase of Units by the Manager pursuant to a Terms Agreement, the obligations of the Manager pursuant to such Terms Agreement shall be subject to termination, in the absolute discretion of the Manager, by notice given to the Partnership prior to the Time of Delivery relating to such Units, if at any time prior to such delivery and payment (i) trading in the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Units as contemplated by the Prospectus (exclusive of any amendment or supplement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Indemnities to Survive</w:t>
      </w:r>
      <w:r>
        <w:rPr>
          <w:rFonts w:ascii="Times New Roman" w:hAnsi="Times New Roman"/>
          <w:sz w:val="20"/>
        </w:rPr>
        <w:t xml:space="preserve">. The respective agreements, representations, warranties, indemnities and other statements of the Partnership or its officers and of the Manager set forth in or made pursuant to this Agreement will remain in full force and effect, regardless of any investigation made by the Manager or the Partnership or any of the officers, directors, employees, agents or controlling persons referred to in Section 7 hereof, and will survive delivery of and payment for the Units. </w:t>
      </w:r>
    </w:p>
    <w:p>
      <w:pPr>
        <w:pStyle w:val="TextBody"/>
        <w:spacing w:before="9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Manager, will be mailed, delivered or telefaxed to the Citigroup Global Markets Inc. General Counsel (fax no.: (212) 816-7912) and confirmed to the General Counsel, Citigroup Global Markets Inc., at 388 Greenwich Street, New York, New York, 10013, Attention: General Counsel; or, if sent to the Partnership, will be mailed, delivered or telefaxed to (713) 646-4313 and confirmed to it at 333 Clay St., Suite 1600, Houston, Texas 77002, Attention: General Counsel. </w:t>
      </w:r>
    </w:p>
    <w:p>
      <w:pPr>
        <w:pStyle w:val="TextBody"/>
        <w:spacing w:before="9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Successors and Assigns</w:t>
      </w:r>
      <w:r>
        <w:rPr>
          <w:rFonts w:ascii="Times New Roman" w:hAnsi="Times New Roman"/>
          <w:sz w:val="20"/>
        </w:rPr>
        <w:t xml:space="preserve">. This Agreement will inure to the benefit of and be binding upon the Manager and the Partnership and their respective successors and assigns and the directors, officers, employees, affiliates and controlling persons referred to in Section 12 hereof, and no other person will have any right or obligation hereunder. </w:t>
      </w:r>
    </w:p>
    <w:p>
      <w:pPr>
        <w:pStyle w:val="TextBody"/>
        <w:spacing w:before="9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Parties in Interest</w:t>
      </w:r>
      <w:r>
        <w:rPr>
          <w:rFonts w:ascii="Times New Roman" w:hAnsi="Times New Roman"/>
          <w:sz w:val="20"/>
        </w:rPr>
        <w:t xml:space="preserve">. The Agreement herein set forth has been and is made solely for the benefit of the Manager and the Partnership and to the extent provided in Section 7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the Manager) shall acquire or have any right under or by virtue of this Agreement. </w:t>
      </w:r>
    </w:p>
    <w:p>
      <w:pPr>
        <w:pStyle w:val="TextBody"/>
        <w:spacing w:before="9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No Fiduciary Duty</w:t>
      </w:r>
      <w:r>
        <w:rPr>
          <w:rFonts w:ascii="Times New Roman" w:hAnsi="Times New Roman"/>
          <w:sz w:val="20"/>
        </w:rPr>
        <w:t xml:space="preserve">. The Partnership hereby acknowledges that (a) the purchase and sale of the Units pursuant to this Agreement is an arms-length commercial transaction between the Partnership, on the one hand, and the Manager and any affiliate through which it may be acting, on the other, (b) the Manager is acting solely as sales agent and/or principal in connection with the purchase and sale of the Partnerships securities and not as a fiduciary of the Partnership and (c) the Partnerships engagement of the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the Manager has advised or is currently advising the Partnership on related or other matters). The Partnership agrees that it will not claim that the Manager has rendered advisory services of any nature or respect, or owe an agency, fiduciary or similar duty to the Partnership, in connection with such transaction or the process leading thereto.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Integration</w:t>
      </w:r>
      <w:r>
        <w:rPr>
          <w:rFonts w:ascii="Times New Roman" w:hAnsi="Times New Roman"/>
          <w:sz w:val="20"/>
        </w:rPr>
        <w:t xml:space="preserve">. This Agreement and any Terms Agreement supersede all prior agreements and understandings (whether written or oral) between the Partnership and the Manager with respect to the subject matter hereof. </w:t>
      </w:r>
    </w:p>
    <w:p>
      <w:pPr>
        <w:pStyle w:val="TextBody"/>
        <w:spacing w:before="9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Applicable Law</w:t>
      </w:r>
      <w:r>
        <w:rPr>
          <w:rFonts w:ascii="Times New Roman" w:hAnsi="Times New Roman"/>
          <w:sz w:val="20"/>
        </w:rPr>
        <w:t xml:space="preserve">. This Agreement and any Terms Agreement will be governed by and construed in accordance with the laws of the State of New York applicable to contracts made and to be performed within the State of New York. </w:t>
      </w:r>
    </w:p>
    <w:p>
      <w:pPr>
        <w:pStyle w:val="TextBody"/>
        <w:spacing w:before="9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Waiver of Jury Trial</w:t>
      </w:r>
      <w:r>
        <w:rPr>
          <w:rFonts w:ascii="Times New Roman" w:hAnsi="Times New Roman"/>
          <w:sz w:val="20"/>
        </w:rPr>
        <w:t xml:space="preserve">. The Partnership hereby irrevocably waives, to the fullest extent permitted by applicable law, any and all right to trial by jury in any legal proceeding arising out of or relating to this Agreement, any Terms Agreement or the transactions contemplated hereby or thereby. </w:t>
      </w:r>
    </w:p>
    <w:p>
      <w:pPr>
        <w:pStyle w:val="TextBody"/>
        <w:spacing w:before="9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Counterparts</w:t>
      </w:r>
      <w:r>
        <w:rPr>
          <w:rFonts w:ascii="Times New Roman" w:hAnsi="Times New Roman"/>
          <w:sz w:val="20"/>
        </w:rPr>
        <w:t xml:space="preserve">. This Agreement and any Terms Agreement may be signed in one or more counterparts, each of which shall constitute an original and all of which together shall constitute one and the same agreement. </w:t>
      </w:r>
    </w:p>
    <w:p>
      <w:pPr>
        <w:pStyle w:val="TextBody"/>
        <w:spacing w:before="9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Headings</w:t>
      </w:r>
      <w:r>
        <w:rPr>
          <w:rFonts w:ascii="Times New Roman" w:hAnsi="Times New Roman"/>
          <w:sz w:val="20"/>
        </w:rPr>
        <w:t xml:space="preserve">. The section headings used in this Agreement and any Terms Agreement are for convenience only and shall not affect the construction hereof. </w:t>
      </w:r>
    </w:p>
    <w:p>
      <w:pPr>
        <w:pStyle w:val="TextBody"/>
        <w:spacing w:before="90" w:after="0"/>
        <w:rPr>
          <w:rFonts w:ascii="Times New Roman" w:hAnsi="Times New Roman"/>
          <w:sz w:val="20"/>
        </w:rPr>
      </w:pPr>
      <w:r>
        <w:rPr>
          <w:rFonts w:ascii="Times New Roman" w:hAnsi="Times New Roman"/>
          <w:sz w:val="20"/>
        </w:rPr>
        <w:t xml:space="preserve">19. </w:t>
      </w:r>
      <w:r>
        <w:rPr>
          <w:rFonts w:ascii="Times New Roman" w:hAnsi="Times New Roman"/>
          <w:sz w:val="20"/>
          <w:u w:val="single"/>
        </w:rPr>
        <w:t>Information Furnished by the Manager</w:t>
      </w:r>
      <w:r>
        <w:rPr>
          <w:rFonts w:ascii="Times New Roman" w:hAnsi="Times New Roman"/>
          <w:sz w:val="20"/>
        </w:rPr>
        <w:t xml:space="preserve">. The Partnership acknowledges that the following statements set forth in the Prospectus constitute the only information furnished by or on behalf of the Manager as such information is referred to in Sections 1(b), 7(a) and 7(c) hereof: the name of the Manager. </w:t>
      </w:r>
    </w:p>
    <w:p>
      <w:pPr>
        <w:pStyle w:val="TextBody"/>
        <w:spacing w:before="90" w:after="0"/>
        <w:rPr>
          <w:rFonts w:ascii="Times New Roman" w:hAnsi="Times New Roman"/>
          <w:sz w:val="20"/>
        </w:rPr>
      </w:pPr>
      <w:r>
        <w:rPr>
          <w:rFonts w:ascii="Times New Roman" w:hAnsi="Times New Roman"/>
          <w:sz w:val="20"/>
        </w:rPr>
        <w:t xml:space="preserve">20. </w:t>
      </w:r>
      <w:r>
        <w:rPr>
          <w:rFonts w:ascii="Times New Roman" w:hAnsi="Times New Roman"/>
          <w:sz w:val="20"/>
          <w:u w:val="single"/>
        </w:rPr>
        <w:t>Definitions</w:t>
      </w:r>
      <w:r>
        <w:rPr>
          <w:rFonts w:ascii="Times New Roman" w:hAnsi="Times New Roman"/>
          <w:sz w:val="20"/>
        </w:rPr>
        <w:t xml:space="preserve">. The terms that follow, when used in this Agreement and any Terms Agreement, shall have the meanings indicated.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Applicable Time</w:t>
      </w:r>
      <w:r>
        <w:rPr>
          <w:rFonts w:ascii="Times New Roman" w:hAnsi="Times New Roman"/>
          <w:sz w:val="20"/>
        </w:rPr>
        <w:t xml:space="preserve"> shall mean, with respect to any Units, the time of sale of such Units pursuant to this Agreement or any relevant Terms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Base Prospectus</w:t>
      </w:r>
      <w:r>
        <w:rPr>
          <w:rFonts w:ascii="Times New Roman" w:hAnsi="Times New Roman"/>
          <w:sz w:val="20"/>
        </w:rPr>
        <w:t xml:space="preserve"> shall mean the base prospectus referred to in Section 2(a) hereof contained in the Registration Statement at the Execution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New York City or Houston, Texas.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shall mean each date and time that the Registration Statement, any post-effective amendment or amendments thereto and any Rule 462(b) Registration Statement became or becomes effective.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Execution Time</w:t>
      </w:r>
      <w:r>
        <w:rPr>
          <w:rFonts w:ascii="Times New Roman" w:hAnsi="Times New Roman"/>
          <w:sz w:val="20"/>
        </w:rPr>
        <w:t xml:space="preserve"> shall mean the date and time that this Agreement is executed and delivered by the parties hereto.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Issuer Free Writing Prospectus</w:t>
      </w:r>
      <w:r>
        <w:rPr>
          <w:rFonts w:ascii="Times New Roman" w:hAnsi="Times New Roman"/>
          <w:sz w:val="20"/>
        </w:rPr>
        <w:t xml:space="preserve"> shall mean an issuer free writing prospectus, as defined in Rule 433.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shall mean the Base Prospectus, as supplemented by the Prospectus Supplement.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Prospectus Supplement</w:t>
      </w:r>
      <w:r>
        <w:rPr>
          <w:rFonts w:ascii="Times New Roman" w:hAnsi="Times New Roman"/>
          <w:sz w:val="20"/>
        </w:rPr>
        <w:t xml:space="preserve"> shall mean the most recent prospectus supplement relating to the Units that was first filed pursuant to Rule 424(b) at or prior to the Execution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shall mean the registration statement referred to in Section 2(a) hereof,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Rule 158</w:t>
      </w:r>
      <w:r>
        <w:rPr>
          <w:rFonts w:ascii="Times New Roman" w:hAnsi="Times New Roman"/>
          <w:sz w:val="20"/>
        </w:rPr>
        <w:t>, </w:t>
      </w:r>
      <w:r>
        <w:rPr>
          <w:rFonts w:ascii="Times New Roman" w:hAnsi="Times New Roman"/>
          <w:sz w:val="20"/>
          <w:u w:val="single"/>
        </w:rPr>
        <w:t>Rule 163</w:t>
      </w:r>
      <w:r>
        <w:rPr>
          <w:rFonts w:ascii="Times New Roman" w:hAnsi="Times New Roman"/>
          <w:sz w:val="20"/>
        </w:rPr>
        <w:t>, </w:t>
      </w:r>
      <w:r>
        <w:rPr>
          <w:rFonts w:ascii="Times New Roman" w:hAnsi="Times New Roman"/>
          <w:sz w:val="20"/>
          <w:u w:val="single"/>
        </w:rPr>
        <w:t>Rule 164</w:t>
      </w:r>
      <w:r>
        <w:rPr>
          <w:rFonts w:ascii="Times New Roman" w:hAnsi="Times New Roman"/>
          <w:sz w:val="20"/>
        </w:rPr>
        <w:t>, </w:t>
      </w:r>
      <w:r>
        <w:rPr>
          <w:rFonts w:ascii="Times New Roman" w:hAnsi="Times New Roman"/>
          <w:sz w:val="20"/>
          <w:u w:val="single"/>
        </w:rPr>
        <w:t>Rule 172</w:t>
      </w:r>
      <w:r>
        <w:rPr>
          <w:rFonts w:ascii="Times New Roman" w:hAnsi="Times New Roman"/>
          <w:sz w:val="20"/>
        </w:rPr>
        <w:t>, </w:t>
      </w:r>
      <w:r>
        <w:rPr>
          <w:rFonts w:ascii="Times New Roman" w:hAnsi="Times New Roman"/>
          <w:sz w:val="20"/>
          <w:u w:val="single"/>
        </w:rPr>
        <w:t>Rule 405</w:t>
      </w:r>
      <w:r>
        <w:rPr>
          <w:rFonts w:ascii="Times New Roman" w:hAnsi="Times New Roman"/>
          <w:sz w:val="20"/>
        </w:rPr>
        <w:t>, </w:t>
      </w:r>
      <w:r>
        <w:rPr>
          <w:rFonts w:ascii="Times New Roman" w:hAnsi="Times New Roman"/>
          <w:sz w:val="20"/>
          <w:u w:val="single"/>
        </w:rPr>
        <w:t>Rule 415</w:t>
      </w:r>
      <w:r>
        <w:rPr>
          <w:rFonts w:ascii="Times New Roman" w:hAnsi="Times New Roman"/>
          <w:sz w:val="20"/>
        </w:rPr>
        <w:t>, </w:t>
      </w:r>
      <w:r>
        <w:rPr>
          <w:rFonts w:ascii="Times New Roman" w:hAnsi="Times New Roman"/>
          <w:sz w:val="20"/>
          <w:u w:val="single"/>
        </w:rPr>
        <w:t>Rule 424</w:t>
      </w:r>
      <w:r>
        <w:rPr>
          <w:rFonts w:ascii="Times New Roman" w:hAnsi="Times New Roman"/>
          <w:sz w:val="20"/>
        </w:rPr>
        <w:t>, </w:t>
      </w:r>
      <w:r>
        <w:rPr>
          <w:rFonts w:ascii="Times New Roman" w:hAnsi="Times New Roman"/>
          <w:sz w:val="20"/>
          <w:u w:val="single"/>
        </w:rPr>
        <w:t>Rule 430B</w:t>
      </w:r>
      <w:r>
        <w:rPr>
          <w:rFonts w:ascii="Times New Roman" w:hAnsi="Times New Roman"/>
          <w:sz w:val="20"/>
        </w:rPr>
        <w:t>, </w:t>
      </w:r>
      <w:r>
        <w:rPr>
          <w:rFonts w:ascii="Times New Roman" w:hAnsi="Times New Roman"/>
          <w:sz w:val="20"/>
          <w:u w:val="single"/>
        </w:rPr>
        <w:t>Rule 433</w:t>
      </w:r>
      <w:r>
        <w:rPr>
          <w:rFonts w:ascii="Times New Roman" w:hAnsi="Times New Roman"/>
          <w:sz w:val="20"/>
        </w:rPr>
        <w:t> and </w:t>
      </w:r>
      <w:r>
        <w:rPr>
          <w:rFonts w:ascii="Times New Roman" w:hAnsi="Times New Roman"/>
          <w:sz w:val="20"/>
          <w:u w:val="single"/>
        </w:rPr>
        <w:t>Rule 462</w:t>
      </w:r>
      <w:r>
        <w:rPr>
          <w:rFonts w:ascii="Times New Roman" w:hAnsi="Times New Roman"/>
          <w:sz w:val="20"/>
        </w:rPr>
        <w:t xml:space="preserve"> and similar references to rules refer to such rules under the Act, unless otherwise stated.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Rule 462(b) Registration Statement</w:t>
      </w:r>
      <w:r>
        <w:rPr>
          <w:rFonts w:ascii="Times New Roman" w:hAnsi="Times New Roman"/>
          <w:sz w:val="20"/>
        </w:rPr>
        <w:t xml:space="preserve"> shall mean a registration statement and any amendments thereto filed pursuant to Rule 462(b) relating to the offering covered by the registration statement referred to in Section 1(a) hereof. </w:t>
      </w:r>
    </w:p>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letter and your acceptance shall represent a binding agreement among the Partnership and the Manager.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A. Patrick Diamond</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jc w:val="center"/>
        <w:rPr>
          <w:rFonts w:ascii="Times New Roman" w:hAnsi="Times New Roman"/>
          <w:sz w:val="20"/>
        </w:rPr>
      </w:pPr>
      <w:r>
        <w:rPr>
          <w:rFonts w:ascii="Times New Roman" w:hAnsi="Times New Roman"/>
          <w:i/>
          <w:sz w:val="20"/>
        </w:rPr>
        <w:t>Signature Page to Equity Distribution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foregoing Agreement is hereby confirmed and accepted as of the date first written above.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78"/>
        <w:gridCol w:w="61"/>
        <w:gridCol w:w="3643"/>
      </w:tblGrid>
      <w:tr>
        <w:trPr/>
        <w:tc>
          <w:tcPr>
            <w:tcW w:w="378"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3"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CITIGROUP GLOBAL MARKETS INC.</w:t>
            </w:r>
          </w:p>
        </w:tc>
      </w:tr>
      <w:tr>
        <w:trPr>
          <w:trHeight w:val="240" w:hRule="atLeast"/>
        </w:trPr>
        <w:tc>
          <w:tcPr>
            <w:tcW w:w="378" w:type="dxa"/>
            <w:tcBorders/>
            <w:shd w:fill="auto" w:val="clear"/>
            <w:vAlign w:val="center"/>
          </w:tcPr>
          <w:p>
            <w:pPr>
              <w:pStyle w:val="TableContents"/>
              <w:spacing w:before="0" w:after="283"/>
              <w:rPr>
                <w:sz w:val="4"/>
                <w:szCs w:val="4"/>
              </w:rPr>
            </w:pPr>
            <w:r>
              <w:rPr>
                <w:sz w:val="4"/>
                <w:szCs w:val="4"/>
              </w:rPr>
            </w:r>
          </w:p>
        </w:tc>
        <w:tc>
          <w:tcPr>
            <w:tcW w:w="3704" w:type="dxa"/>
            <w:gridSpan w:val="2"/>
            <w:tcBorders/>
            <w:shd w:fill="auto" w:val="clear"/>
            <w:vAlign w:val="center"/>
          </w:tcPr>
          <w:p>
            <w:pPr>
              <w:pStyle w:val="TableContents"/>
              <w:spacing w:before="0" w:after="283"/>
              <w:rPr>
                <w:sz w:val="4"/>
                <w:szCs w:val="4"/>
              </w:rPr>
            </w:pPr>
            <w:r>
              <w:rPr>
                <w:sz w:val="4"/>
                <w:szCs w:val="4"/>
              </w:rPr>
            </w:r>
          </w:p>
        </w:tc>
      </w:tr>
      <w:tr>
        <w:trPr/>
        <w:tc>
          <w:tcPr>
            <w:tcW w:w="37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643"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Matt Hartman</w:t>
            </w:r>
          </w:p>
        </w:tc>
      </w:tr>
      <w:tr>
        <w:trPr/>
        <w:tc>
          <w:tcPr>
            <w:tcW w:w="37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spacing w:before="0" w:after="283"/>
              <w:rPr>
                <w:rFonts w:ascii="Times New Roman" w:hAnsi="Times New Roman"/>
                <w:sz w:val="20"/>
              </w:rPr>
            </w:pPr>
            <w:r>
              <w:rPr>
                <w:rFonts w:ascii="Times New Roman" w:hAnsi="Times New Roman"/>
                <w:sz w:val="20"/>
              </w:rPr>
              <w:t>Name: Matt Hartman</w:t>
            </w:r>
          </w:p>
        </w:tc>
      </w:tr>
      <w:tr>
        <w:trPr/>
        <w:tc>
          <w:tcPr>
            <w:tcW w:w="378"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3"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jc w:val="center"/>
        <w:rPr>
          <w:rFonts w:ascii="Times New Roman" w:hAnsi="Times New Roman"/>
          <w:sz w:val="20"/>
        </w:rPr>
      </w:pPr>
      <w:r>
        <w:rPr>
          <w:rFonts w:ascii="Times New Roman" w:hAnsi="Times New Roman"/>
          <w:i/>
          <w:sz w:val="20"/>
        </w:rPr>
        <w:t>Signature Page to Equity Distribution Agreement</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0" w:after="0"/>
        <w:jc w:val="center"/>
        <w:rPr>
          <w:rFonts w:ascii="Times New Roman" w:hAnsi="Times New Roman"/>
          <w:b/>
          <w:sz w:val="20"/>
        </w:rPr>
      </w:pPr>
      <w:r>
        <w:rPr>
          <w:rFonts w:ascii="Times New Roman" w:hAnsi="Times New Roman"/>
          <w:b/>
          <w:sz w:val="20"/>
        </w:rPr>
        <w:t xml:space="preserve">MATERIAL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180" w:after="0"/>
        <w:rPr>
          <w:rFonts w:ascii="Times New Roman" w:hAnsi="Times New Roman"/>
          <w:sz w:val="20"/>
        </w:rPr>
      </w:pPr>
      <w:r>
        <w:rPr>
          <w:rFonts w:ascii="Times New Roman" w:hAnsi="Times New Roman"/>
          <w:sz w:val="20"/>
        </w:rPr>
        <w:t xml:space="preserve">Plains Pipeline, L.P. </w:t>
      </w:r>
    </w:p>
    <w:p>
      <w:pPr>
        <w:pStyle w:val="TextBody"/>
        <w:spacing w:before="180" w:after="0"/>
        <w:rPr>
          <w:rFonts w:ascii="Times New Roman" w:hAnsi="Times New Roman"/>
          <w:sz w:val="20"/>
        </w:rPr>
      </w:pPr>
      <w:r>
        <w:rPr>
          <w:rFonts w:ascii="Times New Roman" w:hAnsi="Times New Roman"/>
          <w:sz w:val="20"/>
        </w:rPr>
        <w:t xml:space="preserve">Pacific Pipeline System LLC </w:t>
      </w:r>
    </w:p>
    <w:p>
      <w:pPr>
        <w:pStyle w:val="TextBody"/>
        <w:spacing w:before="180" w:after="0"/>
        <w:rPr>
          <w:rFonts w:ascii="Times New Roman" w:hAnsi="Times New Roman"/>
          <w:sz w:val="20"/>
        </w:rPr>
      </w:pPr>
      <w:r>
        <w:rPr>
          <w:rFonts w:ascii="Times New Roman" w:hAnsi="Times New Roman"/>
          <w:sz w:val="20"/>
        </w:rPr>
        <w:t xml:space="preserve">Plains Products Terminals LLC </w:t>
      </w:r>
    </w:p>
    <w:p>
      <w:pPr>
        <w:pStyle w:val="TextBody"/>
        <w:spacing w:before="180" w:after="0"/>
        <w:rPr>
          <w:rFonts w:ascii="Times New Roman" w:hAnsi="Times New Roman"/>
          <w:sz w:val="20"/>
        </w:rPr>
      </w:pPr>
      <w:r>
        <w:rPr>
          <w:rFonts w:ascii="Times New Roman" w:hAnsi="Times New Roman"/>
          <w:sz w:val="20"/>
        </w:rPr>
        <w:t xml:space="preserve">Plains Midstream Canada ULC </w:t>
      </w:r>
    </w:p>
    <w:p>
      <w:pPr>
        <w:pStyle w:val="TextBody"/>
        <w:spacing w:before="180" w:after="0"/>
        <w:rPr>
          <w:rFonts w:ascii="Times New Roman" w:hAnsi="Times New Roman"/>
          <w:sz w:val="20"/>
        </w:rPr>
      </w:pPr>
      <w:r>
        <w:rPr>
          <w:rFonts w:ascii="Times New Roman" w:hAnsi="Times New Roman"/>
          <w:sz w:val="20"/>
        </w:rPr>
        <w:t xml:space="preserve">Plains West Coast Terminals LLC </w:t>
      </w:r>
    </w:p>
    <w:p>
      <w:pPr>
        <w:pStyle w:val="TextBody"/>
        <w:spacing w:before="180" w:after="0"/>
        <w:rPr>
          <w:rFonts w:ascii="Times New Roman" w:hAnsi="Times New Roman"/>
          <w:sz w:val="20"/>
        </w:rPr>
      </w:pPr>
      <w:r>
        <w:rPr>
          <w:rFonts w:ascii="Times New Roman" w:hAnsi="Times New Roman"/>
          <w:sz w:val="20"/>
        </w:rPr>
        <w:t xml:space="preserve">Rocky Mountain Pipeline System LLC </w:t>
      </w:r>
    </w:p>
    <w:p>
      <w:pPr>
        <w:pStyle w:val="TextBody"/>
        <w:spacing w:before="180" w:after="0"/>
        <w:rPr>
          <w:rFonts w:ascii="Times New Roman" w:hAnsi="Times New Roman"/>
          <w:sz w:val="20"/>
        </w:rPr>
      </w:pPr>
      <w:r>
        <w:rPr>
          <w:rFonts w:ascii="Times New Roman" w:hAnsi="Times New Roman"/>
          <w:sz w:val="20"/>
        </w:rPr>
        <w:t xml:space="preserve">Pine Prairie Energy Center, LLC </w:t>
      </w:r>
    </w:p>
    <w:p>
      <w:pPr>
        <w:pStyle w:val="TextBody"/>
        <w:spacing w:before="180" w:after="0"/>
        <w:rPr>
          <w:rFonts w:ascii="Times New Roman" w:hAnsi="Times New Roman"/>
          <w:sz w:val="20"/>
        </w:rPr>
      </w:pPr>
      <w:r>
        <w:rPr>
          <w:rFonts w:ascii="Times New Roman" w:hAnsi="Times New Roman"/>
          <w:sz w:val="20"/>
        </w:rPr>
        <w:t xml:space="preserve">SG Resources Mississippi LLC </w:t>
      </w:r>
    </w:p>
    <w:p>
      <w:pPr>
        <w:pStyle w:val="TextBody"/>
        <w:spacing w:before="18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  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 </w:t>
      </w:r>
    </w:p>
    <w:p>
      <w:pPr>
        <w:pStyle w:val="TextBody"/>
        <w:spacing w:before="0" w:after="0"/>
        <w:jc w:val="center"/>
        <w:rPr>
          <w:rFonts w:ascii="Times New Roman" w:hAnsi="Times New Roman"/>
          <w:b/>
          <w:sz w:val="20"/>
        </w:rPr>
      </w:pPr>
      <w:r>
        <w:rPr>
          <w:rFonts w:ascii="Times New Roman" w:hAnsi="Times New Roman"/>
          <w:b/>
          <w:sz w:val="20"/>
        </w:rPr>
        <w:t xml:space="preserve">DOMESTIC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180" w:after="0"/>
        <w:rPr>
          <w:rFonts w:ascii="Times New Roman" w:hAnsi="Times New Roman"/>
          <w:sz w:val="20"/>
        </w:rPr>
      </w:pPr>
      <w:r>
        <w:rPr>
          <w:rFonts w:ascii="Times New Roman" w:hAnsi="Times New Roman"/>
          <w:sz w:val="20"/>
        </w:rPr>
        <w:t xml:space="preserve">Plains Pipeline, L.P. </w:t>
      </w:r>
    </w:p>
    <w:p>
      <w:pPr>
        <w:pStyle w:val="TextBody"/>
        <w:spacing w:before="180" w:after="0"/>
        <w:rPr>
          <w:rFonts w:ascii="Times New Roman" w:hAnsi="Times New Roman"/>
          <w:sz w:val="20"/>
        </w:rPr>
      </w:pPr>
      <w:r>
        <w:rPr>
          <w:rFonts w:ascii="Times New Roman" w:hAnsi="Times New Roman"/>
          <w:sz w:val="20"/>
        </w:rPr>
        <w:t xml:space="preserve">Pacific Pipeline System LLC </w:t>
      </w:r>
    </w:p>
    <w:p>
      <w:pPr>
        <w:pStyle w:val="TextBody"/>
        <w:spacing w:before="180" w:after="0"/>
        <w:rPr>
          <w:rFonts w:ascii="Times New Roman" w:hAnsi="Times New Roman"/>
          <w:sz w:val="20"/>
        </w:rPr>
      </w:pPr>
      <w:r>
        <w:rPr>
          <w:rFonts w:ascii="Times New Roman" w:hAnsi="Times New Roman"/>
          <w:sz w:val="20"/>
        </w:rPr>
        <w:t xml:space="preserve">Plains Products Terminals LLC </w:t>
      </w:r>
    </w:p>
    <w:p>
      <w:pPr>
        <w:pStyle w:val="TextBody"/>
        <w:spacing w:before="180" w:after="0"/>
        <w:rPr>
          <w:rFonts w:ascii="Times New Roman" w:hAnsi="Times New Roman"/>
          <w:sz w:val="20"/>
        </w:rPr>
      </w:pPr>
      <w:r>
        <w:rPr>
          <w:rFonts w:ascii="Times New Roman" w:hAnsi="Times New Roman"/>
          <w:sz w:val="20"/>
        </w:rPr>
        <w:t xml:space="preserve">Plains West Coast Terminals LLC </w:t>
      </w:r>
    </w:p>
    <w:p>
      <w:pPr>
        <w:pStyle w:val="TextBody"/>
        <w:spacing w:before="180" w:after="0"/>
        <w:rPr>
          <w:rFonts w:ascii="Times New Roman" w:hAnsi="Times New Roman"/>
          <w:sz w:val="20"/>
        </w:rPr>
      </w:pPr>
      <w:r>
        <w:rPr>
          <w:rFonts w:ascii="Times New Roman" w:hAnsi="Times New Roman"/>
          <w:sz w:val="20"/>
        </w:rPr>
        <w:t xml:space="preserve">Rocky Mountain Pipeline System LLC </w:t>
      </w:r>
    </w:p>
    <w:p>
      <w:pPr>
        <w:pStyle w:val="TextBody"/>
        <w:spacing w:before="180" w:after="0"/>
        <w:rPr>
          <w:rFonts w:ascii="Times New Roman" w:hAnsi="Times New Roman"/>
          <w:sz w:val="20"/>
        </w:rPr>
      </w:pPr>
      <w:r>
        <w:rPr>
          <w:rFonts w:ascii="Times New Roman" w:hAnsi="Times New Roman"/>
          <w:sz w:val="20"/>
        </w:rPr>
        <w:t xml:space="preserve">Pine Prairie Energy Center, LLC </w:t>
      </w:r>
    </w:p>
    <w:p>
      <w:pPr>
        <w:pStyle w:val="TextBody"/>
        <w:spacing w:before="180" w:after="0"/>
        <w:rPr>
          <w:rFonts w:ascii="Times New Roman" w:hAnsi="Times New Roman"/>
          <w:sz w:val="20"/>
        </w:rPr>
      </w:pPr>
      <w:r>
        <w:rPr>
          <w:rFonts w:ascii="Times New Roman" w:hAnsi="Times New Roman"/>
          <w:sz w:val="20"/>
        </w:rPr>
        <w:t xml:space="preserve">SG Resources Mississippi LLC </w:t>
      </w:r>
    </w:p>
    <w:p>
      <w:pPr>
        <w:pStyle w:val="TextBody"/>
        <w:spacing w:before="18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II  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 </w:t>
      </w:r>
    </w:p>
    <w:p>
      <w:pPr>
        <w:pStyle w:val="TextBody"/>
        <w:spacing w:before="0" w:after="0"/>
        <w:jc w:val="center"/>
        <w:rPr>
          <w:rFonts w:ascii="Times New Roman" w:hAnsi="Times New Roman"/>
          <w:b/>
          <w:sz w:val="20"/>
        </w:rPr>
      </w:pPr>
      <w:r>
        <w:rPr>
          <w:rFonts w:ascii="Times New Roman" w:hAnsi="Times New Roman"/>
          <w:b/>
          <w:sz w:val="20"/>
        </w:rPr>
        <w:t xml:space="preserve">Form of Terms Agreement </w:t>
      </w:r>
    </w:p>
    <w:p>
      <w:pPr>
        <w:pStyle w:val="TextBody"/>
        <w:spacing w:before="18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b/>
          <w:sz w:val="20"/>
        </w:rPr>
      </w:pPr>
      <w:r>
        <w:rPr>
          <w:rFonts w:ascii="Times New Roman" w:hAnsi="Times New Roman"/>
          <w:b/>
          <w:sz w:val="20"/>
        </w:rPr>
        <w:t xml:space="preserve">Common Units Representing Limited Partner Interests </w:t>
      </w:r>
    </w:p>
    <w:p>
      <w:pPr>
        <w:pStyle w:val="TextBody"/>
        <w:spacing w:before="180" w:after="0"/>
        <w:jc w:val="center"/>
        <w:rPr>
          <w:rFonts w:ascii="Times New Roman" w:hAnsi="Times New Roman"/>
          <w:b/>
          <w:sz w:val="20"/>
        </w:rPr>
      </w:pPr>
      <w:r>
        <w:rPr>
          <w:rFonts w:ascii="Times New Roman" w:hAnsi="Times New Roman"/>
          <w:b/>
          <w:sz w:val="20"/>
          <w:u w:val="single"/>
        </w:rPr>
        <w:t>TERMS AGREEMENT</w:t>
      </w:r>
      <w:r>
        <w:rPr>
          <w:rFonts w:ascii="Times New Roman" w:hAnsi="Times New Roman"/>
          <w:b/>
          <w:sz w:val="20"/>
        </w:rPr>
        <w:t xml:space="preserve"> </w:t>
      </w:r>
    </w:p>
    <w:p>
      <w:pPr>
        <w:pStyle w:val="TextBody"/>
        <w:spacing w:before="180" w:after="0"/>
        <w:jc w:val="right"/>
        <w:rPr>
          <w:rFonts w:ascii="Times New Roman" w:hAnsi="Times New Roman"/>
          <w:sz w:val="20"/>
        </w:rPr>
      </w:pPr>
      <w:r>
        <w:rPr>
          <w:rFonts w:ascii="Times New Roman" w:hAnsi="Times New Roman"/>
          <w:sz w:val="20"/>
        </w:rPr>
        <w:t xml:space="preserve">[            ], 20[        ] </w:t>
      </w:r>
    </w:p>
    <w:p>
      <w:pPr>
        <w:pStyle w:val="TextBody"/>
        <w:spacing w:before="180" w:after="0"/>
        <w:rPr>
          <w:rFonts w:ascii="Times New Roman" w:hAnsi="Times New Roman"/>
          <w:sz w:val="20"/>
        </w:rPr>
      </w:pPr>
      <w:r>
        <w:rPr>
          <w:rFonts w:ascii="Times New Roman" w:hAnsi="Times New Roman"/>
          <w:sz w:val="20"/>
        </w:rPr>
        <w:t xml:space="preserve">Citigroup Global Markets Inc. </w:t>
      </w:r>
    </w:p>
    <w:p>
      <w:pPr>
        <w:pStyle w:val="TextBody"/>
        <w:spacing w:before="0" w:after="0"/>
        <w:rPr>
          <w:rFonts w:ascii="Times New Roman" w:hAnsi="Times New Roman"/>
          <w:sz w:val="20"/>
        </w:rPr>
      </w:pPr>
      <w:r>
        <w:rPr>
          <w:rFonts w:ascii="Times New Roman" w:hAnsi="Times New Roman"/>
          <w:sz w:val="20"/>
        </w:rPr>
        <w:t xml:space="preserve">388 Greenwich Street </w:t>
      </w:r>
    </w:p>
    <w:p>
      <w:pPr>
        <w:pStyle w:val="TextBody"/>
        <w:spacing w:before="0" w:after="0"/>
        <w:rPr>
          <w:rFonts w:ascii="Times New Roman" w:hAnsi="Times New Roman"/>
          <w:sz w:val="20"/>
        </w:rPr>
      </w:pPr>
      <w:r>
        <w:rPr>
          <w:rFonts w:ascii="Times New Roman" w:hAnsi="Times New Roman"/>
          <w:sz w:val="20"/>
        </w:rPr>
        <w:t xml:space="preserve">New York, New York, 10013 </w:t>
      </w:r>
    </w:p>
    <w:p>
      <w:pPr>
        <w:pStyle w:val="TextBody"/>
        <w:spacing w:before="180" w:after="0"/>
        <w:rPr>
          <w:rFonts w:ascii="Times New Roman" w:hAnsi="Times New Roman"/>
          <w:sz w:val="20"/>
        </w:rPr>
      </w:pPr>
      <w:r>
        <w:rPr>
          <w:rFonts w:ascii="Times New Roman" w:hAnsi="Times New Roman"/>
          <w:sz w:val="20"/>
        </w:rPr>
        <w:t xml:space="preserve">Dear Sirs: </w:t>
      </w:r>
    </w:p>
    <w:p>
      <w:pPr>
        <w:pStyle w:val="TextBody"/>
        <w:pBdr/>
        <w:spacing w:before="90" w:after="0"/>
        <w:rPr/>
      </w:pPr>
      <w:r>
        <w:rPr>
          <w:rFonts w:ascii="Times New Roman" w:hAnsi="Times New Roman"/>
          <w:sz w:val="20"/>
        </w:rPr>
        <w:t>Plains All American Pipeline, L.P., a Delaware limited partnership (the </w:t>
      </w:r>
      <w:r>
        <w:rPr>
          <w:rFonts w:ascii="Times New Roman" w:hAnsi="Times New Roman"/>
          <w:sz w:val="20"/>
          <w:u w:val="single"/>
        </w:rPr>
        <w:t>Partnership</w:t>
      </w:r>
      <w:r>
        <w:rPr>
          <w:rFonts w:ascii="Times New Roman" w:hAnsi="Times New Roman"/>
          <w:sz w:val="20"/>
        </w:rPr>
        <w:t>)proposes, subject to the terms and conditions stated herein and in the Equity Distribution Agreement, dated [            ], 20[            ] (the </w:t>
      </w:r>
      <w:r>
        <w:rPr>
          <w:rFonts w:ascii="Times New Roman" w:hAnsi="Times New Roman"/>
          <w:sz w:val="20"/>
          <w:u w:val="single"/>
        </w:rPr>
        <w:t>Equity Distribution Agreement</w:t>
      </w:r>
      <w:r>
        <w:rPr>
          <w:rFonts w:ascii="Times New Roman" w:hAnsi="Times New Roman"/>
          <w:sz w:val="20"/>
        </w:rPr>
        <w:t xml:space="preserve">), between the Partnership and Citigroup Global Markets Inc., to issue and sell to Citigroup Global Markets Inc. the securities specified in the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Purchased Units</w:t>
      </w:r>
      <w:r>
        <w:rPr>
          <w:rFonts w:ascii="Times New Roman" w:hAnsi="Times New Roman"/>
          <w:sz w:val="20"/>
        </w:rPr>
        <w:t xml:space="preserve">) [, and solely for the purpose of covering over-allotments, to grant to Citigroup Global Markets Inc. the option to purchase the additional securities specified in the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Additional Units</w:t>
      </w:r>
      <w:r>
        <w:rPr>
          <w:rFonts w:ascii="Times New Roman" w:hAnsi="Times New Roman"/>
          <w:sz w:val="20"/>
        </w:rPr>
        <w:t>)]</w:t>
      </w:r>
      <w:r>
        <w:rPr>
          <w:rFonts w:ascii="Times New Roman" w:hAnsi="Times New Roman"/>
          <w:sz w:val="14"/>
        </w:rPr>
        <w:t>1</w:t>
      </w:r>
      <w:r>
        <w:rPr>
          <w:rFonts w:ascii="Times New Roman" w:hAnsi="Times New Roman"/>
          <w:sz w:val="20"/>
        </w:rPr>
        <w:t xml:space="preserve">. </w:t>
      </w:r>
    </w:p>
    <w:p>
      <w:pPr>
        <w:pStyle w:val="TextBody"/>
        <w:pBdr/>
        <w:spacing w:before="180" w:after="0"/>
        <w:rPr/>
      </w:pPr>
      <w:r>
        <w:rPr>
          <w:rFonts w:ascii="Times New Roman" w:hAnsi="Times New Roman"/>
          <w:sz w:val="20"/>
        </w:rPr>
        <w:t>[Citigroup Global Markets Inc. shall have the right to purchase from the Partnership all or a portion of the Additional Units as may be necessary to cover over-allotments made in connection with the offering of the Purchased Units, at the same purchase price per Common Unit to be paid by Citigroup Global Markets Inc. to the Partnership for the Purchased Units. This option may be exercised by Citigroup Global Markets Inc.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Times New Roman" w:hAnsi="Times New Roman"/>
          <w:sz w:val="20"/>
          <w:u w:val="single"/>
        </w:rPr>
        <w:t>Option 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Option Closing Date shall not be earlier than the Time of Delivery (as set forth in the </w:t>
      </w:r>
      <w:r>
        <w:rPr>
          <w:rFonts w:ascii="Times New Roman" w:hAnsi="Times New Roman"/>
          <w:sz w:val="20"/>
          <w:u w:val="single"/>
        </w:rPr>
        <w:t>Schedule I</w:t>
      </w:r>
      <w:r>
        <w:rPr>
          <w:rFonts w:ascii="Times New Roman" w:hAnsi="Times New Roman"/>
          <w:sz w:val="20"/>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r>
        <w:rPr>
          <w:rFonts w:ascii="Times New Roman" w:hAnsi="Times New Roman"/>
          <w:sz w:val="14"/>
        </w:rPr>
        <w:t>2</w:t>
      </w:r>
      <w:r>
        <w:rPr/>
        <w:t xml:space="preserve"> </w:t>
      </w:r>
    </w:p>
    <w:p>
      <w:pPr>
        <w:pStyle w:val="TextBody"/>
        <w:pBdr>
          <w:bottom w:val="single" w:sz="4" w:space="1" w:color="000000"/>
        </w:pBdr>
        <w:spacing w:lineRule="atLeast" w:line="141"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Citigroup Global Markets Inc. has an over-allotment option.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bracketed paragraph to be included only if Citigroup Global Markets Inc. has an over-allotment option.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1 </w:t>
      </w:r>
      <w:r>
        <w:br w:type="page"/>
      </w:r>
    </w:p>
    <w:p>
      <w:pPr>
        <w:pStyle w:val="HorizontalLine"/>
        <w:pBdr>
          <w:bottom w:val="double" w:sz="6" w:space="0" w:color="808080"/>
        </w:pBdr>
        <w:rPr/>
      </w:pPr>
      <w:r>
        <w:rPr/>
      </w:r>
    </w:p>
    <w:p>
      <w:pPr>
        <w:pStyle w:val="TextBody"/>
        <w:pBdr/>
        <w:spacing w:before="0" w:after="0"/>
        <w:rPr/>
      </w:pPr>
      <w:r>
        <w:rPr>
          <w:rFonts w:ascii="Times New Roman" w:hAnsi="Times New Roman"/>
          <w:sz w:val="20"/>
        </w:rPr>
        <w:t>Each of the provisions of the Equity Distribution Agreement not specifically related to the solicitation by Citigroup Global Markets Inc., as agent of the Partnership,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r>
        <w:rPr>
          <w:rFonts w:ascii="Times New Roman" w:hAnsi="Times New Roman"/>
          <w:sz w:val="14"/>
        </w:rPr>
        <w:t>3</w:t>
      </w:r>
      <w:r>
        <w:rPr/>
        <w:t xml:space="preserve"> </w:t>
      </w:r>
    </w:p>
    <w:p>
      <w:pPr>
        <w:pStyle w:val="TextBody"/>
        <w:pBdr/>
        <w:spacing w:before="180" w:after="0"/>
        <w:rPr/>
      </w:pPr>
      <w:r>
        <w:rPr>
          <w:rFonts w:ascii="Times New Roman" w:hAnsi="Times New Roman"/>
          <w:sz w:val="20"/>
        </w:rPr>
        <w:t>An amendment to the Registration Statement (as defined in the Equity Distribution Agreement), or a supplement to the Prospectus, as the case may be, relating to the Purchased Units [and the Additional Units], in the form heretofore delivered to the Manager is now proposed to be filed with the Securities and Exchange Commission.</w:t>
      </w:r>
      <w:r>
        <w:rPr>
          <w:rFonts w:ascii="Times New Roman" w:hAnsi="Times New Roman"/>
          <w:sz w:val="14"/>
        </w:rPr>
        <w:t>4</w:t>
      </w:r>
      <w:r>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terms and conditions set forth herein and in the Equity Distribution Agreement which are incorporated herein by reference, the Partnership agrees to issue and sell to Citigroup Global Markets Inc. and the latter agrees to purchase from the Partnership the number of Purchased Units at the time and place and at the purchase price set forth in the </w:t>
      </w:r>
      <w:r>
        <w:rPr>
          <w:rFonts w:ascii="Times New Roman" w:hAnsi="Times New Roman"/>
          <w:sz w:val="20"/>
          <w:u w:val="single"/>
        </w:rPr>
        <w:t>Schedule I</w:t>
      </w:r>
      <w:r>
        <w:rPr>
          <w:rFonts w:ascii="Times New Roman" w:hAnsi="Times New Roman"/>
          <w:sz w:val="20"/>
        </w:rPr>
        <w:t xml:space="preserve"> hereto. </w:t>
      </w:r>
    </w:p>
    <w:p>
      <w:pPr>
        <w:pStyle w:val="TextBody"/>
        <w:spacing w:before="0" w:after="0"/>
        <w:rPr/>
      </w:pPr>
      <w:r>
        <w:rPr/>
        <w:t>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Citigroup Global Markets Inc. has an over-allotment option.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Citigroup Global Markets Inc. has an over-allotment option. </w:t>
            </w:r>
          </w:p>
        </w:tc>
      </w:tr>
    </w:tbl>
    <w:p>
      <w:pPr>
        <w:pStyle w:val="TextBody"/>
        <w:spacing w:before="18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 w:hAnsi="Times New Roman"/>
          <w:sz w:val="20"/>
        </w:rPr>
        <w:t xml:space="preserve">Annex I  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59"/>
        <w:gridCol w:w="81"/>
        <w:gridCol w:w="3742"/>
      </w:tblGrid>
      <w:tr>
        <w:trPr/>
        <w:tc>
          <w:tcPr>
            <w:tcW w:w="259" w:type="dxa"/>
            <w:tcBorders/>
            <w:shd w:fill="auto" w:val="clear"/>
            <w:vAlign w:val="cente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sz w:val="4"/>
                <w:szCs w:val="4"/>
              </w:rPr>
            </w:pPr>
            <w:r>
              <w:rPr>
                <w:sz w:val="4"/>
                <w:szCs w:val="4"/>
              </w:rPr>
            </w:r>
          </w:p>
        </w:tc>
        <w:tc>
          <w:tcPr>
            <w:tcW w:w="3742"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w:t>
            </w:r>
          </w:p>
        </w:tc>
      </w:tr>
      <w:tr>
        <w:trPr/>
        <w:tc>
          <w:tcPr>
            <w:tcW w:w="259"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59"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59"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59" w:type="dxa"/>
            <w:tcBorders/>
            <w:shd w:fill="auto" w:val="clear"/>
            <w:vAlign w:val="center"/>
          </w:tcPr>
          <w:p>
            <w:pPr>
              <w:pStyle w:val="TableContents"/>
              <w:spacing w:before="0" w:after="283"/>
              <w:rPr>
                <w:sz w:val="4"/>
                <w:szCs w:val="4"/>
              </w:rPr>
            </w:pPr>
            <w:r>
              <w:rPr>
                <w:sz w:val="4"/>
                <w:szCs w:val="4"/>
              </w:rPr>
            </w:r>
          </w:p>
        </w:tc>
        <w:tc>
          <w:tcPr>
            <w:tcW w:w="3823" w:type="dxa"/>
            <w:gridSpan w:val="2"/>
            <w:tcBorders/>
            <w:shd w:fill="auto" w:val="clear"/>
            <w:vAlign w:val="center"/>
          </w:tcPr>
          <w:p>
            <w:pPr>
              <w:pStyle w:val="TableContents"/>
              <w:spacing w:before="0" w:after="283"/>
              <w:rPr>
                <w:sz w:val="4"/>
                <w:szCs w:val="4"/>
              </w:rPr>
            </w:pPr>
            <w:r>
              <w:rPr>
                <w:sz w:val="4"/>
                <w:szCs w:val="4"/>
              </w:rPr>
            </w:r>
          </w:p>
        </w:tc>
      </w:tr>
      <w:tr>
        <w:trPr/>
        <w:tc>
          <w:tcPr>
            <w:tcW w:w="25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u w:val="single"/>
              </w:rPr>
            </w:pPr>
            <w:r>
              <w:rPr>
                <w:u w:val="single"/>
              </w:rPr>
              <w:t>                                                                                                 </w:t>
            </w:r>
          </w:p>
        </w:tc>
      </w:tr>
      <w:tr>
        <w:trPr/>
        <w:tc>
          <w:tcPr>
            <w:tcW w:w="259"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259" w:type="dxa"/>
            <w:tcBorders/>
            <w:shd w:fill="auto" w:val="clear"/>
          </w:tcPr>
          <w:p>
            <w:pPr>
              <w:pStyle w:val="TableContents"/>
              <w:spacing w:before="0" w:after="283"/>
              <w:rPr>
                <w:sz w:val="4"/>
                <w:szCs w:val="4"/>
              </w:rPr>
            </w:pPr>
            <w:r>
              <w:rPr>
                <w:sz w:val="4"/>
                <w:szCs w:val="4"/>
              </w:rPr>
            </w:r>
          </w:p>
        </w:tc>
        <w:tc>
          <w:tcPr>
            <w:tcW w:w="81" w:type="dxa"/>
            <w:tcBorders/>
            <w:shd w:fill="auto" w:val="clear"/>
            <w:vAlign w:val="bottom"/>
          </w:tcPr>
          <w:p>
            <w:pPr>
              <w:pStyle w:val="TableContents"/>
              <w:spacing w:before="0" w:after="283"/>
              <w:rPr/>
            </w:pPr>
            <w:r>
              <w:rPr/>
              <w:t> </w:t>
            </w:r>
          </w:p>
        </w:tc>
        <w:tc>
          <w:tcPr>
            <w:tcW w:w="3742" w:type="dxa"/>
            <w:tcBorders/>
            <w:shd w:fill="auto" w:val="clear"/>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24"/>
        <w:gridCol w:w="60"/>
        <w:gridCol w:w="3698"/>
      </w:tblGrid>
      <w:tr>
        <w:trPr/>
        <w:tc>
          <w:tcPr>
            <w:tcW w:w="3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98"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ACCEPTED as of the date first written above.</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CITIGROUP GLOBAL MARKETS INC.</w:t>
            </w:r>
          </w:p>
        </w:tc>
      </w:tr>
      <w:tr>
        <w:trPr>
          <w:trHeight w:val="240" w:hRule="atLeast"/>
        </w:trPr>
        <w:tc>
          <w:tcPr>
            <w:tcW w:w="324" w:type="dxa"/>
            <w:tcBorders/>
            <w:shd w:fill="auto" w:val="clear"/>
            <w:vAlign w:val="center"/>
          </w:tcPr>
          <w:p>
            <w:pPr>
              <w:pStyle w:val="TableContents"/>
              <w:spacing w:before="0" w:after="283"/>
              <w:rPr>
                <w:sz w:val="4"/>
                <w:szCs w:val="4"/>
              </w:rPr>
            </w:pPr>
            <w:r>
              <w:rPr>
                <w:sz w:val="4"/>
                <w:szCs w:val="4"/>
              </w:rPr>
            </w:r>
          </w:p>
        </w:tc>
        <w:tc>
          <w:tcPr>
            <w:tcW w:w="3758" w:type="dxa"/>
            <w:gridSpan w:val="2"/>
            <w:tcBorders/>
            <w:shd w:fill="auto" w:val="clear"/>
            <w:vAlign w:val="center"/>
          </w:tcPr>
          <w:p>
            <w:pPr>
              <w:pStyle w:val="TableContents"/>
              <w:spacing w:before="0" w:after="283"/>
              <w:rPr>
                <w:sz w:val="4"/>
                <w:szCs w:val="4"/>
              </w:rPr>
            </w:pPr>
            <w:r>
              <w:rPr>
                <w:sz w:val="4"/>
                <w:szCs w:val="4"/>
              </w:rPr>
            </w:r>
          </w:p>
        </w:tc>
      </w:tr>
      <w:tr>
        <w:trPr/>
        <w:tc>
          <w:tcPr>
            <w:tcW w:w="32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98" w:type="dxa"/>
            <w:tcBorders/>
            <w:shd w:fill="auto" w:val="clear"/>
          </w:tcPr>
          <w:p>
            <w:pPr>
              <w:pStyle w:val="TableContents"/>
              <w:spacing w:before="0" w:after="283"/>
              <w:rPr>
                <w:u w:val="single"/>
              </w:rPr>
            </w:pPr>
            <w:r>
              <w:rPr>
                <w:u w:val="single"/>
              </w:rPr>
              <w:t>                                                                                           </w:t>
            </w:r>
          </w:p>
        </w:tc>
      </w:tr>
      <w:tr>
        <w:trPr/>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8"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r>
      <w:tr>
        <w:trPr/>
        <w:tc>
          <w:tcPr>
            <w:tcW w:w="32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98"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180" w:after="0"/>
        <w:jc w:val="center"/>
        <w:rPr>
          <w:rFonts w:ascii="Times New Roman" w:hAnsi="Times New Roman"/>
          <w:sz w:val="20"/>
        </w:rPr>
      </w:pPr>
      <w:r>
        <w:rPr>
          <w:rFonts w:ascii="Times New Roman" w:hAnsi="Times New Roman"/>
          <w:sz w:val="20"/>
        </w:rPr>
        <w:t xml:space="preserve">Annex I  3 </w:t>
      </w:r>
    </w:p>
    <w:p>
      <w:pPr>
        <w:pStyle w:val="TextBody"/>
        <w:spacing w:before="0" w:after="0"/>
        <w:jc w:val="center"/>
        <w:rPr>
          <w:rFonts w:ascii="Times New Roman" w:hAnsi="Times New Roman"/>
          <w:i/>
          <w:sz w:val="20"/>
        </w:rPr>
      </w:pPr>
      <w:r>
        <w:rPr>
          <w:rFonts w:ascii="Times New Roman" w:hAnsi="Times New Roman"/>
          <w:i/>
          <w:sz w:val="20"/>
        </w:rPr>
        <w:t xml:space="preserve">Signature Page to Terms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Schedule I to the Terms Agreement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3"/>
        <w:gridCol w:w="4900"/>
      </w:tblGrid>
      <w:tr>
        <w:trPr/>
        <w:tc>
          <w:tcPr>
            <w:tcW w:w="5102"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Title of Purchased Units [and Additional Units]:</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Units representing limited partner interests in Plains All American Pipeline, L.P.</w:t>
            </w:r>
          </w:p>
        </w:tc>
      </w:tr>
      <w:tr>
        <w:trPr>
          <w:trHeight w:val="12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Units of Purchased Units:</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rPr/>
            </w:pPr>
            <w:r>
              <w:rPr/>
              <w:t>  </w:t>
            </w:r>
            <w:r>
              <w:rPr>
                <w:rFonts w:ascii="Times New Roman" w:hAnsi="Times New Roman"/>
                <w:sz w:val="20"/>
              </w:rPr>
              <w:t>[     ]</w:t>
            </w:r>
          </w:p>
        </w:tc>
      </w:tr>
      <w:tr>
        <w:trPr>
          <w:trHeight w:val="12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Units of Additional Units:]</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rPr/>
            </w:pPr>
            <w:r>
              <w:rPr/>
              <w:t>  </w:t>
            </w:r>
            <w:r>
              <w:rPr>
                <w:rFonts w:ascii="Times New Roman" w:hAnsi="Times New Roman"/>
                <w:sz w:val="20"/>
              </w:rPr>
              <w:t>[     ]</w:t>
            </w:r>
          </w:p>
        </w:tc>
      </w:tr>
      <w:tr>
        <w:trPr>
          <w:trHeight w:val="12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[Price to Public:]</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102" w:type="dxa"/>
            <w:tcBorders/>
            <w:shd w:fill="auto" w:val="clear"/>
            <w:vAlign w:val="center"/>
          </w:tcPr>
          <w:p>
            <w:pPr>
              <w:pStyle w:val="TableContents"/>
              <w:spacing w:before="0" w:after="283"/>
              <w:rPr>
                <w:sz w:val="4"/>
                <w:szCs w:val="4"/>
              </w:rPr>
            </w:pPr>
            <w:r>
              <w:rPr>
                <w:sz w:val="4"/>
                <w:szCs w:val="4"/>
              </w:rPr>
            </w:r>
          </w:p>
        </w:tc>
        <w:tc>
          <w:tcPr>
            <w:tcW w:w="5103" w:type="dxa"/>
            <w:gridSpan w:val="2"/>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rPr>
                <w:rFonts w:ascii="Times New Roman" w:hAnsi="Times New Roman"/>
                <w:sz w:val="20"/>
              </w:rPr>
            </w:pPr>
            <w:r>
              <w:rPr>
                <w:rFonts w:ascii="Times New Roman" w:hAnsi="Times New Roman"/>
                <w:sz w:val="20"/>
              </w:rPr>
              <w:t>Purchase Price by Citigroup Global Markets Inc.:</w:t>
            </w:r>
          </w:p>
        </w:tc>
        <w:tc>
          <w:tcPr>
            <w:tcW w:w="203"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Method of and Specified Funds for Payment of Purchase Price: </w:t>
      </w:r>
    </w:p>
    <w:p>
      <w:pPr>
        <w:pStyle w:val="TextBody"/>
        <w:spacing w:before="90" w:after="0"/>
        <w:rPr>
          <w:rFonts w:ascii="Times New Roman" w:hAnsi="Times New Roman"/>
          <w:sz w:val="20"/>
        </w:rPr>
      </w:pPr>
      <w:r>
        <w:rPr>
          <w:rFonts w:ascii="Times New Roman" w:hAnsi="Times New Roman"/>
          <w:sz w:val="20"/>
        </w:rPr>
        <w:t xml:space="preserve">By wire transfer to a bank account specified by the Partnership in same day funds. </w:t>
      </w:r>
    </w:p>
    <w:p>
      <w:pPr>
        <w:pStyle w:val="TextBody"/>
        <w:spacing w:before="180" w:after="0"/>
        <w:rPr>
          <w:rFonts w:ascii="Times New Roman" w:hAnsi="Times New Roman"/>
          <w:sz w:val="20"/>
        </w:rPr>
      </w:pPr>
      <w:r>
        <w:rPr>
          <w:rFonts w:ascii="Times New Roman" w:hAnsi="Times New Roman"/>
          <w:sz w:val="20"/>
        </w:rPr>
        <w:t xml:space="preserve">Method of Delivery: </w:t>
      </w:r>
    </w:p>
    <w:p>
      <w:pPr>
        <w:pStyle w:val="TextBody"/>
        <w:spacing w:before="90" w:after="0"/>
        <w:rPr>
          <w:rFonts w:ascii="Times New Roman" w:hAnsi="Times New Roman"/>
          <w:sz w:val="20"/>
        </w:rPr>
      </w:pPr>
      <w:r>
        <w:rPr>
          <w:rFonts w:ascii="Times New Roman" w:hAnsi="Times New Roman"/>
          <w:sz w:val="20"/>
        </w:rPr>
        <w:t xml:space="preserve">Free delivery of the Units to the Managers account at The Depository Trust Company in return for payment of the purchase price.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Time of Delivery:</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Closing Location:</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bl>
    <w:p>
      <w:pPr>
        <w:pStyle w:val="TextBody"/>
        <w:spacing w:before="180" w:after="0"/>
        <w:rPr>
          <w:rFonts w:ascii="Times New Roman" w:hAnsi="Times New Roman"/>
          <w:sz w:val="20"/>
        </w:rPr>
      </w:pPr>
      <w:r>
        <w:rPr>
          <w:rFonts w:ascii="Times New Roman" w:hAnsi="Times New Roman"/>
          <w:sz w:val="20"/>
        </w:rPr>
        <w:t xml:space="preserve">Documents to be Delivered: </w:t>
      </w:r>
    </w:p>
    <w:p>
      <w:pPr>
        <w:pStyle w:val="TextBody"/>
        <w:spacing w:before="90" w:after="0"/>
        <w:rPr>
          <w:rFonts w:ascii="Times New Roman" w:hAnsi="Times New Roman"/>
          <w:sz w:val="20"/>
        </w:rPr>
      </w:pPr>
      <w:r>
        <w:rPr>
          <w:rFonts w:ascii="Times New Roman" w:hAnsi="Times New Roman"/>
          <w:sz w:val="20"/>
        </w:rPr>
        <w:t xml:space="preserve">The following documents referred to in the Equity Distribution Agreement shall be delivered as a condition to the closing at the Time of Delivery [and on any Option Closing Date]: </w:t>
      </w:r>
    </w:p>
    <w:p>
      <w:pPr>
        <w:pStyle w:val="TextBody"/>
        <w:spacing w:before="90" w:after="0"/>
        <w:rPr>
          <w:rFonts w:ascii="Times New Roman" w:hAnsi="Times New Roman"/>
          <w:sz w:val="20"/>
        </w:rPr>
      </w:pPr>
      <w:r>
        <w:rPr>
          <w:rFonts w:ascii="Times New Roman" w:hAnsi="Times New Roman"/>
          <w:sz w:val="20"/>
        </w:rPr>
        <w:t xml:space="preserve">(1) The officers certificate referred to in Section 4(l). </w:t>
      </w:r>
    </w:p>
    <w:p>
      <w:pPr>
        <w:pStyle w:val="TextBody"/>
        <w:spacing w:before="90" w:after="0"/>
        <w:rPr>
          <w:rFonts w:ascii="Times New Roman" w:hAnsi="Times New Roman"/>
          <w:sz w:val="20"/>
        </w:rPr>
      </w:pPr>
      <w:r>
        <w:rPr>
          <w:rFonts w:ascii="Times New Roman" w:hAnsi="Times New Roman"/>
          <w:sz w:val="20"/>
        </w:rPr>
        <w:t xml:space="preserve">(2) The opinion referred to in Section 4(m). </w:t>
      </w:r>
    </w:p>
    <w:p>
      <w:pPr>
        <w:pStyle w:val="TextBody"/>
        <w:spacing w:before="90" w:after="0"/>
        <w:rPr>
          <w:rFonts w:ascii="Times New Roman" w:hAnsi="Times New Roman"/>
          <w:sz w:val="20"/>
        </w:rPr>
      </w:pPr>
      <w:r>
        <w:rPr>
          <w:rFonts w:ascii="Times New Roman" w:hAnsi="Times New Roman"/>
          <w:sz w:val="20"/>
        </w:rPr>
        <w:t xml:space="preserve">(3) The opinion referred to in Section 4(n). </w:t>
      </w:r>
    </w:p>
    <w:p>
      <w:pPr>
        <w:pStyle w:val="TextBody"/>
        <w:spacing w:before="90" w:after="0"/>
        <w:rPr>
          <w:rFonts w:ascii="Times New Roman" w:hAnsi="Times New Roman"/>
          <w:sz w:val="20"/>
        </w:rPr>
      </w:pPr>
      <w:r>
        <w:rPr>
          <w:rFonts w:ascii="Times New Roman" w:hAnsi="Times New Roman"/>
          <w:sz w:val="20"/>
        </w:rPr>
        <w:t xml:space="preserve">(4) The opinion referred to in Section 4(o). </w:t>
      </w:r>
    </w:p>
    <w:p>
      <w:pPr>
        <w:pStyle w:val="TextBody"/>
        <w:spacing w:before="90" w:after="0"/>
        <w:rPr>
          <w:rFonts w:ascii="Times New Roman" w:hAnsi="Times New Roman"/>
          <w:sz w:val="20"/>
        </w:rPr>
      </w:pPr>
      <w:r>
        <w:rPr>
          <w:rFonts w:ascii="Times New Roman" w:hAnsi="Times New Roman"/>
          <w:sz w:val="20"/>
        </w:rPr>
        <w:t xml:space="preserve">(5) The opinion referred to in Section 4(p). </w:t>
      </w:r>
    </w:p>
    <w:p>
      <w:pPr>
        <w:pStyle w:val="TextBody"/>
        <w:spacing w:before="90" w:after="0"/>
        <w:rPr>
          <w:rFonts w:ascii="Times New Roman" w:hAnsi="Times New Roman"/>
          <w:sz w:val="20"/>
        </w:rPr>
      </w:pPr>
      <w:r>
        <w:rPr>
          <w:rFonts w:ascii="Times New Roman" w:hAnsi="Times New Roman"/>
          <w:sz w:val="20"/>
        </w:rPr>
        <w:t xml:space="preserve">(6) The accountants letter referred to in Section 4(q). </w:t>
      </w:r>
    </w:p>
    <w:p>
      <w:pPr>
        <w:pStyle w:val="TextBody"/>
        <w:spacing w:before="90" w:after="0"/>
        <w:rPr>
          <w:rFonts w:ascii="Times New Roman" w:hAnsi="Times New Roman"/>
          <w:sz w:val="20"/>
        </w:rPr>
      </w:pPr>
      <w:r>
        <w:rPr>
          <w:rFonts w:ascii="Times New Roman" w:hAnsi="Times New Roman"/>
          <w:sz w:val="20"/>
        </w:rPr>
        <w:t xml:space="preserve">(7) Such other documents as the Manager shall reasonably request. </w:t>
      </w:r>
    </w:p>
    <w:p>
      <w:pPr>
        <w:pStyle w:val="TextBody"/>
        <w:spacing w:before="180" w:after="0"/>
        <w:jc w:val="center"/>
        <w:rPr>
          <w:rFonts w:ascii="Times New Roman" w:hAnsi="Times New Roman"/>
          <w:sz w:val="20"/>
        </w:rPr>
      </w:pPr>
      <w:r>
        <w:rPr>
          <w:rFonts w:ascii="Times New Roman" w:hAnsi="Times New Roman"/>
          <w:sz w:val="20"/>
        </w:rPr>
        <w:t xml:space="preserve">Annex I  4 </w:t>
      </w:r>
    </w:p>
    <w:p>
      <w:pPr>
        <w:pStyle w:val="TextBody"/>
        <w:spacing w:before="0" w:after="0"/>
        <w:jc w:val="center"/>
        <w:rPr>
          <w:rFonts w:ascii="Times New Roman" w:hAnsi="Times New Roman"/>
          <w:sz w:val="20"/>
        </w:rPr>
      </w:pPr>
      <w:r>
        <w:rPr>
          <w:rFonts w:ascii="Times New Roman" w:hAnsi="Times New Roman"/>
          <w:sz w:val="20"/>
        </w:rPr>
        <w:t xml:space="preserve">Schedule I to the Terms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II </w:t>
      </w:r>
    </w:p>
    <w:p>
      <w:pPr>
        <w:pStyle w:val="TextBody"/>
        <w:spacing w:before="0" w:after="0"/>
        <w:jc w:val="center"/>
        <w:rPr>
          <w:rFonts w:ascii="Times New Roman" w:hAnsi="Times New Roman"/>
          <w:b/>
          <w:sz w:val="20"/>
        </w:rPr>
      </w:pPr>
      <w:r>
        <w:rPr>
          <w:rFonts w:ascii="Times New Roman" w:hAnsi="Times New Roman"/>
          <w:b/>
          <w:sz w:val="20"/>
        </w:rPr>
        <w:t xml:space="preserve">Form of Opinion of Vinson &amp; Elkins L.L.P., </w:t>
      </w:r>
    </w:p>
    <w:p>
      <w:pPr>
        <w:pStyle w:val="TextBody"/>
        <w:spacing w:before="0" w:after="0"/>
        <w:jc w:val="center"/>
        <w:rPr>
          <w:rFonts w:ascii="Times New Roman" w:hAnsi="Times New Roman"/>
          <w:b/>
          <w:sz w:val="20"/>
        </w:rPr>
      </w:pPr>
      <w:r>
        <w:rPr>
          <w:rFonts w:ascii="Times New Roman" w:hAnsi="Times New Roman"/>
          <w:b/>
          <w:sz w:val="20"/>
        </w:rPr>
        <w:t xml:space="preserve">Counsel for the Partnership </w:t>
      </w:r>
    </w:p>
    <w:p>
      <w:pPr>
        <w:pStyle w:val="TextBody"/>
        <w:spacing w:before="180" w:after="0"/>
        <w:rPr>
          <w:rFonts w:ascii="Times New Roman" w:hAnsi="Times New Roman"/>
          <w:sz w:val="20"/>
        </w:rPr>
      </w:pPr>
      <w:r>
        <w:rPr>
          <w:rFonts w:ascii="Times New Roman" w:hAnsi="Times New Roman"/>
          <w:sz w:val="20"/>
        </w:rPr>
        <w:t xml:space="preserve">(i) The Registration Statement was declared effective under the Act on December 16, 2009; any required filing of the Base Prospectus and the 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 </w:t>
      </w:r>
    </w:p>
    <w:p>
      <w:pPr>
        <w:pStyle w:val="TextBody"/>
        <w:spacing w:before="180" w:after="0"/>
        <w:rPr>
          <w:rFonts w:ascii="Times New Roman" w:hAnsi="Times New Roman"/>
          <w:sz w:val="20"/>
        </w:rPr>
      </w:pPr>
      <w:r>
        <w:rPr>
          <w:rFonts w:ascii="Times New Roman" w:hAnsi="Times New Roman"/>
          <w:sz w:val="20"/>
        </w:rPr>
        <w:t xml:space="preserve">(ii) Each of the Partnership, the GP Entities and the subsidiaries listed on </w:t>
      </w:r>
      <w:r>
        <w:rPr>
          <w:rFonts w:ascii="Times New Roman" w:hAnsi="Times New Roman"/>
          <w:sz w:val="20"/>
          <w:u w:val="single"/>
        </w:rPr>
        <w:t>Schedule II</w:t>
      </w:r>
      <w:r>
        <w:rPr>
          <w:rFonts w:ascii="Times New Roman" w:hAnsi="Times New Roman"/>
          <w:sz w:val="20"/>
        </w:rPr>
        <w:t xml:space="preserve"> hereto (the </w:t>
      </w:r>
      <w:r>
        <w:rPr>
          <w:rFonts w:ascii="Times New Roman" w:hAnsi="Times New Roman"/>
          <w:sz w:val="20"/>
          <w:u w:val="single"/>
        </w:rPr>
        <w:t>Domestic Subsidiaries</w:t>
      </w:r>
      <w:r>
        <w:rPr>
          <w:rFonts w:ascii="Times New Roman" w:hAnsi="Times New Roman"/>
          <w:sz w:val="20"/>
        </w:rPr>
        <w:t xml:space="preserve">)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80" w:after="0"/>
        <w:rPr>
          <w:rFonts w:ascii="Times New Roman" w:hAnsi="Times New Roman"/>
          <w:sz w:val="20"/>
        </w:rPr>
      </w:pPr>
      <w:r>
        <w:rPr>
          <w:rFonts w:ascii="Times New Roman" w:hAnsi="Times New Roman"/>
          <w:sz w:val="20"/>
        </w:rPr>
        <w:t xml:space="preserve">(iii) Each Domestic Subsidiary or GP Entity that serves as a general partner of another Domestic Subsidiary, the Partnership or GP Entity has full corporate or limited liability company power and authority, as the case may be, to serve as general partner of such Domestic Subsidiary, the Partnership or GP Entity, in each case in all material respects. </w:t>
      </w:r>
    </w:p>
    <w:p>
      <w:pPr>
        <w:pStyle w:val="TextBody"/>
        <w:spacing w:before="180" w:after="0"/>
        <w:rPr>
          <w:rFonts w:ascii="Times New Roman" w:hAnsi="Times New Roman"/>
          <w:sz w:val="20"/>
        </w:rPr>
      </w:pPr>
      <w:r>
        <w:rPr>
          <w:rFonts w:ascii="Times New Roman" w:hAnsi="Times New Roman"/>
          <w:sz w:val="20"/>
        </w:rPr>
        <w:t xml:space="preserve">(iv) 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80" w:after="0"/>
        <w:rPr>
          <w:rFonts w:ascii="Times New Roman" w:hAnsi="Times New Roman"/>
          <w:sz w:val="20"/>
        </w:rPr>
      </w:pPr>
      <w:r>
        <w:rPr>
          <w:rFonts w:ascii="Times New Roman" w:hAnsi="Times New Roman"/>
          <w:sz w:val="20"/>
        </w:rPr>
        <w:t xml:space="preserve">(v)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other than the portion of the limited partner interest in PNG held by public or private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investors,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(vii) The Units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17-607 and 17-804 of the Delaware LP Act). </w:t>
      </w:r>
    </w:p>
    <w:p>
      <w:pPr>
        <w:pStyle w:val="TextBody"/>
        <w:spacing w:before="180" w:after="0"/>
        <w:rPr>
          <w:rFonts w:ascii="Times New Roman" w:hAnsi="Times New Roman"/>
          <w:sz w:val="20"/>
        </w:rPr>
      </w:pPr>
      <w:r>
        <w:rPr>
          <w:rFonts w:ascii="Times New Roman" w:hAnsi="Times New Roman"/>
          <w:sz w:val="20"/>
        </w:rPr>
        <w:t xml:space="preserve">(viii) 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(ix) This Agreement and any applicable Terms Agreement has been duly authorized and validly executed and delivered by the Partnership. </w:t>
      </w:r>
    </w:p>
    <w:p>
      <w:pPr>
        <w:pStyle w:val="TextBody"/>
        <w:spacing w:before="180" w:after="0"/>
        <w:rPr>
          <w:rFonts w:ascii="Times New Roman" w:hAnsi="Times New Roman"/>
          <w:sz w:val="20"/>
        </w:rPr>
      </w:pPr>
      <w:r>
        <w:rPr>
          <w:rFonts w:ascii="Times New Roman" w:hAnsi="Times New Roman"/>
          <w:sz w:val="20"/>
        </w:rPr>
        <w:t xml:space="preserve">(x) At or before each applicable Representation Date, the partnership agreement or limited liability company agreement, as applicable, of each of the Partnership, the Domestic Subsidiaries and the GP Entities has been duly authorized, executed and delivered 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(xi) 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 w:hAnsi="Times New Roman"/>
          <w:sz w:val="20"/>
          <w:u w:val="single"/>
        </w:rPr>
        <w:t>Plains AAP Facility</w:t>
      </w:r>
      <w:r>
        <w:rPr>
          <w:rFonts w:ascii="Times New Roman" w:hAnsi="Times New Roman"/>
          <w:sz w:val="20"/>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 w:hAnsi="Times New Roman"/>
          <w:sz w:val="20"/>
          <w:u w:val="single"/>
        </w:rPr>
        <w:t>DGCL</w:t>
      </w:r>
      <w:r>
        <w:rPr>
          <w:rFonts w:ascii="Times New Roman" w:hAnsi="Times New Roman"/>
          <w:sz w:val="20"/>
        </w:rPr>
        <w:t xml:space="preserve">),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 </w:t>
      </w:r>
    </w:p>
    <w:p>
      <w:pPr>
        <w:pStyle w:val="TextBody"/>
        <w:spacing w:before="180" w:after="0"/>
        <w:rPr>
          <w:rFonts w:ascii="Times New Roman" w:hAnsi="Times New Roman"/>
          <w:sz w:val="20"/>
        </w:rPr>
      </w:pPr>
      <w:r>
        <w:rPr>
          <w:rFonts w:ascii="Times New Roman" w:hAnsi="Times New Roman"/>
          <w:sz w:val="20"/>
        </w:rPr>
        <w:t xml:space="preserve">(xii) 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Units in the manner contemplated herein and in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 </w:t>
      </w:r>
    </w:p>
    <w:p>
      <w:pPr>
        <w:pStyle w:val="TextBody"/>
        <w:spacing w:before="180" w:after="0"/>
        <w:rPr>
          <w:rFonts w:ascii="Times New Roman" w:hAnsi="Times New Roman"/>
          <w:sz w:val="20"/>
        </w:rPr>
      </w:pPr>
      <w:r>
        <w:rPr>
          <w:rFonts w:ascii="Times New Roman" w:hAnsi="Times New Roman"/>
          <w:sz w:val="20"/>
        </w:rPr>
        <w:t xml:space="preserve">(xiii) The statements in the Registration Statement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(xiv) The opinion of Vinson &amp; Elkins L.L.P. that is filed as Exhibit 8.1 to the Registration Statement is confirmed, and the Manager may rely upon such opinion as if it were addressed to the Manager. </w:t>
      </w:r>
    </w:p>
    <w:p>
      <w:pPr>
        <w:pStyle w:val="TextBody"/>
        <w:spacing w:before="180" w:after="0"/>
        <w:rPr>
          <w:rFonts w:ascii="Times New Roman" w:hAnsi="Times New Roman"/>
          <w:sz w:val="20"/>
        </w:rPr>
      </w:pPr>
      <w:r>
        <w:rPr>
          <w:rFonts w:ascii="Times New Roman" w:hAnsi="Times New Roman"/>
          <w:sz w:val="20"/>
        </w:rPr>
        <w:t xml:space="preserve">(xv) None of the Plains Entities is now and, after giving effect to the offering and sale of the Units and the application of the net proceeds thereof as described in the Prospectus, none of the Plains Entities will be, an investment company as such term is defined in the Investment Company Act.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they have participated in conferences with officers and other representatives of the Partnership and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opinion (xiii) above), on the basis of the foregoing, no facts have come to the attention of such counsel that lead them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or </w:t>
      </w:r>
    </w:p>
    <w:p>
      <w:pPr>
        <w:pStyle w:val="TextBody"/>
        <w:spacing w:before="180" w:after="0"/>
        <w:rPr>
          <w:rFonts w:ascii="Times New Roman" w:hAnsi="Times New Roman"/>
          <w:sz w:val="20"/>
        </w:rPr>
      </w:pPr>
      <w:r>
        <w:rPr>
          <w:rFonts w:ascii="Times New Roman" w:hAnsi="Times New Roman"/>
          <w:sz w:val="20"/>
        </w:rPr>
        <w:t xml:space="preserve">(B) 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information included or incorporated by reference in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III </w:t>
      </w:r>
    </w:p>
    <w:p>
      <w:pPr>
        <w:pStyle w:val="TextBody"/>
        <w:spacing w:before="0" w:after="0"/>
        <w:jc w:val="center"/>
        <w:rPr>
          <w:rFonts w:ascii="Times New Roman" w:hAnsi="Times New Roman"/>
          <w:b/>
          <w:sz w:val="20"/>
        </w:rPr>
      </w:pPr>
      <w:r>
        <w:rPr>
          <w:rFonts w:ascii="Times New Roman" w:hAnsi="Times New Roman"/>
          <w:b/>
          <w:sz w:val="20"/>
        </w:rPr>
        <w:t xml:space="preserve">Form of Opinion of General Counsel </w:t>
      </w:r>
    </w:p>
    <w:p>
      <w:pPr>
        <w:pStyle w:val="TextBody"/>
        <w:spacing w:before="0" w:after="0"/>
        <w:jc w:val="center"/>
        <w:rPr>
          <w:rFonts w:ascii="Times New Roman" w:hAnsi="Times New Roman"/>
          <w:b/>
          <w:sz w:val="20"/>
        </w:rPr>
      </w:pPr>
      <w:r>
        <w:rPr>
          <w:rFonts w:ascii="Times New Roman" w:hAnsi="Times New Roman"/>
          <w:b/>
          <w:sz w:val="20"/>
        </w:rPr>
        <w:t xml:space="preserve">of Plains All American GP LLC </w:t>
      </w:r>
    </w:p>
    <w:p>
      <w:pPr>
        <w:pStyle w:val="TextBody"/>
        <w:spacing w:before="180" w:after="0"/>
        <w:rPr>
          <w:rFonts w:ascii="Times New Roman" w:hAnsi="Times New Roman"/>
          <w:sz w:val="20"/>
        </w:rPr>
      </w:pPr>
      <w:r>
        <w:rPr>
          <w:rFonts w:ascii="Times New Roman" w:hAnsi="Times New Roman"/>
          <w:sz w:val="20"/>
        </w:rPr>
        <w:t xml:space="preserve">(i) 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(ii) 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 </w:t>
      </w:r>
    </w:p>
    <w:p>
      <w:pPr>
        <w:pStyle w:val="TextBody"/>
        <w:spacing w:before="180" w:after="0"/>
        <w:rPr>
          <w:rFonts w:ascii="Times New Roman" w:hAnsi="Times New Roman"/>
          <w:sz w:val="20"/>
        </w:rPr>
      </w:pPr>
      <w:r>
        <w:rPr>
          <w:rFonts w:ascii="Times New Roman" w:hAnsi="Times New Roman"/>
          <w:sz w:val="20"/>
        </w:rPr>
        <w:t xml:space="preserve">(iii) To the knowledge of such counsel, except as described in the Prospectus or as have been issued pursuant to compensation plans adopted or administered by the General Partner, there are no outstanding options or warrants to purchase any Common Units or other equity interests in the Partnership. </w:t>
      </w:r>
    </w:p>
    <w:p>
      <w:pPr>
        <w:pStyle w:val="TextBody"/>
        <w:spacing w:before="180" w:after="0"/>
        <w:rPr>
          <w:rFonts w:ascii="Times New Roman" w:hAnsi="Times New Roman"/>
          <w:sz w:val="20"/>
        </w:rPr>
      </w:pPr>
      <w:r>
        <w:rPr>
          <w:rFonts w:ascii="Times New Roman" w:hAnsi="Times New Roman"/>
          <w:sz w:val="20"/>
        </w:rPr>
        <w:t xml:space="preserve">(iv) 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he has participated in conferences with officers and other representatives of GP LLC and the Partnership,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 </w:t>
      </w:r>
    </w:p>
    <w:p>
      <w:pPr>
        <w:pStyle w:val="TextBody"/>
        <w:spacing w:before="18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III  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III  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IV </w:t>
      </w:r>
    </w:p>
    <w:p>
      <w:pPr>
        <w:pStyle w:val="TextBody"/>
        <w:spacing w:before="0" w:after="0"/>
        <w:jc w:val="center"/>
        <w:rPr>
          <w:rFonts w:ascii="Times New Roman" w:hAnsi="Times New Roman"/>
          <w:b/>
          <w:sz w:val="20"/>
        </w:rPr>
      </w:pPr>
      <w:r>
        <w:rPr>
          <w:rFonts w:ascii="Times New Roman" w:hAnsi="Times New Roman"/>
          <w:b/>
          <w:sz w:val="20"/>
        </w:rPr>
        <w:t xml:space="preserve">Form of Opinion of Canadian Counsel </w:t>
      </w:r>
    </w:p>
    <w:p>
      <w:pPr>
        <w:pStyle w:val="TextBody"/>
        <w:spacing w:before="180" w:after="0"/>
        <w:rPr>
          <w:rFonts w:ascii="Times New Roman" w:hAnsi="Times New Roman"/>
          <w:sz w:val="20"/>
        </w:rPr>
      </w:pPr>
      <w:r>
        <w:rPr>
          <w:rFonts w:ascii="Times New Roman" w:hAnsi="Times New Roman"/>
          <w:sz w:val="20"/>
        </w:rPr>
        <w:t xml:space="preserve">(i) Plains Midstream Canada ULC, a British Columbia unlimited liability company (Plains Midstream Canada)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 of Alberta, Manitoba, Quebec, New Brunswick, Nova Scotia, Ontario and Saskatchewan. </w:t>
      </w:r>
    </w:p>
    <w:p>
      <w:pPr>
        <w:pStyle w:val="TextBody"/>
        <w:spacing w:before="180" w:after="0"/>
        <w:rPr>
          <w:rFonts w:ascii="Times New Roman" w:hAnsi="Times New Roman"/>
          <w:sz w:val="20"/>
        </w:rPr>
      </w:pPr>
      <w:r>
        <w:rPr>
          <w:rFonts w:ascii="Times New Roman" w:hAnsi="Times New Roman"/>
          <w:sz w:val="20"/>
        </w:rPr>
        <w:t xml:space="preserve">(ii)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Canada). </w:t>
      </w:r>
    </w:p>
    <w:p>
      <w:pPr>
        <w:pStyle w:val="TextBody"/>
        <w:spacing w:before="180" w:after="0"/>
        <w:rPr>
          <w:rFonts w:ascii="Times New Roman" w:hAnsi="Times New Roman"/>
          <w:sz w:val="20"/>
        </w:rPr>
      </w:pPr>
      <w:r>
        <w:rPr>
          <w:rFonts w:ascii="Times New Roman" w:hAnsi="Times New Roman"/>
          <w:sz w:val="20"/>
        </w:rPr>
        <w:t xml:space="preserve">(iii) 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 </w:t>
      </w:r>
    </w:p>
    <w:p>
      <w:pPr>
        <w:pStyle w:val="TextBody"/>
        <w:spacing w:before="180" w:after="0"/>
        <w:rPr>
          <w:rFonts w:ascii="Times New Roman" w:hAnsi="Times New Roman"/>
          <w:sz w:val="20"/>
        </w:rPr>
      </w:pPr>
      <w:r>
        <w:rPr>
          <w:rFonts w:ascii="Times New Roman" w:hAnsi="Times New Roman"/>
          <w:sz w:val="20"/>
        </w:rPr>
        <w:t xml:space="preserve">(iv) 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Units. </w:t>
      </w:r>
    </w:p>
    <w:p>
      <w:pPr>
        <w:pStyle w:val="TextBody"/>
        <w:spacing w:before="180" w:after="0"/>
        <w:rPr>
          <w:rFonts w:ascii="Times New Roman" w:hAnsi="Times New Roman"/>
          <w:sz w:val="20"/>
        </w:rPr>
      </w:pPr>
      <w:r>
        <w:rPr>
          <w:rFonts w:ascii="Times New Roman" w:hAnsi="Times New Roman"/>
          <w:sz w:val="20"/>
        </w:rPr>
        <w:t xml:space="preserve">(v) 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 </w:t>
      </w:r>
    </w:p>
    <w:p>
      <w:pPr>
        <w:pStyle w:val="TextBody"/>
        <w:spacing w:before="180" w:after="0"/>
        <w:rPr>
          <w:rFonts w:ascii="Times New Roman" w:hAnsi="Times New Roman"/>
          <w:sz w:val="20"/>
        </w:rPr>
      </w:pPr>
      <w:r>
        <w:rPr>
          <w:rFonts w:ascii="Times New Roman" w:hAnsi="Times New Roman"/>
          <w:sz w:val="20"/>
        </w:rPr>
        <w:t xml:space="preserve">(vi) 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IV  1 </w:t>
      </w:r>
      <w:r>
        <w:br w:type="page"/>
      </w:r>
    </w:p>
    <w:p>
      <w:pPr>
        <w:pStyle w:val="TextBody"/>
        <w:spacing w:before="0" w:after="0"/>
        <w:jc w:val="right"/>
        <w:rPr>
          <w:rFonts w:ascii="Times New Roman" w:hAnsi="Times New Roman"/>
          <w:b/>
          <w:sz w:val="20"/>
        </w:rPr>
      </w:pPr>
      <w:bookmarkStart w:id="4" w:name="d348089dex51.htm"/>
      <w:bookmarkStart w:id="5" w:name="ksd348089dex51"/>
      <w:bookmarkEnd w:id="4"/>
      <w:bookmarkEnd w:id="5"/>
      <w:r>
        <w:rPr>
          <w:rFonts w:ascii="Times New Roman" w:hAnsi="Times New Roman"/>
          <w:b/>
          <w:sz w:val="20"/>
        </w:rPr>
        <w:t xml:space="preserve">Exhibit 5.1 </w:t>
      </w:r>
    </w:p>
    <w:p>
      <w:pPr>
        <w:pStyle w:val="TextBody"/>
        <w:spacing w:before="0" w:after="0"/>
        <w:rPr/>
      </w:pPr>
      <w:r>
        <w:rPr/>
        <w:t> </w:t>
      </w:r>
    </w:p>
    <w:p>
      <w:pPr>
        <w:pStyle w:val="TextBody"/>
        <w:spacing w:before="180" w:after="0"/>
        <w:rPr/>
      </w:pPr>
      <w:r>
        <w:rPr/>
        <w:drawing>
          <wp:inline distT="0" distB="0" distL="0" distR="0">
            <wp:extent cx="1714500" cy="209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20955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May 9,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pPr>
      <w:r>
        <w:rPr/>
        <w:t> </w:t>
      </w:r>
      <w:r>
        <w:rPr>
          <w:rFonts w:ascii="Times New Roman" w:hAnsi="Times New Roman"/>
          <w:sz w:val="20"/>
        </w:rPr>
        <w:t xml:space="preserve">333 Clay Street, Suite 1600 </w:t>
      </w:r>
    </w:p>
    <w:p>
      <w:pPr>
        <w:pStyle w:val="TextBody"/>
        <w:spacing w:before="0" w:after="0"/>
        <w:rPr/>
      </w:pPr>
      <w:r>
        <w:rPr/>
        <w:t> </w:t>
      </w: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 xml:space="preserve">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common units representing limited partner interests in the Partnership having an aggregate offering price of up to $300,000,000 (the Units). We have participated in the preparation of a Prospectus Supplement dated May 9, 2012 (the Prospectus Supplement) and the Prospectus dated December 16, 2009 (the Prospectus) forming part of the Registration Statement on Form S-3 (No. 333-162476) (the Registration Statement) to which this opinion is an exhibit. The Prospectus Supplement has been filed pursuant to Rule 424(b) promulgated under the Securities Act. </w:t>
      </w:r>
    </w:p>
    <w:p>
      <w:pPr>
        <w:pStyle w:val="TextBody"/>
        <w:spacing w:before="180" w:after="0"/>
        <w:rPr>
          <w:rFonts w:ascii="Times New Roman" w:hAnsi="Times New Roman"/>
          <w:sz w:val="20"/>
        </w:rPr>
      </w:pPr>
      <w:r>
        <w:rPr>
          <w:rFonts w:ascii="Times New Roman" w:hAnsi="Times New Roman"/>
          <w:sz w:val="20"/>
        </w:rPr>
        <w:t xml:space="preserve">In rendering the opinions set forth below, we have examined and relied upon (i) the Delaware Revised Uniform Partnership Act (the Delaware LP Act), (ii) the Registration Statement, the Prospectus Supplement and the Prospectus; (iii) the Third Amended and Restated Agreement of Limited Partnership of the Partnership, dated as of June 27, 2001, as amended as of the date hereof, (iv) the Certificate of Limited Partnership of the Partnership, (v) an Equity Distribution Agreement, dated May 9, 2012 relating to the offering and sale of the Units (the Equity Distribution Agreement), a copy of which is being filed with the Commission as an exhibit to the Partnerships Current Report on Form 8-K on or about the date hereof, (vi) certain resolutions adopted by the board of directors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and the assumptions, limitations and qualifications set forth herein, we are of the opinion that the Units are duly and validly authorized for issuance and, upon payment and delivery of the Units in accordance with the Equity Distribution Agreement, the Prospectus Supplement and the Prospectus, will be validly issued, fully paid and non-assessable.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without independent verification, that the certificates for the Units will conform to the specimens thereof examined by us and will have been duly countersigned by a transfer agent and duly registered by a registrar of the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opinion is limited in all respects to federal laws, the Delaware LP Act and the Constitution of the State of Delaware, as interpreted by the courts of the State of Delaware and of the United States. </w:t>
            </w:r>
          </w:p>
        </w:tc>
      </w:tr>
    </w:tbl>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Vinson &amp; Elkins L.L.P.</w:t>
            </w:r>
          </w:p>
        </w:tc>
      </w:tr>
    </w:tbl>
    <w:p>
      <w:pPr>
        <w:pStyle w:val="TextBody"/>
        <w:spacing w:before="0" w:after="0"/>
        <w:jc w:val="right"/>
        <w:rPr>
          <w:rFonts w:ascii="Times New Roman" w:hAnsi="Times New Roman"/>
          <w:b/>
          <w:sz w:val="20"/>
        </w:rPr>
      </w:pPr>
      <w:r>
        <w:br w:type="page"/>
      </w:r>
      <w:bookmarkStart w:id="6" w:name="d348089dex81.htm"/>
      <w:bookmarkStart w:id="7" w:name="ksd348089dex81"/>
      <w:bookmarkEnd w:id="6"/>
      <w:bookmarkEnd w:id="7"/>
      <w:r>
        <w:rPr>
          <w:rFonts w:ascii="Times New Roman" w:hAnsi="Times New Roman"/>
          <w:b/>
          <w:sz w:val="20"/>
        </w:rPr>
        <w:t xml:space="preserve">Exhibit 8.1 </w:t>
      </w:r>
    </w:p>
    <w:p>
      <w:pPr>
        <w:pStyle w:val="TextBody"/>
        <w:spacing w:before="0" w:after="0"/>
        <w:rPr/>
      </w:pPr>
      <w:r>
        <w:rPr/>
        <w:t> </w:t>
      </w:r>
    </w:p>
    <w:p>
      <w:pPr>
        <w:pStyle w:val="TextBody"/>
        <w:spacing w:before="180" w:after="0"/>
        <w:rPr/>
      </w:pPr>
      <w:r>
        <w:rPr/>
        <w:drawing>
          <wp:inline distT="0" distB="0" distL="0" distR="0">
            <wp:extent cx="1714500" cy="209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14500" cy="20955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May 9,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Plains All American Pipeline, L.P. Registration Statement on Form S-3 </w:t>
            </w:r>
          </w:p>
        </w:tc>
      </w:tr>
    </w:tbl>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180" w:after="0"/>
        <w:rPr>
          <w:rFonts w:ascii="Times New Roman" w:hAnsi="Times New Roman"/>
          <w:sz w:val="20"/>
        </w:rPr>
      </w:pPr>
      <w:r>
        <w:rPr>
          <w:rFonts w:ascii="Times New Roman" w:hAnsi="Times New Roman"/>
          <w:sz w:val="20"/>
        </w:rPr>
        <w:t>We have acted as counsel for Plains All American Pipeline, L.P. (the </w:t>
      </w:r>
      <w:r>
        <w:rPr>
          <w:rFonts w:ascii="Times New Roman" w:hAnsi="Times New Roman"/>
          <w:b/>
          <w:i/>
          <w:sz w:val="20"/>
        </w:rPr>
        <w:t>Partnership</w:t>
      </w:r>
      <w:r>
        <w:rPr>
          <w:rFonts w:ascii="Times New Roman" w:hAnsi="Times New Roman"/>
          <w:sz w:val="20"/>
        </w:rPr>
        <w:t>), a Delaware limited partnership, with respect to certain legal matters in connection with the offer and sale of common units representing limited partner interests in the Partnership. We have also participated in the preparation of a Prospectus Supplement dated May 9, 2012 (the </w:t>
      </w:r>
      <w:r>
        <w:rPr>
          <w:rFonts w:ascii="Times New Roman" w:hAnsi="Times New Roman"/>
          <w:b/>
          <w:i/>
          <w:sz w:val="20"/>
        </w:rPr>
        <w:t>Prospectus Supplement</w:t>
      </w:r>
      <w:r>
        <w:rPr>
          <w:rFonts w:ascii="Times New Roman" w:hAnsi="Times New Roman"/>
          <w:sz w:val="20"/>
        </w:rPr>
        <w:t>) and the Prospectus dated December 16, 2009 (the </w:t>
      </w:r>
      <w:r>
        <w:rPr>
          <w:rFonts w:ascii="Times New Roman" w:hAnsi="Times New Roman"/>
          <w:b/>
          <w:i/>
          <w:sz w:val="20"/>
        </w:rPr>
        <w:t>Prospectus</w:t>
      </w:r>
      <w:r>
        <w:rPr>
          <w:rFonts w:ascii="Times New Roman" w:hAnsi="Times New Roman"/>
          <w:sz w:val="20"/>
        </w:rPr>
        <w:t>), forming part of the Registration Statement on Form S-3, No. 333-162476 (the </w:t>
      </w:r>
      <w:r>
        <w:rPr>
          <w:rFonts w:ascii="Times New Roman" w:hAnsi="Times New Roman"/>
          <w:b/>
          <w:i/>
          <w:sz w:val="20"/>
        </w:rPr>
        <w:t>Registration Statement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spacing w:before="180" w:after="0"/>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spacing w:before="180" w:after="0"/>
        <w:rPr>
          <w:rFonts w:ascii="Times New Roman" w:hAnsi="Times New Roman"/>
          <w:sz w:val="20"/>
        </w:rPr>
      </w:pPr>
      <w:r>
        <w:rPr>
          <w:rFonts w:ascii="Times New Roman" w:hAnsi="Times New Roman"/>
          <w:sz w:val="20"/>
        </w:rPr>
        <w:t xml:space="preserve">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matters of municipal law or the laws of any other local agencies within any state. Based on the facts, assumptions and representations set forth herein, the discussion in the Prospectus under the caption Material Income Tax Consequences as updated by the discussion in the Prospectus Supplement under the caption Material U.S. Federal Income Tax Consequences, insofar as such discussions purport to constitute summaries of U.S. federal income tax law and regulations or legal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366"/>
        <w:gridCol w:w="121"/>
        <w:gridCol w:w="4718"/>
      </w:tblGrid>
      <w:tr>
        <w:trPr/>
        <w:tc>
          <w:tcPr>
            <w:tcW w:w="536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718" w:type="dxa"/>
            <w:tcBorders/>
            <w:shd w:fill="auto" w:val="clear"/>
            <w:vAlign w:val="center"/>
          </w:tcPr>
          <w:p>
            <w:pPr>
              <w:pStyle w:val="TableContents"/>
              <w:spacing w:before="0" w:after="283"/>
              <w:rPr>
                <w:sz w:val="4"/>
                <w:szCs w:val="4"/>
              </w:rPr>
            </w:pPr>
            <w:r>
              <w:rPr>
                <w:sz w:val="4"/>
                <w:szCs w:val="4"/>
              </w:rPr>
            </w:r>
          </w:p>
        </w:tc>
      </w:tr>
      <w:tr>
        <w:trPr/>
        <w:tc>
          <w:tcPr>
            <w:tcW w:w="5366"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0"/>
              <w:rPr>
                <w:rFonts w:ascii="Times New Roman" w:hAnsi="Times New Roman"/>
                <w:sz w:val="14"/>
              </w:rPr>
            </w:pPr>
            <w:r>
              <w:rPr>
                <w:rFonts w:ascii="Times New Roman" w:hAnsi="Times New Roman"/>
                <w:sz w:val="14"/>
              </w:rPr>
              <w:t>Abu Dhabi  Austin  Beijing  Dallas  Dubai  Hong Kong  Houston  London</w:t>
            </w:r>
          </w:p>
          <w:p>
            <w:pPr>
              <w:pStyle w:val="TableContents"/>
              <w:spacing w:before="0" w:after="15"/>
              <w:rPr>
                <w:rFonts w:ascii="Times New Roman" w:hAnsi="Times New Roman"/>
                <w:sz w:val="14"/>
              </w:rPr>
            </w:pPr>
            <w:r>
              <w:rPr>
                <w:rFonts w:ascii="Times New Roman" w:hAnsi="Times New Roman"/>
                <w:sz w:val="14"/>
              </w:rPr>
              <w:t>Moscow  New York  Palo Alto  Riyadh  Shanghai  Tokyo  Washington</w:t>
            </w:r>
          </w:p>
        </w:tc>
        <w:tc>
          <w:tcPr>
            <w:tcW w:w="121" w:type="dxa"/>
            <w:tcBorders/>
            <w:shd w:fill="auto" w:val="clear"/>
            <w:vAlign w:val="bottom"/>
          </w:tcPr>
          <w:p>
            <w:pPr>
              <w:pStyle w:val="TableContents"/>
              <w:spacing w:before="0" w:after="283"/>
              <w:rPr/>
            </w:pPr>
            <w:r>
              <w:rPr/>
              <w:t>  </w:t>
            </w:r>
          </w:p>
        </w:tc>
        <w:tc>
          <w:tcPr>
            <w:tcW w:w="4718" w:type="dxa"/>
            <w:tcBorders/>
            <w:shd w:fill="auto" w:val="clear"/>
          </w:tcPr>
          <w:p>
            <w:pPr>
              <w:pStyle w:val="TableContents"/>
              <w:spacing w:before="0" w:after="0"/>
              <w:rPr>
                <w:rFonts w:ascii="Times New Roman" w:hAnsi="Times New Roman"/>
                <w:sz w:val="14"/>
              </w:rPr>
            </w:pPr>
            <w:r>
              <w:rPr>
                <w:rFonts w:ascii="Times New Roman" w:hAnsi="Times New Roman"/>
                <w:sz w:val="14"/>
              </w:rPr>
              <w:t>First City Tower, 1001 Fannin Street, Suite 2500</w:t>
            </w:r>
          </w:p>
          <w:p>
            <w:pPr>
              <w:pStyle w:val="TableContents"/>
              <w:spacing w:before="0" w:after="0"/>
              <w:rPr>
                <w:rFonts w:ascii="Times New Roman" w:hAnsi="Times New Roman"/>
                <w:sz w:val="14"/>
              </w:rPr>
            </w:pPr>
            <w:r>
              <w:rPr>
                <w:rFonts w:ascii="Times New Roman" w:hAnsi="Times New Roman"/>
                <w:sz w:val="14"/>
              </w:rPr>
              <w:t>Houston, TX 77002-6760</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+1.713.758.2222 </w:t>
            </w:r>
            <w:r>
              <w:rPr>
                <w:rFonts w:ascii="Times New Roman" w:hAnsi="Times New Roman"/>
                <w:b/>
                <w:sz w:val="14"/>
              </w:rPr>
              <w:t>Fax</w:t>
            </w:r>
            <w:r>
              <w:rPr>
                <w:rFonts w:ascii="Times New Roman" w:hAnsi="Times New Roman"/>
                <w:sz w:val="14"/>
              </w:rPr>
              <w:t xml:space="preserve"> +1.713.758.2346 </w:t>
            </w:r>
            <w:r>
              <w:rPr>
                <w:rFonts w:ascii="Times New Roman" w:hAnsi="Times New Roman"/>
                <w:b/>
                <w:sz w:val="14"/>
              </w:rPr>
              <w:t>www.velaw.com</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pPr>
            <w:r>
              <w:rPr/>
              <w:drawing>
                <wp:inline distT="0" distB="0" distL="0" distR="0">
                  <wp:extent cx="476250" cy="190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76250" cy="190500"/>
                          </a:xfrm>
                          <a:prstGeom prst="rect">
                            <a:avLst/>
                          </a:prstGeom>
                        </pic:spPr>
                      </pic:pic>
                    </a:graphicData>
                  </a:graphic>
                </wp:inline>
              </w:drawing>
            </w:r>
            <w:r>
              <w:rPr/>
              <w:t xml:space="preserve"> </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jc w:val="right"/>
              <w:rPr>
                <w:rFonts w:ascii="Times New Roman" w:hAnsi="Times New Roman"/>
                <w:b/>
                <w:sz w:val="20"/>
              </w:rPr>
            </w:pPr>
            <w:r>
              <w:rPr>
                <w:rFonts w:ascii="Times New Roman" w:hAnsi="Times New Roman"/>
                <w:b/>
                <w:sz w:val="20"/>
              </w:rPr>
              <w:t>Exhibit 8.1</w:t>
            </w:r>
          </w:p>
        </w:tc>
      </w:tr>
    </w:tbl>
    <w:p>
      <w:pPr>
        <w:pStyle w:val="TextBody"/>
        <w:spacing w:before="0" w:after="0"/>
        <w:rPr/>
      </w:pPr>
      <w:r>
        <w:rPr/>
        <w:t> </w:t>
      </w:r>
    </w:p>
    <w:p>
      <w:pPr>
        <w:pStyle w:val="TextBody"/>
        <w:spacing w:before="0" w:after="0"/>
        <w:rPr>
          <w:rFonts w:ascii="Times New Roman" w:hAnsi="Times New Roman"/>
          <w:sz w:val="20"/>
        </w:rPr>
      </w:pPr>
      <w:r>
        <w:rPr>
          <w:rFonts w:ascii="Times New Roman" w:hAnsi="Times New Roman"/>
          <w:sz w:val="20"/>
        </w:rPr>
        <w:t xml:space="preserve">conclusions with respect thereto, constitute the opinion of Vinson &amp; Elkins LLP as to the material U.S. federal income tax consequences of the matters described therein. No opinion is expressed as to any matter not discussed herein. </w:t>
      </w:r>
    </w:p>
    <w:p>
      <w:pPr>
        <w:pStyle w:val="TextBody"/>
        <w:spacing w:before="180" w:after="0"/>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spacing w:before="180" w:after="0"/>
        <w:rPr>
          <w:rFonts w:ascii="Times New Roman" w:hAnsi="Times New Roman"/>
          <w:sz w:val="20"/>
        </w:rPr>
      </w:pPr>
      <w:r>
        <w:rPr>
          <w:rFonts w:ascii="Times New Roman" w:hAnsi="Times New Roman"/>
          <w:sz w:val="20"/>
        </w:rPr>
        <w:t xml:space="preserve">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or debt securities pursuant to the Registration Statement.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VINSON &amp; ELKINS L.L.P.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Vinson &amp; Elkins L.L.P.</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55</Pages>
  <Words>25267</Words>
  <CharactersWithSpaces>154276</CharactersWithSpaces>
  <Paragraphs>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&lt;![CDATA[Opinion of Vinson &amp; Elkins L.L.P. regarding tax matters]]&gt;</dc:title>
</cp:coreProperties>
</file>