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5)*</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720" w:hanging="712"/>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13d-1(b)</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Rule 13d-1(c)</w:t>
      </w:r>
    </w:p>
    <w:p>
      <w:pPr>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Rule 13d-1(d)</w:t>
      </w:r>
    </w:p>
    <w:p>
      <w:pPr>
        <w:spacing w:after="0" w:line="213" w:lineRule="exact"/>
        <w:rPr>
          <w:sz w:val="24"/>
          <w:szCs w:val="24"/>
          <w:color w:val="auto"/>
        </w:rPr>
      </w:pPr>
    </w:p>
    <w:p>
      <w:pPr>
        <w:jc w:val="both"/>
        <w:ind w:left="360" w:right="140" w:hanging="352"/>
        <w:spacing w:after="0" w:line="385"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454" w:right="37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560" w:hanging="403"/>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0"/>
          <w:szCs w:val="20"/>
          <w:color w:val="auto"/>
        </w:rPr>
        <w:t>I.R.S. Identification Nos. of above persons (entities only).</w:t>
      </w:r>
    </w:p>
    <w:p>
      <w:pPr>
        <w:spacing w:after="0" w:line="21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ALPS Advisors, Inc. (Tax ID: 84-1583423)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spacing w:after="0"/>
        <w:tabs>
          <w:tab w:leader="none" w:pos="0" w:val="left"/>
        </w:tabs>
        <w:numPr>
          <w:ilvl w:val="1"/>
          <w:numId w:val="4"/>
        </w:numPr>
        <w:rPr>
          <w:rFonts w:ascii="Arial" w:cs="Arial" w:eastAsia="Arial" w:hAnsi="Arial"/>
          <w:sz w:val="20"/>
          <w:szCs w:val="20"/>
          <w:color w:val="auto"/>
        </w:rPr>
      </w:pPr>
    </w:p>
    <w:p>
      <w:pPr>
        <w:ind w:left="1000" w:hanging="431"/>
        <w:spacing w:after="0"/>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403"/>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hanging="403"/>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-546100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-177800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06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60" w:type="dxa"/>
            <w:vAlign w:val="bottom"/>
          </w:tcPr>
          <w:p>
            <w:pPr>
              <w:ind w:left="8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0"/>
        </w:trPr>
        <w:tc>
          <w:tcPr>
            <w:tcW w:w="16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640" w:type="dxa"/>
            <w:vAlign w:val="bottom"/>
          </w:tcPr>
          <w:p>
            <w:pPr>
              <w:spacing w:after="0"/>
              <w:rPr>
                <w:sz w:val="20"/>
                <w:szCs w:val="20"/>
                <w:color w:val="auto"/>
              </w:rPr>
            </w:pPr>
            <w:r>
              <w:rPr>
                <w:rFonts w:ascii="Arial" w:cs="Arial" w:eastAsia="Arial" w:hAnsi="Arial"/>
                <w:sz w:val="20"/>
                <w:szCs w:val="20"/>
                <w:color w:val="auto"/>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906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20"/>
                <w:szCs w:val="20"/>
                <w:color w:val="auto"/>
              </w:rPr>
              <w:t>Shares</w:t>
            </w:r>
          </w:p>
        </w:tc>
        <w:tc>
          <w:tcPr>
            <w:tcW w:w="480" w:type="dxa"/>
            <w:vAlign w:val="bottom"/>
          </w:tcPr>
          <w:p>
            <w:pPr>
              <w:spacing w:after="0"/>
              <w:rPr>
                <w:sz w:val="19"/>
                <w:szCs w:val="19"/>
                <w:color w:val="auto"/>
              </w:rPr>
            </w:pPr>
          </w:p>
        </w:tc>
        <w:tc>
          <w:tcPr>
            <w:tcW w:w="9060" w:type="dxa"/>
            <w:vAlign w:val="bottom"/>
            <w:vMerge w:val="restart"/>
          </w:tcPr>
          <w:p>
            <w:pPr>
              <w:ind w:left="860"/>
              <w:spacing w:after="0"/>
              <w:rPr>
                <w:sz w:val="20"/>
                <w:szCs w:val="20"/>
                <w:color w:val="auto"/>
              </w:rPr>
            </w:pPr>
            <w:r>
              <w:rPr>
                <w:rFonts w:ascii="Arial" w:cs="Arial" w:eastAsia="Arial" w:hAnsi="Arial"/>
                <w:sz w:val="20"/>
                <w:szCs w:val="20"/>
                <w:color w:val="auto"/>
              </w:rPr>
              <w:t>52,508,962**see Note 1**</w:t>
            </w:r>
          </w:p>
        </w:tc>
        <w:tc>
          <w:tcPr>
            <w:tcW w:w="0" w:type="dxa"/>
            <w:vAlign w:val="bottom"/>
          </w:tcPr>
          <w:p>
            <w:pPr>
              <w:spacing w:after="0"/>
              <w:rPr>
                <w:sz w:val="1"/>
                <w:szCs w:val="1"/>
                <w:color w:val="auto"/>
              </w:rPr>
            </w:pPr>
          </w:p>
        </w:tc>
      </w:tr>
      <w:tr>
        <w:trPr>
          <w:trHeight w:val="240"/>
        </w:trPr>
        <w:tc>
          <w:tcPr>
            <w:tcW w:w="1640" w:type="dxa"/>
            <w:vAlign w:val="bottom"/>
          </w:tcPr>
          <w:p>
            <w:pPr>
              <w:spacing w:after="0"/>
              <w:rPr>
                <w:sz w:val="20"/>
                <w:szCs w:val="20"/>
                <w:color w:val="auto"/>
              </w:rPr>
            </w:pPr>
            <w:r>
              <w:rPr>
                <w:rFonts w:ascii="Arial" w:cs="Arial" w:eastAsia="Arial" w:hAnsi="Arial"/>
                <w:sz w:val="20"/>
                <w:szCs w:val="20"/>
                <w:color w:val="auto"/>
              </w:rPr>
              <w:t>Beneficially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40" w:type="dxa"/>
            <w:vAlign w:val="bottom"/>
          </w:tcPr>
          <w:p>
            <w:pPr>
              <w:spacing w:after="0" w:line="199" w:lineRule="exact"/>
              <w:rPr>
                <w:sz w:val="20"/>
                <w:szCs w:val="20"/>
                <w:color w:val="auto"/>
              </w:rPr>
            </w:pPr>
            <w:r>
              <w:rPr>
                <w:rFonts w:ascii="Arial" w:cs="Arial" w:eastAsia="Arial" w:hAnsi="Arial"/>
                <w:sz w:val="20"/>
                <w:szCs w:val="20"/>
                <w:color w:val="auto"/>
              </w:rPr>
              <w:t>Owned by</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7.</w:t>
            </w:r>
          </w:p>
        </w:tc>
        <w:tc>
          <w:tcPr>
            <w:tcW w:w="906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640" w:type="dxa"/>
            <w:vAlign w:val="bottom"/>
            <w:vMerge w:val="restart"/>
          </w:tcPr>
          <w:p>
            <w:pPr>
              <w:spacing w:after="0"/>
              <w:rPr>
                <w:sz w:val="20"/>
                <w:szCs w:val="20"/>
                <w:color w:val="auto"/>
              </w:rPr>
            </w:pPr>
            <w:r>
              <w:rPr>
                <w:rFonts w:ascii="Arial" w:cs="Arial" w:eastAsia="Arial" w:hAnsi="Arial"/>
                <w:sz w:val="20"/>
                <w:szCs w:val="20"/>
                <w:color w:val="auto"/>
              </w:rPr>
              <w:t>Each 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Person With</w:t>
            </w:r>
          </w:p>
        </w:tc>
        <w:tc>
          <w:tcPr>
            <w:tcW w:w="480" w:type="dxa"/>
            <w:vAlign w:val="bottom"/>
          </w:tcPr>
          <w:p>
            <w:pPr>
              <w:spacing w:after="0"/>
              <w:rPr>
                <w:sz w:val="21"/>
                <w:szCs w:val="21"/>
                <w:color w:val="auto"/>
              </w:rPr>
            </w:pPr>
          </w:p>
        </w:tc>
        <w:tc>
          <w:tcPr>
            <w:tcW w:w="9060" w:type="dxa"/>
            <w:vAlign w:val="bottom"/>
            <w:vMerge w:val="restart"/>
          </w:tcPr>
          <w:p>
            <w:pPr>
              <w:ind w:left="8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6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64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9060" w:type="dxa"/>
            <w:vAlign w:val="bottom"/>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52,508,962**see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52,508,962**see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52"/>
        <w:spacing w:after="0"/>
        <w:tabs>
          <w:tab w:leader="none" w:pos="5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49"/>
        <w:spacing w:after="0"/>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52"/>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28"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198755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560" w:hanging="403"/>
        <w:spacing w:after="0"/>
        <w:tabs>
          <w:tab w:leader="none" w:pos="56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0"/>
          <w:szCs w:val="20"/>
          <w:color w:val="auto"/>
        </w:rPr>
        <w:t>I.R.S. Identification Nos. of above persons (entities only).</w:t>
      </w:r>
    </w:p>
    <w:p>
      <w:pPr>
        <w:spacing w:after="0" w:line="21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Alerian MLP ETF (Tax ID: 27-3041076)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spacing w:after="0"/>
        <w:tabs>
          <w:tab w:leader="none" w:pos="0" w:val="left"/>
        </w:tabs>
        <w:numPr>
          <w:ilvl w:val="1"/>
          <w:numId w:val="10"/>
        </w:numPr>
        <w:rPr>
          <w:rFonts w:ascii="Arial" w:cs="Arial" w:eastAsia="Arial" w:hAnsi="Arial"/>
          <w:sz w:val="20"/>
          <w:szCs w:val="20"/>
          <w:color w:val="auto"/>
        </w:rPr>
      </w:pPr>
    </w:p>
    <w:p>
      <w:pPr>
        <w:ind w:left="1000" w:hanging="431"/>
        <w:spacing w:after="0"/>
        <w:tabs>
          <w:tab w:leader="none" w:pos="1000" w:val="left"/>
        </w:tabs>
        <w:numPr>
          <w:ilvl w:val="1"/>
          <w:numId w:val="10"/>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403"/>
        <w:spacing w:after="0"/>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hanging="403"/>
        <w:spacing w:after="0"/>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-546100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-177800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906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459"/>
        </w:trPr>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60" w:type="dxa"/>
            <w:vAlign w:val="bottom"/>
          </w:tcPr>
          <w:p>
            <w:pPr>
              <w:ind w:left="8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0"/>
        </w:trPr>
        <w:tc>
          <w:tcPr>
            <w:tcW w:w="16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640" w:type="dxa"/>
            <w:vAlign w:val="bottom"/>
          </w:tcPr>
          <w:p>
            <w:pPr>
              <w:spacing w:after="0"/>
              <w:rPr>
                <w:sz w:val="20"/>
                <w:szCs w:val="20"/>
                <w:color w:val="auto"/>
              </w:rPr>
            </w:pPr>
            <w:r>
              <w:rPr>
                <w:rFonts w:ascii="Arial" w:cs="Arial" w:eastAsia="Arial" w:hAnsi="Arial"/>
                <w:sz w:val="20"/>
                <w:szCs w:val="20"/>
                <w:color w:val="auto"/>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906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Arial" w:cs="Arial" w:eastAsia="Arial" w:hAnsi="Arial"/>
                <w:sz w:val="20"/>
                <w:szCs w:val="20"/>
                <w:color w:val="auto"/>
              </w:rPr>
              <w:t>Shares</w:t>
            </w:r>
          </w:p>
        </w:tc>
        <w:tc>
          <w:tcPr>
            <w:tcW w:w="480" w:type="dxa"/>
            <w:vAlign w:val="bottom"/>
          </w:tcPr>
          <w:p>
            <w:pPr>
              <w:spacing w:after="0"/>
              <w:rPr>
                <w:sz w:val="19"/>
                <w:szCs w:val="19"/>
                <w:color w:val="auto"/>
              </w:rPr>
            </w:pPr>
          </w:p>
        </w:tc>
        <w:tc>
          <w:tcPr>
            <w:tcW w:w="9060" w:type="dxa"/>
            <w:vAlign w:val="bottom"/>
            <w:vMerge w:val="restart"/>
          </w:tcPr>
          <w:p>
            <w:pPr>
              <w:ind w:left="860"/>
              <w:spacing w:after="0"/>
              <w:rPr>
                <w:sz w:val="20"/>
                <w:szCs w:val="20"/>
                <w:color w:val="auto"/>
              </w:rPr>
            </w:pPr>
            <w:r>
              <w:rPr>
                <w:rFonts w:ascii="Arial" w:cs="Arial" w:eastAsia="Arial" w:hAnsi="Arial"/>
                <w:sz w:val="20"/>
                <w:szCs w:val="20"/>
                <w:color w:val="auto"/>
              </w:rPr>
              <w:t>52,494,118**see Note 1**</w:t>
            </w:r>
          </w:p>
        </w:tc>
        <w:tc>
          <w:tcPr>
            <w:tcW w:w="0" w:type="dxa"/>
            <w:vAlign w:val="bottom"/>
          </w:tcPr>
          <w:p>
            <w:pPr>
              <w:spacing w:after="0"/>
              <w:rPr>
                <w:sz w:val="1"/>
                <w:szCs w:val="1"/>
                <w:color w:val="auto"/>
              </w:rPr>
            </w:pPr>
          </w:p>
        </w:tc>
      </w:tr>
      <w:tr>
        <w:trPr>
          <w:trHeight w:val="240"/>
        </w:trPr>
        <w:tc>
          <w:tcPr>
            <w:tcW w:w="1640" w:type="dxa"/>
            <w:vAlign w:val="bottom"/>
          </w:tcPr>
          <w:p>
            <w:pPr>
              <w:spacing w:after="0"/>
              <w:rPr>
                <w:sz w:val="20"/>
                <w:szCs w:val="20"/>
                <w:color w:val="auto"/>
              </w:rPr>
            </w:pPr>
            <w:r>
              <w:rPr>
                <w:rFonts w:ascii="Arial" w:cs="Arial" w:eastAsia="Arial" w:hAnsi="Arial"/>
                <w:sz w:val="20"/>
                <w:szCs w:val="20"/>
                <w:color w:val="auto"/>
              </w:rPr>
              <w:t>Beneficially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40" w:type="dxa"/>
            <w:vAlign w:val="bottom"/>
          </w:tcPr>
          <w:p>
            <w:pPr>
              <w:spacing w:after="0" w:line="199" w:lineRule="exact"/>
              <w:rPr>
                <w:sz w:val="20"/>
                <w:szCs w:val="20"/>
                <w:color w:val="auto"/>
              </w:rPr>
            </w:pPr>
            <w:r>
              <w:rPr>
                <w:rFonts w:ascii="Arial" w:cs="Arial" w:eastAsia="Arial" w:hAnsi="Arial"/>
                <w:sz w:val="20"/>
                <w:szCs w:val="20"/>
                <w:color w:val="auto"/>
              </w:rPr>
              <w:t>Owned by</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7.</w:t>
            </w:r>
          </w:p>
        </w:tc>
        <w:tc>
          <w:tcPr>
            <w:tcW w:w="906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640" w:type="dxa"/>
            <w:vAlign w:val="bottom"/>
            <w:vMerge w:val="restart"/>
          </w:tcPr>
          <w:p>
            <w:pPr>
              <w:spacing w:after="0"/>
              <w:rPr>
                <w:sz w:val="20"/>
                <w:szCs w:val="20"/>
                <w:color w:val="auto"/>
              </w:rPr>
            </w:pPr>
            <w:r>
              <w:rPr>
                <w:rFonts w:ascii="Arial" w:cs="Arial" w:eastAsia="Arial" w:hAnsi="Arial"/>
                <w:sz w:val="20"/>
                <w:szCs w:val="20"/>
                <w:color w:val="auto"/>
              </w:rPr>
              <w:t>Each 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Person With</w:t>
            </w:r>
          </w:p>
        </w:tc>
        <w:tc>
          <w:tcPr>
            <w:tcW w:w="480" w:type="dxa"/>
            <w:vAlign w:val="bottom"/>
          </w:tcPr>
          <w:p>
            <w:pPr>
              <w:spacing w:after="0"/>
              <w:rPr>
                <w:sz w:val="21"/>
                <w:szCs w:val="21"/>
                <w:color w:val="auto"/>
              </w:rPr>
            </w:pPr>
          </w:p>
        </w:tc>
        <w:tc>
          <w:tcPr>
            <w:tcW w:w="9060" w:type="dxa"/>
            <w:vAlign w:val="bottom"/>
            <w:vMerge w:val="restart"/>
          </w:tcPr>
          <w:p>
            <w:pPr>
              <w:ind w:left="8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16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164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9060" w:type="dxa"/>
            <w:vAlign w:val="bottom"/>
          </w:tcPr>
          <w:p>
            <w:pPr>
              <w:ind w:left="14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52,494,118**see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03"/>
        <w:spacing w:after="0"/>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52,494,118**see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52"/>
        <w:spacing w:after="0"/>
        <w:tabs>
          <w:tab w:leader="none" w:pos="5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60" w:hanging="449"/>
        <w:spacing w:after="0"/>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44450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60" w:hanging="452"/>
        <w:spacing w:after="0"/>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4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Item 1.</w:t>
      </w:r>
    </w:p>
    <w:p>
      <w:pPr>
        <w:spacing w:after="0" w:line="229" w:lineRule="exact"/>
        <w:rPr>
          <w:sz w:val="20"/>
          <w:szCs w:val="20"/>
          <w:color w:val="auto"/>
        </w:rPr>
      </w:pPr>
    </w:p>
    <w:p>
      <w:pPr>
        <w:ind w:left="1800" w:hanging="712"/>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9"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Plains All American Pipeline, L.P.</w:t>
      </w:r>
    </w:p>
    <w:p>
      <w:pPr>
        <w:spacing w:after="0" w:line="229" w:lineRule="exact"/>
        <w:rPr>
          <w:rFonts w:ascii="Arial" w:cs="Arial" w:eastAsia="Arial" w:hAnsi="Arial"/>
          <w:sz w:val="20"/>
          <w:szCs w:val="20"/>
          <w:color w:val="auto"/>
        </w:rPr>
      </w:pPr>
    </w:p>
    <w:p>
      <w:pPr>
        <w:ind w:left="1800" w:hanging="712"/>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9" w:lineRule="exact"/>
        <w:rPr>
          <w:rFonts w:ascii="Arial" w:cs="Arial" w:eastAsia="Arial" w:hAnsi="Arial"/>
          <w:sz w:val="20"/>
          <w:szCs w:val="20"/>
          <w:color w:val="auto"/>
        </w:rPr>
      </w:pPr>
    </w:p>
    <w:p>
      <w:pPr>
        <w:ind w:left="1800" w:right="7140"/>
        <w:spacing w:after="0" w:line="287" w:lineRule="auto"/>
        <w:rPr>
          <w:rFonts w:ascii="Arial" w:cs="Arial" w:eastAsia="Arial" w:hAnsi="Arial"/>
          <w:sz w:val="20"/>
          <w:szCs w:val="20"/>
          <w:color w:val="auto"/>
        </w:rPr>
      </w:pPr>
      <w:r>
        <w:rPr>
          <w:rFonts w:ascii="Arial" w:cs="Arial" w:eastAsia="Arial" w:hAnsi="Arial"/>
          <w:sz w:val="19"/>
          <w:szCs w:val="19"/>
          <w:color w:val="auto"/>
        </w:rPr>
        <w:t>333 Clay Street, Suite 1600 Houston, TX 77002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Item 2.</w:t>
      </w:r>
    </w:p>
    <w:p>
      <w:pPr>
        <w:spacing w:after="0" w:line="229" w:lineRule="exact"/>
        <w:rPr>
          <w:sz w:val="20"/>
          <w:szCs w:val="20"/>
          <w:color w:val="auto"/>
        </w:rPr>
      </w:pPr>
    </w:p>
    <w:p>
      <w:pPr>
        <w:ind w:left="1800" w:hanging="712"/>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229" w:lineRule="exact"/>
        <w:rPr>
          <w:rFonts w:ascii="Arial" w:cs="Arial" w:eastAsia="Arial" w:hAnsi="Arial"/>
          <w:sz w:val="20"/>
          <w:szCs w:val="20"/>
          <w:color w:val="auto"/>
        </w:rPr>
      </w:pPr>
    </w:p>
    <w:p>
      <w:pPr>
        <w:ind w:left="3080" w:hanging="556"/>
        <w:spacing w:after="0"/>
        <w:tabs>
          <w:tab w:leader="none" w:pos="30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ALPS Advisors, Inc.</w:t>
      </w:r>
    </w:p>
    <w:p>
      <w:pPr>
        <w:spacing w:after="0" w:line="15" w:lineRule="exact"/>
        <w:rPr>
          <w:rFonts w:ascii="Arial" w:cs="Arial" w:eastAsia="Arial" w:hAnsi="Arial"/>
          <w:sz w:val="20"/>
          <w:szCs w:val="20"/>
          <w:color w:val="auto"/>
        </w:rPr>
      </w:pPr>
    </w:p>
    <w:p>
      <w:pPr>
        <w:ind w:left="3080" w:hanging="556"/>
        <w:spacing w:after="0"/>
        <w:tabs>
          <w:tab w:leader="none" w:pos="30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Alerian MLP ETF</w:t>
      </w:r>
    </w:p>
    <w:p>
      <w:pPr>
        <w:spacing w:after="0" w:line="213" w:lineRule="exact"/>
        <w:rPr>
          <w:rFonts w:ascii="Arial" w:cs="Arial" w:eastAsia="Arial" w:hAnsi="Arial"/>
          <w:sz w:val="20"/>
          <w:szCs w:val="20"/>
          <w:color w:val="auto"/>
        </w:rPr>
      </w:pPr>
    </w:p>
    <w:p>
      <w:pPr>
        <w:ind w:left="1800" w:hanging="712"/>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Address of Principal Business Office or, if none, Residence</w:t>
      </w:r>
    </w:p>
    <w:p>
      <w:pPr>
        <w:spacing w:after="0" w:line="229" w:lineRule="exact"/>
        <w:rPr>
          <w:rFonts w:ascii="Arial" w:cs="Arial" w:eastAsia="Arial" w:hAnsi="Arial"/>
          <w:sz w:val="20"/>
          <w:szCs w:val="20"/>
          <w:color w:val="auto"/>
        </w:rPr>
      </w:pPr>
    </w:p>
    <w:p>
      <w:pPr>
        <w:ind w:left="3100" w:hanging="576"/>
        <w:spacing w:after="0"/>
        <w:tabs>
          <w:tab w:leader="none" w:pos="31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1290 Broadway, Suite 1000, Denver, CO 80203</w:t>
      </w:r>
    </w:p>
    <w:p>
      <w:pPr>
        <w:spacing w:after="0" w:line="15" w:lineRule="exact"/>
        <w:rPr>
          <w:rFonts w:ascii="Arial" w:cs="Arial" w:eastAsia="Arial" w:hAnsi="Arial"/>
          <w:sz w:val="20"/>
          <w:szCs w:val="20"/>
          <w:color w:val="auto"/>
        </w:rPr>
      </w:pPr>
    </w:p>
    <w:p>
      <w:pPr>
        <w:ind w:left="3100" w:hanging="576"/>
        <w:spacing w:after="0"/>
        <w:tabs>
          <w:tab w:leader="none" w:pos="31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1290 Broadway, Suite 1000, Denver, CO 80203</w:t>
      </w:r>
    </w:p>
    <w:p>
      <w:pPr>
        <w:spacing w:after="0" w:line="213" w:lineRule="exact"/>
        <w:rPr>
          <w:rFonts w:ascii="Arial" w:cs="Arial" w:eastAsia="Arial" w:hAnsi="Arial"/>
          <w:sz w:val="20"/>
          <w:szCs w:val="20"/>
          <w:color w:val="auto"/>
        </w:rPr>
      </w:pPr>
    </w:p>
    <w:p>
      <w:pPr>
        <w:ind w:left="1800" w:hanging="712"/>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229" w:lineRule="exact"/>
        <w:rPr>
          <w:rFonts w:ascii="Arial" w:cs="Arial" w:eastAsia="Arial" w:hAnsi="Arial"/>
          <w:sz w:val="20"/>
          <w:szCs w:val="20"/>
          <w:color w:val="auto"/>
        </w:rPr>
      </w:pPr>
    </w:p>
    <w:p>
      <w:pPr>
        <w:ind w:left="3100" w:hanging="576"/>
        <w:spacing w:after="0"/>
        <w:tabs>
          <w:tab w:leader="none" w:pos="31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Colorado</w:t>
      </w:r>
    </w:p>
    <w:p>
      <w:pPr>
        <w:spacing w:after="0" w:line="15" w:lineRule="exact"/>
        <w:rPr>
          <w:rFonts w:ascii="Arial" w:cs="Arial" w:eastAsia="Arial" w:hAnsi="Arial"/>
          <w:sz w:val="20"/>
          <w:szCs w:val="20"/>
          <w:color w:val="auto"/>
        </w:rPr>
      </w:pPr>
    </w:p>
    <w:p>
      <w:pPr>
        <w:ind w:left="3100" w:hanging="576"/>
        <w:spacing w:after="0"/>
        <w:tabs>
          <w:tab w:leader="none" w:pos="31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Delaware</w:t>
      </w:r>
    </w:p>
    <w:p>
      <w:pPr>
        <w:spacing w:after="0" w:line="213" w:lineRule="exact"/>
        <w:rPr>
          <w:rFonts w:ascii="Arial" w:cs="Arial" w:eastAsia="Arial" w:hAnsi="Arial"/>
          <w:sz w:val="20"/>
          <w:szCs w:val="20"/>
          <w:color w:val="auto"/>
        </w:rPr>
      </w:pPr>
    </w:p>
    <w:p>
      <w:pPr>
        <w:ind w:left="1800" w:hanging="712"/>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520" w:right="7700" w:hanging="1432"/>
        <w:spacing w:after="0" w:line="598" w:lineRule="auto"/>
        <w:tabs>
          <w:tab w:leader="none" w:pos="1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CUSIP Number 726503105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Item 3.</w:t>
            </w:r>
          </w:p>
        </w:tc>
        <w:tc>
          <w:tcPr>
            <w:tcW w:w="9100" w:type="dxa"/>
            <w:vAlign w:val="bottom"/>
            <w:gridSpan w:val="4"/>
          </w:tcPr>
          <w:p>
            <w:pPr>
              <w:ind w:left="260"/>
              <w:spacing w:after="0"/>
              <w:rPr>
                <w:sz w:val="20"/>
                <w:szCs w:val="20"/>
                <w:color w:val="auto"/>
              </w:rPr>
            </w:pPr>
            <w:r>
              <w:rPr>
                <w:rFonts w:ascii="Arial" w:cs="Arial" w:eastAsia="Arial" w:hAnsi="Arial"/>
                <w:sz w:val="20"/>
                <w:szCs w:val="20"/>
                <w:color w:val="auto"/>
                <w:w w:val="90"/>
              </w:rPr>
              <w:t>If this statement is filed pursuant to §§240.13d-1(b) or 240.13d-2(b) or (c), check whether the person filing is a:</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(a)</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620" w:type="dxa"/>
            <w:vAlign w:val="bottom"/>
          </w:tcPr>
          <w:p>
            <w:pPr>
              <w:ind w:left="22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(b)</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620" w:type="dxa"/>
            <w:vAlign w:val="bottom"/>
          </w:tcPr>
          <w:p>
            <w:pPr>
              <w:ind w:left="220"/>
              <w:spacing w:after="0"/>
              <w:rPr>
                <w:sz w:val="20"/>
                <w:szCs w:val="20"/>
                <w:color w:val="auto"/>
              </w:rPr>
            </w:pPr>
            <w:r>
              <w:rPr>
                <w:rFonts w:ascii="Arial" w:cs="Arial" w:eastAsia="Arial" w:hAnsi="Arial"/>
                <w:sz w:val="20"/>
                <w:szCs w:val="20"/>
                <w:color w:val="auto"/>
              </w:rPr>
              <w:t>Bank as defined in section 3(a)(6) of the Act (15 U.S.C. 78c);</w:t>
            </w:r>
          </w:p>
        </w:tc>
      </w:tr>
      <w:tr>
        <w:trPr>
          <w:trHeight w:val="459"/>
        </w:trPr>
        <w:tc>
          <w:tcPr>
            <w:tcW w:w="8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20"/>
                <w:szCs w:val="20"/>
                <w:color w:val="auto"/>
              </w:rPr>
              <w:t>(c)</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620" w:type="dxa"/>
            <w:vAlign w:val="bottom"/>
          </w:tcPr>
          <w:p>
            <w:pPr>
              <w:ind w:left="220"/>
              <w:spacing w:after="0"/>
              <w:rPr>
                <w:sz w:val="20"/>
                <w:szCs w:val="20"/>
                <w:color w:val="auto"/>
              </w:rPr>
            </w:pPr>
            <w:r>
              <w:rPr>
                <w:rFonts w:ascii="Arial" w:cs="Arial" w:eastAsia="Arial" w:hAnsi="Arial"/>
                <w:sz w:val="20"/>
                <w:szCs w:val="20"/>
                <w:color w:val="auto"/>
              </w:rPr>
              <w:t>Insurance company as defined in section 3(a)(19) of the Act (15 U.S.C. 78c);</w:t>
            </w:r>
          </w:p>
        </w:tc>
      </w:tr>
    </w:tbl>
    <w:p>
      <w:pPr>
        <w:spacing w:after="0" w:line="209" w:lineRule="exact"/>
        <w:rPr>
          <w:sz w:val="20"/>
          <w:szCs w:val="20"/>
          <w:color w:val="auto"/>
        </w:rPr>
      </w:pPr>
    </w:p>
    <w:p>
      <w:pPr>
        <w:ind w:left="2520" w:right="80" w:hanging="1432"/>
        <w:spacing w:after="0" w:line="260" w:lineRule="auto"/>
        <w:tabs>
          <w:tab w:leader="none" w:pos="1804"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[X]Investment company registered under section 8 of the Investment Company Act of 1940 (15 U.S.C 80a-8) - </w:t>
      </w:r>
      <w:r>
        <w:rPr>
          <w:rFonts w:ascii="Arial" w:cs="Arial" w:eastAsia="Arial" w:hAnsi="Arial"/>
          <w:sz w:val="20"/>
          <w:szCs w:val="20"/>
          <w:b w:val="1"/>
          <w:bCs w:val="1"/>
          <w:color w:val="auto"/>
        </w:rPr>
        <w:t>Alerian MLP ETF</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1800" w:hanging="712"/>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 xml:space="preserve">An investment adviser in accordance with §240.13d-1(b)(1)(ii)(E) – </w:t>
      </w:r>
      <w:r>
        <w:rPr>
          <w:rFonts w:ascii="Arial" w:cs="Arial" w:eastAsia="Arial" w:hAnsi="Arial"/>
          <w:sz w:val="18"/>
          <w:szCs w:val="18"/>
          <w:b w:val="1"/>
          <w:bCs w:val="1"/>
          <w:color w:val="auto"/>
        </w:rPr>
        <w:t>ALPS Advisors,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60" w:type="dxa"/>
            <w:vAlign w:val="bottom"/>
          </w:tcPr>
          <w:p>
            <w:pPr>
              <w:ind w:left="1080"/>
              <w:spacing w:after="0"/>
              <w:rPr>
                <w:sz w:val="20"/>
                <w:szCs w:val="20"/>
                <w:color w:val="auto"/>
              </w:rPr>
            </w:pPr>
            <w:r>
              <w:rPr>
                <w:rFonts w:ascii="Arial" w:cs="Arial" w:eastAsia="Arial" w:hAnsi="Arial"/>
                <w:sz w:val="20"/>
                <w:szCs w:val="20"/>
                <w:color w:val="auto"/>
              </w:rPr>
              <w:t>(f)</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rPr>
              <w:t>An employee benefit plan or endowment fund in accordance with §240.13d-1(b)(1)(ii)(F);</w:t>
            </w:r>
          </w:p>
        </w:tc>
      </w:tr>
      <w:tr>
        <w:trPr>
          <w:trHeight w:val="459"/>
        </w:trPr>
        <w:tc>
          <w:tcPr>
            <w:tcW w:w="1560" w:type="dxa"/>
            <w:vAlign w:val="bottom"/>
          </w:tcPr>
          <w:p>
            <w:pPr>
              <w:ind w:left="1080"/>
              <w:spacing w:after="0"/>
              <w:rPr>
                <w:sz w:val="20"/>
                <w:szCs w:val="20"/>
                <w:color w:val="auto"/>
              </w:rPr>
            </w:pPr>
            <w:r>
              <w:rPr>
                <w:rFonts w:ascii="Arial" w:cs="Arial" w:eastAsia="Arial" w:hAnsi="Arial"/>
                <w:sz w:val="20"/>
                <w:szCs w:val="20"/>
                <w:color w:val="auto"/>
              </w:rPr>
              <w:t>(g)</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rPr>
              <w:t>A parent holding company or control person in accordance with § 240.13d-1(b)(1)(ii)(G);</w:t>
            </w:r>
          </w:p>
        </w:tc>
      </w:tr>
      <w:tr>
        <w:trPr>
          <w:trHeight w:val="459"/>
        </w:trPr>
        <w:tc>
          <w:tcPr>
            <w:tcW w:w="1560" w:type="dxa"/>
            <w:vAlign w:val="bottom"/>
          </w:tcPr>
          <w:p>
            <w:pPr>
              <w:ind w:left="1080"/>
              <w:spacing w:after="0"/>
              <w:rPr>
                <w:sz w:val="20"/>
                <w:szCs w:val="20"/>
                <w:color w:val="auto"/>
              </w:rPr>
            </w:pPr>
            <w:r>
              <w:rPr>
                <w:rFonts w:ascii="Arial" w:cs="Arial" w:eastAsia="Arial" w:hAnsi="Arial"/>
                <w:sz w:val="20"/>
                <w:szCs w:val="20"/>
                <w:color w:val="auto"/>
              </w:rPr>
              <w:t>(h)</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w w:val="90"/>
              </w:rPr>
              <w:t>A savings associations as defined in Section 3(b) of the Federal Deposit Insurance Act (12 U.S.C. 1813);</w:t>
            </w:r>
          </w:p>
        </w:tc>
      </w:tr>
      <w:tr>
        <w:trPr>
          <w:trHeight w:val="438"/>
        </w:trPr>
        <w:tc>
          <w:tcPr>
            <w:tcW w:w="1560" w:type="dxa"/>
            <w:vAlign w:val="bottom"/>
          </w:tcPr>
          <w:p>
            <w:pPr>
              <w:ind w:left="1080"/>
              <w:spacing w:after="0"/>
              <w:rPr>
                <w:sz w:val="20"/>
                <w:szCs w:val="20"/>
                <w:color w:val="auto"/>
              </w:rPr>
            </w:pPr>
            <w:r>
              <w:rPr>
                <w:rFonts w:ascii="Arial" w:cs="Arial" w:eastAsia="Arial" w:hAnsi="Arial"/>
                <w:sz w:val="20"/>
                <w:szCs w:val="20"/>
                <w:color w:val="auto"/>
              </w:rPr>
              <w:t>(i)</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w w:val="90"/>
              </w:rPr>
              <w:t>A church plan that is excluded from the definition of an investment company under section 3(c)(14) of the</w:t>
            </w:r>
          </w:p>
        </w:tc>
      </w:tr>
      <w:tr>
        <w:trPr>
          <w:trHeight w:val="250"/>
        </w:trPr>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40" w:type="dxa"/>
            <w:vAlign w:val="bottom"/>
          </w:tcPr>
          <w:p>
            <w:pPr>
              <w:ind w:left="220"/>
              <w:spacing w:after="0"/>
              <w:rPr>
                <w:sz w:val="20"/>
                <w:szCs w:val="20"/>
                <w:color w:val="auto"/>
              </w:rPr>
            </w:pPr>
            <w:r>
              <w:rPr>
                <w:rFonts w:ascii="Arial" w:cs="Arial" w:eastAsia="Arial" w:hAnsi="Arial"/>
                <w:sz w:val="20"/>
                <w:szCs w:val="20"/>
                <w:color w:val="auto"/>
              </w:rPr>
              <w:t>Investment Company Act of 1940 (15 U.S.C. 80a-3);</w:t>
            </w:r>
          </w:p>
        </w:tc>
      </w:tr>
      <w:tr>
        <w:trPr>
          <w:trHeight w:val="459"/>
        </w:trPr>
        <w:tc>
          <w:tcPr>
            <w:tcW w:w="1560" w:type="dxa"/>
            <w:vAlign w:val="bottom"/>
          </w:tcPr>
          <w:p>
            <w:pPr>
              <w:ind w:left="1080"/>
              <w:spacing w:after="0"/>
              <w:rPr>
                <w:sz w:val="20"/>
                <w:szCs w:val="20"/>
                <w:color w:val="auto"/>
              </w:rPr>
            </w:pPr>
            <w:r>
              <w:rPr>
                <w:rFonts w:ascii="Arial" w:cs="Arial" w:eastAsia="Arial" w:hAnsi="Arial"/>
                <w:sz w:val="20"/>
                <w:szCs w:val="20"/>
                <w:color w:val="auto"/>
              </w:rPr>
              <w:t>(j)</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rPr>
              <w:t>A non-U.S. institution in accordance with § 240.13d-1(b)(1)(ii)(J);</w:t>
            </w:r>
          </w:p>
        </w:tc>
      </w:tr>
      <w:tr>
        <w:trPr>
          <w:trHeight w:val="459"/>
        </w:trPr>
        <w:tc>
          <w:tcPr>
            <w:tcW w:w="1560" w:type="dxa"/>
            <w:vAlign w:val="bottom"/>
          </w:tcPr>
          <w:p>
            <w:pPr>
              <w:ind w:left="1080"/>
              <w:spacing w:after="0"/>
              <w:rPr>
                <w:sz w:val="20"/>
                <w:szCs w:val="20"/>
                <w:color w:val="auto"/>
              </w:rPr>
            </w:pPr>
            <w:r>
              <w:rPr>
                <w:rFonts w:ascii="Arial" w:cs="Arial" w:eastAsia="Arial" w:hAnsi="Arial"/>
                <w:sz w:val="20"/>
                <w:szCs w:val="20"/>
                <w:color w:val="auto"/>
              </w:rPr>
              <w:t>(k)</w:t>
            </w:r>
          </w:p>
        </w:tc>
        <w:tc>
          <w:tcPr>
            <w:tcW w:w="380" w:type="dxa"/>
            <w:vAlign w:val="bottom"/>
          </w:tcPr>
          <w:p>
            <w:pPr>
              <w:ind w:left="2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40" w:type="dxa"/>
            <w:vAlign w:val="bottom"/>
          </w:tcPr>
          <w:p>
            <w:pPr>
              <w:ind w:left="220"/>
              <w:spacing w:after="0"/>
              <w:rPr>
                <w:sz w:val="20"/>
                <w:szCs w:val="20"/>
                <w:color w:val="auto"/>
              </w:rPr>
            </w:pPr>
            <w:r>
              <w:rPr>
                <w:rFonts w:ascii="Arial" w:cs="Arial" w:eastAsia="Arial" w:hAnsi="Arial"/>
                <w:sz w:val="20"/>
                <w:szCs w:val="20"/>
                <w:color w:val="auto"/>
              </w:rPr>
              <w:t>Group, in accordance with §240.13d-1(b)(1)(ii)(J).</w:t>
            </w:r>
          </w:p>
        </w:tc>
      </w:tr>
      <w:tr>
        <w:trPr>
          <w:trHeight w:val="459"/>
        </w:trPr>
        <w:tc>
          <w:tcPr>
            <w:tcW w:w="1560" w:type="dxa"/>
            <w:vAlign w:val="bottom"/>
          </w:tcPr>
          <w:p>
            <w:pPr>
              <w:spacing w:after="0"/>
              <w:rPr>
                <w:sz w:val="20"/>
                <w:szCs w:val="20"/>
                <w:color w:val="auto"/>
              </w:rPr>
            </w:pPr>
            <w:r>
              <w:rPr>
                <w:rFonts w:ascii="Arial" w:cs="Arial" w:eastAsia="Arial" w:hAnsi="Arial"/>
                <w:sz w:val="20"/>
                <w:szCs w:val="20"/>
                <w:color w:val="auto"/>
              </w:rPr>
              <w:t>Item 4.</w:t>
            </w:r>
          </w:p>
        </w:tc>
        <w:tc>
          <w:tcPr>
            <w:tcW w:w="9380" w:type="dxa"/>
            <w:vAlign w:val="bottom"/>
            <w:gridSpan w:val="3"/>
          </w:tcPr>
          <w:p>
            <w:pPr>
              <w:ind w:left="240"/>
              <w:spacing w:after="0"/>
              <w:rPr>
                <w:sz w:val="20"/>
                <w:szCs w:val="20"/>
                <w:color w:val="auto"/>
              </w:rPr>
            </w:pPr>
            <w:r>
              <w:rPr>
                <w:rFonts w:ascii="Arial" w:cs="Arial" w:eastAsia="Arial" w:hAnsi="Arial"/>
                <w:sz w:val="20"/>
                <w:szCs w:val="20"/>
                <w:color w:val="auto"/>
              </w:rPr>
              <w:t>Ownership.</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ALPS Advisors, Inc.</w:t>
      </w:r>
    </w:p>
    <w:p>
      <w:pPr>
        <w:spacing w:after="0" w:line="229" w:lineRule="exact"/>
        <w:rPr>
          <w:sz w:val="20"/>
          <w:szCs w:val="20"/>
          <w:color w:val="auto"/>
        </w:rPr>
      </w:pPr>
    </w:p>
    <w:p>
      <w:pPr>
        <w:ind w:left="1800" w:hanging="712"/>
        <w:spacing w:after="0"/>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Amount beneficially owned:</w:t>
      </w:r>
    </w:p>
    <w:p>
      <w:pPr>
        <w:sectPr>
          <w:pgSz w:w="11900" w:h="16838" w:orient="portrait"/>
          <w:cols w:equalWidth="0" w:num="1">
            <w:col w:w="11120"/>
          </w:cols>
          <w:pgMar w:left="320" w:top="474" w:right="459" w:bottom="0" w:gutter="0" w:footer="0" w:header="0"/>
        </w:sectPr>
      </w:pPr>
    </w:p>
    <w:bookmarkStart w:id="4" w:name="page5"/>
    <w:bookmarkEnd w:id="4"/>
    <w:p>
      <w:pPr>
        <w:ind w:left="1432"/>
        <w:spacing w:after="0"/>
        <w:rPr>
          <w:sz w:val="20"/>
          <w:szCs w:val="20"/>
          <w:color w:val="auto"/>
        </w:rPr>
      </w:pPr>
      <w:r>
        <w:rPr>
          <w:rFonts w:ascii="Arial" w:cs="Arial" w:eastAsia="Arial" w:hAnsi="Arial"/>
          <w:sz w:val="20"/>
          <w:szCs w:val="20"/>
          <w:color w:val="auto"/>
        </w:rPr>
        <w:t>52,508,962**see Note 1**</w:t>
      </w:r>
    </w:p>
    <w:p>
      <w:pPr>
        <w:spacing w:after="0" w:line="230" w:lineRule="exact"/>
        <w:rPr>
          <w:sz w:val="20"/>
          <w:szCs w:val="20"/>
          <w:color w:val="auto"/>
        </w:rPr>
      </w:pPr>
    </w:p>
    <w:p>
      <w:pPr>
        <w:jc w:val="right"/>
        <w:ind w:left="1432" w:right="7039" w:hanging="1432"/>
        <w:spacing w:after="0" w:line="598" w:lineRule="auto"/>
        <w:tabs>
          <w:tab w:leader="none" w:pos="7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Percent of class: 7.38%</w:t>
      </w:r>
    </w:p>
    <w:p>
      <w:pPr>
        <w:spacing w:after="0" w:line="1" w:lineRule="exact"/>
        <w:rPr>
          <w:rFonts w:ascii="Arial" w:cs="Arial" w:eastAsia="Arial" w:hAnsi="Arial"/>
          <w:sz w:val="16"/>
          <w:szCs w:val="16"/>
          <w:color w:val="auto"/>
        </w:rPr>
      </w:pPr>
    </w:p>
    <w:p>
      <w:pPr>
        <w:ind w:left="712" w:hanging="712"/>
        <w:spacing w:after="0"/>
        <w:tabs>
          <w:tab w:leader="none" w:pos="7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152" w:right="4479" w:hanging="1437"/>
        <w:spacing w:after="0" w:line="500" w:lineRule="auto"/>
        <w:tabs>
          <w:tab w:leader="none" w:pos="1432" w:val="left"/>
        </w:tabs>
        <w:numPr>
          <w:ilvl w:val="1"/>
          <w:numId w:val="20"/>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sectPr>
          <w:pgSz w:w="11900" w:h="16838" w:orient="portrait"/>
          <w:cols w:equalWidth="0" w:num="1">
            <w:col w:w="9051"/>
          </w:cols>
          <w:pgMar w:left="1408" w:top="122" w:right="1440" w:bottom="1440" w:gutter="0" w:footer="0" w:header="0"/>
        </w:sectPr>
      </w:pPr>
    </w:p>
    <w:bookmarkStart w:id="5" w:name="page6"/>
    <w:bookmarkEnd w:id="5"/>
    <w:p>
      <w:pPr>
        <w:ind w:left="3240" w:right="5340" w:hanging="1437"/>
        <w:spacing w:after="0" w:line="532" w:lineRule="auto"/>
        <w:tabs>
          <w:tab w:leader="none" w:pos="2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 52,508,962**see Note 1**</w:t>
      </w:r>
    </w:p>
    <w:p>
      <w:pPr>
        <w:ind w:left="2520" w:hanging="717"/>
        <w:spacing w:after="0"/>
        <w:tabs>
          <w:tab w:leader="none" w:pos="25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0</w:t>
      </w:r>
    </w:p>
    <w:p>
      <w:pPr>
        <w:spacing w:after="0" w:line="16" w:lineRule="exact"/>
        <w:rPr>
          <w:sz w:val="20"/>
          <w:szCs w:val="20"/>
          <w:color w:val="auto"/>
        </w:rPr>
      </w:pPr>
    </w:p>
    <w:p>
      <w:pPr>
        <w:ind w:left="2520" w:hanging="717"/>
        <w:spacing w:after="0"/>
        <w:tabs>
          <w:tab w:leader="none" w:pos="25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w:t>
      </w:r>
    </w:p>
    <w:p>
      <w:pPr>
        <w:spacing w:after="0" w:line="21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52,508,962**see Note 1**</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20"/>
          <w:szCs w:val="20"/>
          <w:u w:val="single" w:color="auto"/>
          <w:color w:val="auto"/>
        </w:rPr>
        <w:t>Alerian MLP ETF</w:t>
      </w:r>
    </w:p>
    <w:p>
      <w:pPr>
        <w:spacing w:after="0" w:line="229" w:lineRule="exact"/>
        <w:rPr>
          <w:sz w:val="20"/>
          <w:szCs w:val="20"/>
          <w:color w:val="auto"/>
        </w:rPr>
      </w:pPr>
    </w:p>
    <w:p>
      <w:pPr>
        <w:ind w:left="2520" w:right="6560" w:hanging="1432"/>
        <w:spacing w:after="0" w:line="532"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52,494,118**see Note 1**</w:t>
      </w:r>
    </w:p>
    <w:p>
      <w:pPr>
        <w:ind w:left="1800" w:hanging="712"/>
        <w:spacing w:after="0"/>
        <w:tabs>
          <w:tab w:leader="none" w:pos="1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7.38%</w:t>
      </w:r>
    </w:p>
    <w:p>
      <w:pPr>
        <w:spacing w:after="0" w:line="229" w:lineRule="exact"/>
        <w:rPr>
          <w:sz w:val="20"/>
          <w:szCs w:val="20"/>
          <w:color w:val="auto"/>
        </w:rPr>
      </w:pPr>
    </w:p>
    <w:p>
      <w:pPr>
        <w:ind w:left="1800" w:hanging="712"/>
        <w:spacing w:after="0"/>
        <w:tabs>
          <w:tab w:leader="none" w:pos="18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9" w:lineRule="exact"/>
        <w:rPr>
          <w:rFonts w:ascii="Arial" w:cs="Arial" w:eastAsia="Arial" w:hAnsi="Arial"/>
          <w:sz w:val="20"/>
          <w:szCs w:val="20"/>
          <w:color w:val="auto"/>
        </w:rPr>
      </w:pPr>
    </w:p>
    <w:p>
      <w:pPr>
        <w:ind w:left="3240" w:right="5540" w:hanging="1437"/>
        <w:spacing w:after="0" w:line="479" w:lineRule="auto"/>
        <w:tabs>
          <w:tab w:leader="none" w:pos="25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3240" w:right="5340" w:hanging="1437"/>
        <w:spacing w:after="0" w:line="532" w:lineRule="auto"/>
        <w:tabs>
          <w:tab w:leader="none" w:pos="25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52,494,118**see Note 1**</w:t>
      </w:r>
    </w:p>
    <w:p>
      <w:pPr>
        <w:ind w:left="3240" w:right="4540" w:hanging="1437"/>
        <w:spacing w:after="0" w:line="479" w:lineRule="auto"/>
        <w:tabs>
          <w:tab w:leader="none" w:pos="25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3240" w:right="4340" w:hanging="1437"/>
        <w:spacing w:after="0" w:line="479" w:lineRule="auto"/>
        <w:tabs>
          <w:tab w:leader="none" w:pos="25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52,494,118**see Note 1**</w:t>
      </w:r>
    </w:p>
    <w:p>
      <w:pPr>
        <w:ind w:left="720" w:firstLine="8"/>
        <w:spacing w:after="0" w:line="242" w:lineRule="auto"/>
        <w:tabs>
          <w:tab w:leader="none" w:pos="967"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10" w:lineRule="exact"/>
        <w:rPr>
          <w:sz w:val="20"/>
          <w:szCs w:val="20"/>
          <w:color w:val="auto"/>
        </w:rPr>
      </w:pPr>
    </w:p>
    <w:p>
      <w:pPr>
        <w:ind w:left="720" w:right="460"/>
        <w:spacing w:after="0" w:line="260" w:lineRule="auto"/>
        <w:rPr>
          <w:sz w:val="20"/>
          <w:szCs w:val="20"/>
          <w:color w:val="auto"/>
        </w:rPr>
      </w:pPr>
      <w:r>
        <w:rPr>
          <w:rFonts w:ascii="Arial" w:cs="Arial" w:eastAsia="Arial" w:hAnsi="Arial"/>
          <w:sz w:val="20"/>
          <w:szCs w:val="20"/>
          <w:color w:val="auto"/>
        </w:rPr>
        <w:t>Alerian MLP ETF is an investment company registered under the Investment Company Act of 1940 and is one of the Funds to which AAI provides investment advice.</w:t>
      </w: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ind w:left="720" w:right="40"/>
        <w:spacing w:after="0" w:line="260" w:lineRule="auto"/>
        <w:rPr>
          <w:sz w:val="20"/>
          <w:szCs w:val="20"/>
          <w:color w:val="auto"/>
        </w:rPr>
      </w:pPr>
      <w:r>
        <w:rPr>
          <w:rFonts w:ascii="Arial" w:cs="Arial" w:eastAsia="Arial" w:hAnsi="Arial"/>
          <w:sz w:val="20"/>
          <w:szCs w:val="20"/>
          <w:color w:val="auto"/>
        </w:rPr>
        <w:t>This statement is being filed to report the fact that as of the date hereof the reporting persons have ceased to be the beneficial owner of more than five percent of the class of securities.</w:t>
      </w:r>
    </w:p>
    <w:p>
      <w:pPr>
        <w:sectPr>
          <w:pgSz w:w="11900" w:h="16838" w:orient="portrait"/>
          <w:cols w:equalWidth="0" w:num="1">
            <w:col w:w="11200"/>
          </w:cols>
          <w:pgMar w:left="320" w:top="474" w:right="379" w:bottom="1440" w:gutter="0" w:footer="0" w:header="0"/>
        </w:sectPr>
      </w:pPr>
    </w:p>
    <w:bookmarkStart w:id="6" w:name="page7"/>
    <w:bookmarkEnd w:id="6"/>
    <w:p>
      <w:pPr>
        <w:spacing w:after="0"/>
        <w:tabs>
          <w:tab w:leader="none" w:pos="14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ind w:left="720" w:right="100"/>
        <w:spacing w:after="0" w:line="282"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52,494,118 shares or 7.38% of the total outstanding Common Units.</w:t>
      </w:r>
    </w:p>
    <w:p>
      <w:pPr>
        <w:spacing w:after="0" w:line="175" w:lineRule="exact"/>
        <w:rPr>
          <w:sz w:val="20"/>
          <w:szCs w:val="20"/>
          <w:color w:val="auto"/>
        </w:rPr>
      </w:pPr>
    </w:p>
    <w:p>
      <w:pPr>
        <w:ind w:left="1080" w:right="440" w:hanging="1079"/>
        <w:spacing w:after="0" w:line="260" w:lineRule="auto"/>
        <w:tabs>
          <w:tab w:leader="none" w:pos="10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 or Control Person.</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N/A</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29" w:lineRule="exact"/>
        <w:rPr>
          <w:sz w:val="20"/>
          <w:szCs w:val="20"/>
          <w:color w:val="auto"/>
        </w:rPr>
      </w:pPr>
    </w:p>
    <w:p>
      <w:pPr>
        <w:ind w:left="144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ALPS ADVISORS,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Date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Signature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ALERIAN MLP ETF</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Date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Signature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10160</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Title</w:t>
      </w:r>
    </w:p>
    <w:sectPr>
      <w:pgSz w:w="11900" w:h="16838" w:orient="portrait"/>
      <w:cols w:equalWidth="0" w:num="1">
        <w:col w:w="11200"/>
      </w:cols>
      <w:pgMar w:left="320" w:top="4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lvl w:ilvl="1">
      <w:lvlJc w:val="left"/>
      <w:lvlText w:val="(%2)"/>
      <w:numFmt w:val="lowerLetter"/>
      <w:start w:val="1"/>
    </w:lvl>
  </w:abstractNum>
  <w:abstractNum w:abstractNumId="4">
    <w:nsid w:val="7FDCC233"/>
    <w:multiLevelType w:val="hybridMultilevel"/>
    <w:lvl w:ilvl="0">
      <w:lvlJc w:val="left"/>
      <w:lvlText w:val="%1."/>
      <w:numFmt w:val="decimal"/>
      <w:start w:val="9"/>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lvl w:ilvl="1">
      <w:lvlJc w:val="left"/>
      <w:lvlText w:val="(%2)"/>
      <w:numFmt w:val="lowerLetter"/>
      <w:start w:val="1"/>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lvl w:ilvl="1">
      <w:lvlJc w:val="left"/>
      <w:lvlText w:val="(%2)"/>
      <w:numFmt w:val="decimal"/>
      <w:start w:val="1"/>
    </w:lvl>
  </w:abstractNum>
  <w:abstractNum w:abstractNumId="16">
    <w:nsid w:val="436C6125"/>
    <w:multiLevelType w:val="hybridMultilevel"/>
    <w:lvl w:ilvl="0">
      <w:lvlJc w:val="left"/>
      <w:lvlText w:val="(%1)"/>
      <w:numFmt w:val="lowerLetter"/>
      <w:start w:val="5"/>
    </w:lvl>
  </w:abstractNum>
  <w:abstractNum w:abstractNumId="17">
    <w:nsid w:val="628C895D"/>
    <w:multiLevelType w:val="hybridMultilevel"/>
    <w:lvl w:ilvl="0">
      <w:lvlJc w:val="left"/>
      <w:lvlText w:val="(%1)"/>
      <w:numFmt w:val="lowerLetter"/>
      <w:start w:val="4"/>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2"/>
    </w:lvl>
    <w:lvl w:ilvl="1">
      <w:lvlJc w:val="left"/>
      <w:lvlText w:val="(%2)"/>
      <w:numFmt w:val="lowerLetter"/>
      <w:start w:val="9"/>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1)"/>
      <w:numFmt w:val="lowerRoman"/>
      <w:start w:val="4"/>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2022-02-03T16:22:35Z</dcterms:created>
  <dcterms:modified xsi:type="dcterms:W3CDTF">2022-02-03T16:22:35Z</dcterms:modified>
</cp:coreProperties>
</file>