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h40639e8vk.htm"/>
        <w:bookmarkStart w:id="1" w:name="ksh40639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Date of Report (Date of earliest event reported) October 23, 2006</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1-14569</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76-0582150</w:t>
            </w:r>
          </w:p>
        </w:tc>
      </w:tr>
      <w:tr>
        <w:trPr/>
        <w:tc>
          <w:tcPr>
            <w:tcW w:w="3061" w:type="dxa"/>
            <w:tcBorders/>
            <w:shd w:fill="auto" w:val="clear"/>
          </w:tcPr>
          <w:p>
            <w:pPr>
              <w:pStyle w:val="TableContents"/>
              <w:spacing w:before="0" w:after="283"/>
              <w:jc w:val="center"/>
              <w:rPr/>
            </w:pPr>
            <w:r>
              <w:rPr/>
              <w:t xml:space="preserve">(State or other jurisdiction of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(IRS Employer</w:t>
            </w:r>
          </w:p>
        </w:tc>
      </w:tr>
      <w:tr>
        <w:trPr/>
        <w:tc>
          <w:tcPr>
            <w:tcW w:w="3061" w:type="dxa"/>
            <w:tcBorders/>
            <w:shd w:fill="auto" w:val="clear"/>
          </w:tcPr>
          <w:p>
            <w:pPr>
              <w:pStyle w:val="TableContents"/>
              <w:spacing w:before="0" w:after="283"/>
              <w:jc w:val="center"/>
              <w:rPr/>
            </w:pPr>
            <w:r>
              <w:rPr/>
              <w:t xml:space="preserve">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Identification No.)</w:t>
            </w:r>
          </w:p>
        </w:tc>
      </w:tr>
    </w:tbl>
    <w:p>
      <w:pPr>
        <w:pStyle w:val="TextBody"/>
        <w:spacing w:before="12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713-646-4100</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(Former name or former address, if changed since last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569"/>
        <w:gridCol w:w="336"/>
        <w:gridCol w:w="316"/>
        <w:gridCol w:w="316"/>
        <w:gridCol w:w="316"/>
        <w:gridCol w:w="316"/>
        <w:gridCol w:w="316"/>
        <w:gridCol w:w="316"/>
        <w:gridCol w:w="6383"/>
      </w:tblGrid>
      <w:tr>
        <w:trPr/>
        <w:tc>
          <w:tcPr>
            <w:tcW w:w="56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6383" w:type="dxa"/>
            <w:tcBorders/>
            <w:shd w:fill="auto" w:val="clear"/>
            <w:vAlign w:val="center"/>
          </w:tcPr>
          <w:p>
            <w:pPr>
              <w:pStyle w:val="TableContents"/>
              <w:spacing w:before="0" w:after="283"/>
              <w:rPr>
                <w:sz w:val="4"/>
                <w:szCs w:val="4"/>
              </w:rPr>
            </w:pPr>
            <w:r>
              <w:rPr>
                <w:sz w:val="4"/>
                <w:szCs w:val="4"/>
              </w:rPr>
            </w:r>
          </w:p>
        </w:tc>
      </w:tr>
      <w:tr>
        <w:trPr/>
        <w:tc>
          <w:tcPr>
            <w:tcW w:w="9184" w:type="dxa"/>
            <w:gridSpan w:val="9"/>
            <w:tcBorders/>
            <w:shd w:fill="auto" w:val="clear"/>
            <w:vAlign w:val="center"/>
          </w:tcPr>
          <w:p>
            <w:pPr>
              <w:pStyle w:val="TableContents"/>
              <w:spacing w:before="0" w:after="283"/>
              <w:rPr/>
            </w:pPr>
            <w:hyperlink w:anchor="000">
              <w:r>
                <w:rPr>
                  <w:rStyle w:val="InternetLink"/>
                </w:rPr>
                <w:t>Item 1.01. Entry into a Material Definitive Agreement</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Item 9.01. Financial Statements and Exhibits</w:t>
              </w:r>
            </w:hyperlink>
          </w:p>
        </w:tc>
      </w:tr>
      <w:tr>
        <w:trPr/>
        <w:tc>
          <w:tcPr>
            <w:tcW w:w="9184" w:type="dxa"/>
            <w:gridSpan w:val="9"/>
            <w:tcBorders/>
            <w:shd w:fill="auto" w:val="clear"/>
            <w:vAlign w:val="center"/>
          </w:tcPr>
          <w:p>
            <w:pPr>
              <w:pStyle w:val="TableContents"/>
              <w:spacing w:before="0" w:after="283"/>
              <w:rPr/>
            </w:pPr>
            <w:hyperlink w:anchor="002">
              <w:r>
                <w:rPr>
                  <w:rStyle w:val="InternetLink"/>
                </w:rPr>
                <w:t>SIGNATURES</w:t>
              </w:r>
            </w:hyperlink>
          </w:p>
        </w:tc>
      </w:tr>
      <w:tr>
        <w:trPr/>
        <w:tc>
          <w:tcPr>
            <w:tcW w:w="9184" w:type="dxa"/>
            <w:gridSpan w:val="9"/>
            <w:tcBorders/>
            <w:shd w:fill="auto" w:val="clear"/>
            <w:vAlign w:val="center"/>
          </w:tcPr>
          <w:p>
            <w:pPr>
              <w:pStyle w:val="TableContents"/>
              <w:spacing w:before="0" w:after="283"/>
              <w:rPr/>
            </w:pPr>
            <w:hyperlink w:anchor="003">
              <w:r>
                <w:rPr>
                  <w:rStyle w:val="InternetLink"/>
                </w:rPr>
                <w:t>Index to Exhibits</w:t>
              </w:r>
            </w:hyperlink>
          </w:p>
        </w:tc>
      </w:tr>
      <w:tr>
        <w:trPr/>
        <w:tc>
          <w:tcPr>
            <w:tcW w:w="9184" w:type="dxa"/>
            <w:gridSpan w:val="9"/>
            <w:tcBorders/>
            <w:shd w:fill="auto" w:val="clear"/>
            <w:vAlign w:val="center"/>
          </w:tcPr>
          <w:p>
            <w:pPr>
              <w:pStyle w:val="TableContents"/>
              <w:spacing w:before="0" w:after="283"/>
              <w:rPr/>
            </w:pPr>
            <w:hyperlink w:anchor="h40639exv10w1.htm">
              <w:r>
                <w:rPr>
                  <w:rStyle w:val="InternetLink"/>
                </w:rPr>
                <w:t>Purchase Agreement</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1.01. Entry into a Material Definitive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 xml:space="preserve">Purchase Agreement. </w:t>
      </w:r>
      <w:r>
        <w:rPr>
          <w:rFonts w:ascii="Times New Roman;Times;serif" w:hAnsi="Times New Roman;Times;serif"/>
          <w:sz w:val="17"/>
        </w:rPr>
        <w:t xml:space="preserve">On October 23, 2006, Plains All American Pipeline, L.P. (the Partnership), PAA Finance Corp. (PAA Finance and together with the Partnership, the Issuers) and certain subsidiary guarantors, entered into a Purchase Agreement (the Purchase Agreement) with Citigroup Global Markets Inc. and UBS Securities LLC, each acting on behalf of itself and acting together as the representatives of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LLC, Wedbush Morgan Securities Inc. and Wells Fargo Securities, LLC (collectively, the Initial Purchasers), to sell $400 million aggregate principal amount of 6.125% Senior Notes due 2017 (the 2017 Notes) and $600,000,000 aggregate principal amount of 6.650% Notes due 2037 (the 2037 Notes) in accordance with a private placement conducted pursuant to Rule 144A under the Securities Act of 1933, as amended (the Offering). The 2017 Notes were issued at 98.912% of the face amount and the 2037 Notes were issued at 98.296% of the face amount. Pursuant to the Purchase Agreement the Issuers agreed to sell the 2017 Notes and the 2037 Notes to the Initial Purchasers at a purchase price of 99.562% and 99.171%, respectively, of the principal amount thereof. </w:t>
      </w:r>
    </w:p>
    <w:p>
      <w:pPr>
        <w:pStyle w:val="TextBody"/>
        <w:spacing w:before="120" w:after="283"/>
        <w:jc w:val="left"/>
        <w:rPr/>
      </w:pPr>
      <w:r>
        <w:rPr/>
        <w:t>     </w:t>
      </w:r>
      <w:r>
        <w:rPr>
          <w:rFonts w:ascii="Times New Roman;Times;serif" w:hAnsi="Times New Roman;Times;serif"/>
          <w:sz w:val="17"/>
        </w:rPr>
        <w:t xml:space="preserve">Subject to customary conditions to closing, the transactions contemplated by the Purchase Agreement will be consummated on October 30, 2006. </w:t>
      </w:r>
    </w:p>
    <w:p>
      <w:pPr>
        <w:pStyle w:val="TextBody"/>
        <w:spacing w:before="240" w:after="283"/>
        <w:jc w:val="left"/>
        <w:rPr>
          <w:rFonts w:ascii="Times New Roman;Times;serif" w:hAnsi="Times New Roman;Times;serif"/>
          <w:sz w:val="17"/>
        </w:rPr>
      </w:pPr>
      <w:bookmarkStart w:id="4" w:name="001"/>
      <w:bookmarkEnd w:id="4"/>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 Exhibits. </w:t>
      </w:r>
    </w:p>
    <w:tbl>
      <w:tblPr>
        <w:tblW w:w="5000" w:type="pct"/>
        <w:jc w:val="center"/>
        <w:tblInd w:w="0" w:type="dxa"/>
        <w:tblCellMar>
          <w:top w:w="0" w:type="dxa"/>
          <w:left w:w="0" w:type="dxa"/>
          <w:bottom w:w="0" w:type="dxa"/>
          <w:right w:w="0" w:type="dxa"/>
        </w:tblCellMar>
      </w:tblPr>
      <w:tblGrid>
        <w:gridCol w:w="380"/>
        <w:gridCol w:w="217"/>
        <w:gridCol w:w="1205"/>
        <w:gridCol w:w="217"/>
        <w:gridCol w:w="8186"/>
      </w:tblGrid>
      <w:tr>
        <w:trPr/>
        <w:tc>
          <w:tcPr>
            <w:tcW w:w="38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8186" w:type="dxa"/>
            <w:tcBorders/>
            <w:shd w:fill="auto" w:val="clear"/>
            <w:vAlign w:val="bottom"/>
          </w:tcPr>
          <w:p>
            <w:pPr>
              <w:pStyle w:val="TableContents"/>
              <w:spacing w:before="0" w:after="283"/>
              <w:rPr/>
            </w:pPr>
            <w:r>
              <w:rPr/>
              <w:t> </w:t>
            </w:r>
          </w:p>
        </w:tc>
      </w:tr>
      <w:tr>
        <w:trPr/>
        <w:tc>
          <w:tcPr>
            <w:tcW w:w="380" w:type="dxa"/>
            <w:tcBorders/>
            <w:shd w:fill="auto" w:val="clear"/>
          </w:tcPr>
          <w:p>
            <w:pPr>
              <w:pStyle w:val="TableContents"/>
              <w:spacing w:before="0" w:after="0"/>
              <w:ind w:left="0" w:right="0" w:hanging="0"/>
              <w:rPr/>
            </w:pPr>
            <w:r>
              <w:rPr/>
              <w:t xml:space="preserve">  </w:t>
            </w:r>
          </w:p>
        </w:tc>
        <w:tc>
          <w:tcPr>
            <w:tcW w:w="217" w:type="dxa"/>
            <w:tcBorders/>
            <w:shd w:fill="auto" w:val="clear"/>
            <w:vAlign w:val="bottom"/>
          </w:tcPr>
          <w:p>
            <w:pPr>
              <w:pStyle w:val="TableContents"/>
              <w:spacing w:before="0" w:after="283"/>
              <w:rPr/>
            </w:pPr>
            <w:r>
              <w:rPr/>
              <w:t> </w:t>
            </w:r>
          </w:p>
        </w:tc>
        <w:tc>
          <w:tcPr>
            <w:tcW w:w="1205" w:type="dxa"/>
            <w:tcBorders/>
            <w:shd w:fill="auto" w:val="clear"/>
          </w:tcPr>
          <w:p>
            <w:pPr>
              <w:pStyle w:val="TableContents"/>
              <w:spacing w:before="0" w:after="283"/>
              <w:jc w:val="left"/>
              <w:rPr/>
            </w:pPr>
            <w:r>
              <w:rPr/>
              <w:t xml:space="preserve">Exhibit 10.1 </w:t>
            </w:r>
          </w:p>
        </w:tc>
        <w:tc>
          <w:tcPr>
            <w:tcW w:w="217" w:type="dxa"/>
            <w:tcBorders/>
            <w:shd w:fill="auto" w:val="clear"/>
            <w:vAlign w:val="bottom"/>
          </w:tcPr>
          <w:p>
            <w:pPr>
              <w:pStyle w:val="TableContents"/>
              <w:spacing w:before="0" w:after="283"/>
              <w:rPr/>
            </w:pPr>
            <w:r>
              <w:rPr/>
              <w:t> </w:t>
            </w:r>
          </w:p>
        </w:tc>
        <w:tc>
          <w:tcPr>
            <w:tcW w:w="8186" w:type="dxa"/>
            <w:tcBorders/>
            <w:shd w:fill="auto" w:val="clear"/>
          </w:tcPr>
          <w:p>
            <w:pPr>
              <w:pStyle w:val="TableContents"/>
              <w:spacing w:before="0" w:after="283"/>
              <w:jc w:val="left"/>
              <w:rPr/>
            </w:pPr>
            <w:r>
              <w:rPr/>
              <w:t>Purchase Agreement, dated October 23, 2006 among Plains All American Pipeline, L.P., PAA Finance Corp., Plains AAP, L.P., Plains All American GP LLC,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LLC, Wedbush Morgan Securities Inc. and Wells Fargo Securities, LLC.</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5" w:name="002"/>
      <w:bookmarkEnd w:id="5"/>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3991"/>
        <w:gridCol w:w="116"/>
        <w:gridCol w:w="305"/>
        <w:gridCol w:w="116"/>
        <w:gridCol w:w="305"/>
        <w:gridCol w:w="116"/>
        <w:gridCol w:w="305"/>
        <w:gridCol w:w="116"/>
        <w:gridCol w:w="3554"/>
        <w:gridCol w:w="116"/>
        <w:gridCol w:w="1165"/>
      </w:tblGrid>
      <w:tr>
        <w:trPr/>
        <w:tc>
          <w:tcPr>
            <w:tcW w:w="399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355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rPr/>
            </w:pPr>
            <w:r>
              <w:rPr/>
              <w:t> </w:t>
            </w:r>
          </w:p>
        </w:tc>
      </w:tr>
      <w:tr>
        <w:trPr/>
        <w:tc>
          <w:tcPr>
            <w:tcW w:w="3991" w:type="dxa"/>
            <w:tcBorders/>
            <w:shd w:fill="auto" w:val="clea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817" w:type="dxa"/>
            <w:gridSpan w:val="7"/>
            <w:tcBorders/>
            <w:shd w:fill="auto" w:val="clear"/>
          </w:tcPr>
          <w:p>
            <w:pPr>
              <w:pStyle w:val="TableContents"/>
              <w:spacing w:before="0" w:after="283"/>
              <w:jc w:val="left"/>
              <w:rPr>
                <w:b/>
              </w:rPr>
            </w:pPr>
            <w:r>
              <w:rPr>
                <w:b/>
              </w:rPr>
              <w:t>PLAINS ALL AMERICAN PIPELINE, L.P.</w:t>
            </w:r>
          </w:p>
        </w:tc>
        <w:tc>
          <w:tcPr>
            <w:tcW w:w="116" w:type="dxa"/>
            <w:tcBorders/>
            <w:shd w:fill="auto" w:val="clear"/>
            <w:vAlign w:val="bottom"/>
          </w:tcPr>
          <w:p>
            <w:pPr>
              <w:pStyle w:val="TableContents"/>
              <w:spacing w:before="0" w:after="283"/>
              <w:rPr/>
            </w:pPr>
            <w:r>
              <w:rPr/>
              <w:t> </w:t>
            </w:r>
          </w:p>
        </w:tc>
        <w:tc>
          <w:tcPr>
            <w:tcW w:w="1165" w:type="dxa"/>
            <w:tcBorders/>
            <w:shd w:fill="auto" w:val="clear"/>
          </w:tcPr>
          <w:p>
            <w:pPr>
              <w:pStyle w:val="TableContents"/>
              <w:spacing w:before="0" w:after="283"/>
              <w:jc w:val="left"/>
              <w:rPr/>
            </w:pPr>
            <w:r>
              <w:rPr/>
              <w:t> </w:t>
            </w:r>
          </w:p>
        </w:tc>
      </w:tr>
      <w:tr>
        <w:trPr/>
        <w:tc>
          <w:tcPr>
            <w:tcW w:w="3991"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3554"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165" w:type="dxa"/>
            <w:tcBorders/>
            <w:shd w:fill="auto" w:val="clear"/>
          </w:tcPr>
          <w:p>
            <w:pPr>
              <w:pStyle w:val="TableContents"/>
              <w:spacing w:before="0" w:after="283"/>
              <w:jc w:val="left"/>
              <w:rPr/>
            </w:pPr>
            <w:r>
              <w:rPr/>
              <w:t> </w:t>
            </w:r>
          </w:p>
        </w:tc>
      </w:tr>
      <w:tr>
        <w:trPr/>
        <w:tc>
          <w:tcPr>
            <w:tcW w:w="3991" w:type="dxa"/>
            <w:tcBorders/>
            <w:shd w:fill="auto" w:val="clea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By:</w:t>
            </w:r>
          </w:p>
        </w:tc>
        <w:tc>
          <w:tcPr>
            <w:tcW w:w="116" w:type="dxa"/>
            <w:tcBorders/>
            <w:shd w:fill="auto" w:val="clear"/>
            <w:vAlign w:val="bottom"/>
          </w:tcPr>
          <w:p>
            <w:pPr>
              <w:pStyle w:val="TableContents"/>
              <w:spacing w:before="0" w:after="283"/>
              <w:rPr/>
            </w:pPr>
            <w:r>
              <w:rPr/>
              <w:t> </w:t>
            </w:r>
          </w:p>
        </w:tc>
        <w:tc>
          <w:tcPr>
            <w:tcW w:w="4396" w:type="dxa"/>
            <w:gridSpan w:val="5"/>
            <w:tcBorders/>
            <w:shd w:fill="auto" w:val="clear"/>
          </w:tcPr>
          <w:p>
            <w:pPr>
              <w:pStyle w:val="TableContents"/>
              <w:spacing w:before="0" w:after="283"/>
              <w:jc w:val="left"/>
              <w:rPr/>
            </w:pPr>
            <w:r>
              <w:rPr/>
              <w:t>Plains AAP, L.P., its general partner</w:t>
            </w:r>
          </w:p>
        </w:tc>
        <w:tc>
          <w:tcPr>
            <w:tcW w:w="116" w:type="dxa"/>
            <w:tcBorders/>
            <w:shd w:fill="auto" w:val="clear"/>
            <w:vAlign w:val="bottom"/>
          </w:tcPr>
          <w:p>
            <w:pPr>
              <w:pStyle w:val="TableContents"/>
              <w:spacing w:before="0" w:after="283"/>
              <w:rPr/>
            </w:pPr>
            <w:r>
              <w:rPr/>
              <w:t> </w:t>
            </w:r>
          </w:p>
        </w:tc>
        <w:tc>
          <w:tcPr>
            <w:tcW w:w="1165" w:type="dxa"/>
            <w:tcBorders/>
            <w:shd w:fill="auto" w:val="clear"/>
          </w:tcPr>
          <w:p>
            <w:pPr>
              <w:pStyle w:val="TableContents"/>
              <w:spacing w:before="0" w:after="283"/>
              <w:jc w:val="left"/>
              <w:rPr/>
            </w:pPr>
            <w:r>
              <w:rPr/>
              <w:t> </w:t>
            </w:r>
          </w:p>
        </w:tc>
      </w:tr>
      <w:tr>
        <w:trPr/>
        <w:tc>
          <w:tcPr>
            <w:tcW w:w="3991"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3554"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165" w:type="dxa"/>
            <w:tcBorders/>
            <w:shd w:fill="auto" w:val="clear"/>
          </w:tcPr>
          <w:p>
            <w:pPr>
              <w:pStyle w:val="TableContents"/>
              <w:spacing w:before="0" w:after="283"/>
              <w:jc w:val="left"/>
              <w:rPr/>
            </w:pPr>
            <w:r>
              <w:rPr/>
              <w:t> </w:t>
            </w:r>
          </w:p>
        </w:tc>
      </w:tr>
      <w:tr>
        <w:trPr/>
        <w:tc>
          <w:tcPr>
            <w:tcW w:w="3991" w:type="dxa"/>
            <w:tcBorders/>
            <w:shd w:fill="auto" w:val="clea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By:</w:t>
            </w:r>
          </w:p>
        </w:tc>
        <w:tc>
          <w:tcPr>
            <w:tcW w:w="116" w:type="dxa"/>
            <w:tcBorders/>
            <w:shd w:fill="auto" w:val="clear"/>
            <w:vAlign w:val="bottom"/>
          </w:tcPr>
          <w:p>
            <w:pPr>
              <w:pStyle w:val="TableContents"/>
              <w:spacing w:before="0" w:after="283"/>
              <w:rPr/>
            </w:pPr>
            <w:r>
              <w:rPr/>
              <w:t> </w:t>
            </w:r>
          </w:p>
        </w:tc>
        <w:tc>
          <w:tcPr>
            <w:tcW w:w="3975" w:type="dxa"/>
            <w:gridSpan w:val="3"/>
            <w:tcBorders/>
            <w:shd w:fill="auto" w:val="clear"/>
          </w:tcPr>
          <w:p>
            <w:pPr>
              <w:pStyle w:val="TableContents"/>
              <w:spacing w:before="0" w:after="283"/>
              <w:jc w:val="left"/>
              <w:rPr/>
            </w:pPr>
            <w:r>
              <w:rPr/>
              <w:t>Plains All American GP LLC, its general partner</w:t>
            </w:r>
          </w:p>
        </w:tc>
        <w:tc>
          <w:tcPr>
            <w:tcW w:w="116" w:type="dxa"/>
            <w:tcBorders/>
            <w:shd w:fill="auto" w:val="clear"/>
            <w:vAlign w:val="bottom"/>
          </w:tcPr>
          <w:p>
            <w:pPr>
              <w:pStyle w:val="TableContents"/>
              <w:spacing w:before="0" w:after="283"/>
              <w:rPr/>
            </w:pPr>
            <w:r>
              <w:rPr/>
              <w:t> </w:t>
            </w:r>
          </w:p>
        </w:tc>
        <w:tc>
          <w:tcPr>
            <w:tcW w:w="1165" w:type="dxa"/>
            <w:tcBorders/>
            <w:shd w:fill="auto" w:val="clear"/>
          </w:tcPr>
          <w:p>
            <w:pPr>
              <w:pStyle w:val="TableContents"/>
              <w:spacing w:before="0" w:after="283"/>
              <w:jc w:val="left"/>
              <w:rPr/>
            </w:pPr>
            <w:r>
              <w:rPr/>
              <w:t> </w:t>
            </w:r>
          </w:p>
        </w:tc>
      </w:tr>
      <w:tr>
        <w:trPr/>
        <w:tc>
          <w:tcPr>
            <w:tcW w:w="3991"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3554"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165" w:type="dxa"/>
            <w:tcBorders/>
            <w:shd w:fill="auto" w:val="clear"/>
          </w:tcPr>
          <w:p>
            <w:pPr>
              <w:pStyle w:val="TableContents"/>
              <w:spacing w:before="0" w:after="283"/>
              <w:jc w:val="left"/>
              <w:rPr/>
            </w:pPr>
            <w:r>
              <w:rPr/>
              <w:t> </w:t>
            </w:r>
          </w:p>
        </w:tc>
      </w:tr>
      <w:tr>
        <w:trPr/>
        <w:tc>
          <w:tcPr>
            <w:tcW w:w="3991"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xml:space="preserve">By: </w:t>
            </w:r>
          </w:p>
        </w:tc>
        <w:tc>
          <w:tcPr>
            <w:tcW w:w="116" w:type="dxa"/>
            <w:tcBorders/>
            <w:shd w:fill="auto" w:val="clear"/>
            <w:vAlign w:val="bottom"/>
          </w:tcPr>
          <w:p>
            <w:pPr>
              <w:pStyle w:val="TableContents"/>
              <w:spacing w:before="0" w:after="283"/>
              <w:rPr/>
            </w:pPr>
            <w:r>
              <w:rPr/>
              <w:t> </w:t>
            </w:r>
          </w:p>
        </w:tc>
        <w:tc>
          <w:tcPr>
            <w:tcW w:w="3554" w:type="dxa"/>
            <w:tcBorders/>
            <w:shd w:fill="auto" w:val="clear"/>
          </w:tcPr>
          <w:p>
            <w:pPr>
              <w:pStyle w:val="TableContents"/>
              <w:spacing w:before="0" w:after="283"/>
              <w:jc w:val="left"/>
              <w:rPr/>
            </w:pPr>
            <w:r>
              <w:rPr/>
              <w:t>/s/ Tim Moore</w:t>
            </w:r>
          </w:p>
        </w:tc>
        <w:tc>
          <w:tcPr>
            <w:tcW w:w="116" w:type="dxa"/>
            <w:tcBorders/>
            <w:shd w:fill="auto" w:val="clear"/>
            <w:vAlign w:val="bottom"/>
          </w:tcPr>
          <w:p>
            <w:pPr>
              <w:pStyle w:val="TableContents"/>
              <w:spacing w:before="0" w:after="283"/>
              <w:rPr/>
            </w:pPr>
            <w:r>
              <w:rPr/>
              <w:t> </w:t>
            </w:r>
          </w:p>
        </w:tc>
        <w:tc>
          <w:tcPr>
            <w:tcW w:w="1165" w:type="dxa"/>
            <w:tcBorders/>
            <w:shd w:fill="auto" w:val="clear"/>
          </w:tcPr>
          <w:p>
            <w:pPr>
              <w:pStyle w:val="TableContents"/>
              <w:spacing w:before="0" w:after="283"/>
              <w:jc w:val="left"/>
              <w:rPr/>
            </w:pPr>
            <w:r>
              <w:rPr/>
              <w:t> </w:t>
            </w:r>
          </w:p>
        </w:tc>
      </w:tr>
      <w:tr>
        <w:trPr/>
        <w:tc>
          <w:tcPr>
            <w:tcW w:w="3991" w:type="dxa"/>
            <w:tcBorders/>
            <w:shd w:fill="auto" w:val="clear"/>
          </w:tcPr>
          <w:p>
            <w:pPr>
              <w:pStyle w:val="TableContents"/>
              <w:spacing w:before="0" w:after="0"/>
              <w:ind w:left="0" w:right="0" w:hanging="0"/>
              <w:rPr/>
            </w:pPr>
            <w:r>
              <w:rPr/>
              <w:t xml:space="preserve">  </w:t>
            </w:r>
          </w:p>
        </w:tc>
        <w:tc>
          <w:tcPr>
            <w:tcW w:w="11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center"/>
          </w:tcPr>
          <w:p>
            <w:pPr>
              <w:pStyle w:val="TableContents"/>
              <w:spacing w:before="0" w:after="283"/>
              <w:rPr/>
            </w:pPr>
            <w:r>
              <w:rPr/>
              <w:t> </w:t>
            </w:r>
          </w:p>
        </w:tc>
        <w:tc>
          <w:tcPr>
            <w:tcW w:w="3554" w:type="dxa"/>
            <w:tcBorders>
              <w:top w:val="single" w:sz="2" w:space="0" w:color="000000"/>
            </w:tcBorders>
            <w:shd w:fill="auto" w:val="clear"/>
            <w:tcMar>
              <w:top w:w="28" w:type="dxa"/>
            </w:tcMar>
          </w:tcPr>
          <w:p>
            <w:pPr>
              <w:pStyle w:val="TableContents"/>
              <w:spacing w:before="0" w:after="283"/>
              <w:jc w:val="left"/>
              <w:rPr/>
            </w:pPr>
            <w:r>
              <w:rPr/>
              <w:t> </w:t>
            </w:r>
          </w:p>
        </w:tc>
        <w:tc>
          <w:tcPr>
            <w:tcW w:w="116" w:type="dxa"/>
            <w:tcBorders/>
            <w:shd w:fill="auto" w:val="clear"/>
            <w:vAlign w:val="center"/>
          </w:tcPr>
          <w:p>
            <w:pPr>
              <w:pStyle w:val="TableContents"/>
              <w:spacing w:before="0" w:after="283"/>
              <w:rPr/>
            </w:pPr>
            <w:r>
              <w:rPr/>
              <w:t> </w:t>
            </w:r>
          </w:p>
        </w:tc>
        <w:tc>
          <w:tcPr>
            <w:tcW w:w="1165" w:type="dxa"/>
            <w:tcBorders/>
            <w:shd w:fill="auto" w:val="clear"/>
          </w:tcPr>
          <w:p>
            <w:pPr>
              <w:pStyle w:val="TableContents"/>
              <w:spacing w:before="0" w:after="283"/>
              <w:jc w:val="left"/>
              <w:rPr/>
            </w:pPr>
            <w:r>
              <w:rPr/>
              <w:t> </w:t>
            </w:r>
          </w:p>
        </w:tc>
      </w:tr>
      <w:tr>
        <w:trPr/>
        <w:tc>
          <w:tcPr>
            <w:tcW w:w="3991" w:type="dxa"/>
            <w:tcBorders/>
            <w:shd w:fill="auto" w:val="clea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3975" w:type="dxa"/>
            <w:gridSpan w:val="3"/>
            <w:tcBorders/>
            <w:shd w:fill="auto" w:val="clear"/>
          </w:tcPr>
          <w:p>
            <w:pPr>
              <w:pStyle w:val="TableContents"/>
              <w:spacing w:before="0" w:after="283"/>
              <w:jc w:val="left"/>
              <w:rPr/>
            </w:pPr>
            <w:r>
              <w:rPr/>
              <w:t>Name: Tim Moore</w:t>
            </w:r>
          </w:p>
        </w:tc>
        <w:tc>
          <w:tcPr>
            <w:tcW w:w="116" w:type="dxa"/>
            <w:tcBorders/>
            <w:shd w:fill="auto" w:val="clear"/>
            <w:vAlign w:val="bottom"/>
          </w:tcPr>
          <w:p>
            <w:pPr>
              <w:pStyle w:val="TableContents"/>
              <w:spacing w:before="0" w:after="283"/>
              <w:rPr/>
            </w:pPr>
            <w:r>
              <w:rPr/>
              <w:t> </w:t>
            </w:r>
          </w:p>
        </w:tc>
        <w:tc>
          <w:tcPr>
            <w:tcW w:w="1165" w:type="dxa"/>
            <w:tcBorders/>
            <w:shd w:fill="auto" w:val="clear"/>
          </w:tcPr>
          <w:p>
            <w:pPr>
              <w:pStyle w:val="TableContents"/>
              <w:spacing w:before="0" w:after="283"/>
              <w:jc w:val="left"/>
              <w:rPr/>
            </w:pPr>
            <w:r>
              <w:rPr/>
              <w:t> </w:t>
            </w:r>
          </w:p>
        </w:tc>
      </w:tr>
      <w:tr>
        <w:trPr/>
        <w:tc>
          <w:tcPr>
            <w:tcW w:w="3991" w:type="dxa"/>
            <w:tcBorders/>
            <w:shd w:fill="auto" w:val="clea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3975" w:type="dxa"/>
            <w:gridSpan w:val="3"/>
            <w:tcBorders/>
            <w:shd w:fill="auto" w:val="clear"/>
          </w:tcPr>
          <w:p>
            <w:pPr>
              <w:pStyle w:val="TableContents"/>
              <w:spacing w:before="0" w:after="283"/>
              <w:jc w:val="left"/>
              <w:rPr/>
            </w:pPr>
            <w:r>
              <w:rPr/>
              <w:t>Title: Vice President</w:t>
            </w:r>
          </w:p>
        </w:tc>
        <w:tc>
          <w:tcPr>
            <w:tcW w:w="116" w:type="dxa"/>
            <w:tcBorders/>
            <w:shd w:fill="auto" w:val="clear"/>
            <w:vAlign w:val="bottom"/>
          </w:tcPr>
          <w:p>
            <w:pPr>
              <w:pStyle w:val="TableContents"/>
              <w:spacing w:before="0" w:after="283"/>
              <w:rPr/>
            </w:pPr>
            <w:r>
              <w:rPr/>
              <w:t> </w:t>
            </w:r>
          </w:p>
        </w:tc>
        <w:tc>
          <w:tcPr>
            <w:tcW w:w="1165" w:type="dxa"/>
            <w:tcBorders/>
            <w:shd w:fill="auto" w:val="clear"/>
          </w:tcPr>
          <w:p>
            <w:pPr>
              <w:pStyle w:val="TableContents"/>
              <w:spacing w:before="0" w:after="283"/>
              <w:jc w:val="left"/>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October 27, 2006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6" w:name="003"/>
      <w:bookmarkEnd w:id="6"/>
      <w:r>
        <w:rPr>
          <w:rFonts w:ascii="Times New Roman;Times;serif" w:hAnsi="Times New Roman;Times;serif"/>
          <w:sz w:val="17"/>
        </w:rPr>
        <w:t xml:space="preserve">Index to Exhibits </w:t>
      </w:r>
    </w:p>
    <w:tbl>
      <w:tblPr>
        <w:tblW w:w="5000" w:type="pct"/>
        <w:jc w:val="center"/>
        <w:tblInd w:w="0" w:type="dxa"/>
        <w:tblCellMar>
          <w:top w:w="0" w:type="dxa"/>
          <w:left w:w="0" w:type="dxa"/>
          <w:bottom w:w="0" w:type="dxa"/>
          <w:right w:w="0" w:type="dxa"/>
        </w:tblCellMar>
      </w:tblPr>
      <w:tblGrid>
        <w:gridCol w:w="380"/>
        <w:gridCol w:w="217"/>
        <w:gridCol w:w="1205"/>
        <w:gridCol w:w="217"/>
        <w:gridCol w:w="8186"/>
      </w:tblGrid>
      <w:tr>
        <w:trPr/>
        <w:tc>
          <w:tcPr>
            <w:tcW w:w="38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8186" w:type="dxa"/>
            <w:tcBorders/>
            <w:shd w:fill="auto" w:val="clear"/>
            <w:vAlign w:val="bottom"/>
          </w:tcPr>
          <w:p>
            <w:pPr>
              <w:pStyle w:val="TableContents"/>
              <w:spacing w:before="0" w:after="283"/>
              <w:rPr/>
            </w:pPr>
            <w:r>
              <w:rPr/>
              <w:t> </w:t>
            </w:r>
          </w:p>
        </w:tc>
      </w:tr>
      <w:tr>
        <w:trPr/>
        <w:tc>
          <w:tcPr>
            <w:tcW w:w="380" w:type="dxa"/>
            <w:tcBorders/>
            <w:shd w:fill="auto" w:val="clear"/>
          </w:tcPr>
          <w:p>
            <w:pPr>
              <w:pStyle w:val="TableContents"/>
              <w:spacing w:before="0" w:after="0"/>
              <w:ind w:left="0" w:right="0" w:hanging="0"/>
              <w:rPr/>
            </w:pPr>
            <w:r>
              <w:rPr/>
              <w:t xml:space="preserve">  </w:t>
            </w:r>
          </w:p>
        </w:tc>
        <w:tc>
          <w:tcPr>
            <w:tcW w:w="217" w:type="dxa"/>
            <w:tcBorders/>
            <w:shd w:fill="auto" w:val="clear"/>
            <w:vAlign w:val="bottom"/>
          </w:tcPr>
          <w:p>
            <w:pPr>
              <w:pStyle w:val="TableContents"/>
              <w:spacing w:before="0" w:after="283"/>
              <w:rPr/>
            </w:pPr>
            <w:r>
              <w:rPr/>
              <w:t> </w:t>
            </w:r>
          </w:p>
        </w:tc>
        <w:tc>
          <w:tcPr>
            <w:tcW w:w="1205" w:type="dxa"/>
            <w:tcBorders/>
            <w:shd w:fill="auto" w:val="clear"/>
          </w:tcPr>
          <w:p>
            <w:pPr>
              <w:pStyle w:val="TableContents"/>
              <w:spacing w:before="0" w:after="283"/>
              <w:jc w:val="left"/>
              <w:rPr/>
            </w:pPr>
            <w:r>
              <w:rPr/>
              <w:t xml:space="preserve">Exhibit 10.1 </w:t>
            </w:r>
          </w:p>
        </w:tc>
        <w:tc>
          <w:tcPr>
            <w:tcW w:w="217" w:type="dxa"/>
            <w:tcBorders/>
            <w:shd w:fill="auto" w:val="clear"/>
            <w:vAlign w:val="bottom"/>
          </w:tcPr>
          <w:p>
            <w:pPr>
              <w:pStyle w:val="TableContents"/>
              <w:spacing w:before="0" w:after="283"/>
              <w:rPr/>
            </w:pPr>
            <w:r>
              <w:rPr/>
              <w:t> </w:t>
            </w:r>
          </w:p>
        </w:tc>
        <w:tc>
          <w:tcPr>
            <w:tcW w:w="8186" w:type="dxa"/>
            <w:tcBorders/>
            <w:shd w:fill="auto" w:val="clear"/>
          </w:tcPr>
          <w:p>
            <w:pPr>
              <w:pStyle w:val="TableContents"/>
              <w:spacing w:before="0" w:after="283"/>
              <w:jc w:val="left"/>
              <w:rPr/>
            </w:pPr>
            <w:r>
              <w:rPr/>
              <w:t>Purchase Agreement, dated October 23, 2006 among Plains All American Pipeline, L.P., PAA Finance Corp., Plains AAP, L.P., Plains All American GP LLC,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LLC, Wedbush Morgan Securities Inc. and Wells Fargo Securities, LLC.</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r>
        <w:br w:type="page"/>
      </w:r>
    </w:p>
    <w:p>
      <w:pPr>
        <w:pStyle w:val="Heading5"/>
        <w:jc w:val="left"/>
        <w:rPr/>
      </w:pPr>
      <w:bookmarkStart w:id="7" w:name="h40639exv10w1.htm"/>
      <w:bookmarkStart w:id="8" w:name="ksh40639exv10w1"/>
      <w:bookmarkEnd w:id="7"/>
      <w:bookmarkEnd w:id="8"/>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10.1 </w:t>
      </w:r>
    </w:p>
    <w:p>
      <w:pPr>
        <w:pStyle w:val="TextBody"/>
        <w:spacing w:before="240" w:after="283"/>
        <w:jc w:val="right"/>
        <w:rPr>
          <w:rFonts w:ascii="Times New Roman;Times;serif" w:hAnsi="Times New Roman;Times;serif"/>
          <w:b/>
          <w:i/>
          <w:sz w:val="17"/>
        </w:rPr>
      </w:pPr>
      <w:r>
        <w:rPr>
          <w:rFonts w:ascii="Times New Roman;Times;serif" w:hAnsi="Times New Roman;Times;serif"/>
          <w:b/>
          <w:i/>
          <w:sz w:val="17"/>
        </w:rPr>
        <w:t>Execution Version</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PAA FINANCE CORP.</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$400,000,000 6.125% Notes due 2017</w:t>
        <w:br/>
        <w:t xml:space="preserve">$600,000,000 6.650% Notes due 2037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Purchase Agreement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October 23,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Citigroup Global Markets Inc.</w:t>
        <w:br/>
        <w:t>UBS Securities LLC</w:t>
        <w:br/>
        <w:t>Banc of America Securities LLC</w:t>
        <w:br/>
        <w:t>J.P. Morgan Securities Inc.</w:t>
        <w:br/>
        <w:t>Wachovia Capital Markets, LLC</w:t>
        <w:br/>
        <w:t>BNP Paribas Securities Corp.</w:t>
        <w:br/>
        <w:t>SunTrust Capital Markets, Inc.</w:t>
        <w:br/>
        <w:t>Comerica Securities, Inc.</w:t>
        <w:br/>
        <w:t>Commerzbank Capital Markets Corp.</w:t>
        <w:br/>
        <w:t>DnB NOR Markets, Inc.</w:t>
        <w:br/>
        <w:t>Fortis Securities LLC</w:t>
        <w:br/>
        <w:t>HSBC Securities (USA) Inc.</w:t>
        <w:br/>
        <w:t>ING Financial Markets LLC</w:t>
        <w:br/>
        <w:t>Mitsubishi UFJ Securities International plc</w:t>
        <w:br/>
        <w:t>Piper Jaffray &amp; Co.</w:t>
        <w:br/>
        <w:t>RBC Capital Markets Corporation</w:t>
        <w:br/>
        <w:t>Scotia Capital (USA) Inc.</w:t>
        <w:br/>
        <w:t>Daiwa Securities America Inc.</w:t>
        <w:br/>
        <w:t>SG Americas Securities, LLC</w:t>
        <w:br/>
        <w:t>Wedbush Morgan Securities Inc.</w:t>
        <w:br/>
        <w:t xml:space="preserve">Wells Fargo Securities,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c/o Citigroup Global Markets Inc.</w:t>
        <w:br/>
        <w:t>     388 Greenwich St., 34th Floor</w:t>
        <w:br/>
        <w:t xml:space="preserve">     New York, New York 10013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Plains All American Pipeline, L.P., a Delaware limited partnership (the Partnership), and PAA Finance Corp., a Delaware corporation (PAA Finance, and together with the Partnership, the Issuers), propose to issue and sell to the several initial purchasers named in Schedule 1 hereto (the Initial Purchasers) $400,000,000 aggregate principal amount of 6.125% Notes due 2017 (the 2017 Securities) and $600,000,000 aggregate principal amount of 6.650% Notes due 2037 (the 2037 Securities, and together with the 2017 Securities, the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Securities). The Securities are to be issued under an indenture dated as of September 25, 2002 (the Base Indenture), among the Issuers and U.S. Bank National Association, as successor trustee (the Trustee), as amended by the Ninth Supplemental Indenture and the Tenth Supplemental Indenture, each to be dated as of October 30, 2006, among the Issuers, the Trustee and the subsidiaries of the Partnership named therein (the Base Indenture, as so amended, the Indenture). Each series of the Securities will have the benefit of a registration rights agreement (each, a Registration Rights Agreement), to be dated as of the Closing Date (as defined in Section 3), among the Issuers, the other Plains Parties party thereto and the Initial Purchasers, pursuant to which and subject to the terms and conditions therein, the Issuers will agree to exchange the Securities with securities (the Exchange Securities) that have been registered under the Act. Certain terms used herein are defined in Section 19 hereof. </w:t>
      </w:r>
    </w:p>
    <w:p>
      <w:pPr>
        <w:pStyle w:val="TextBody"/>
        <w:spacing w:before="120" w:after="283"/>
        <w:jc w:val="left"/>
        <w:rPr/>
      </w:pPr>
      <w:r>
        <w:rPr/>
        <w:t>          </w:t>
      </w:r>
      <w:r>
        <w:rPr>
          <w:rFonts w:ascii="Times New Roman;Times;serif" w:hAnsi="Times New Roman;Times;serif"/>
          <w:sz w:val="17"/>
        </w:rPr>
        <w:t xml:space="preserve">Plains AAP, L.P., a Delaware limited partnership (the General Partner), is the general partner of the Partnership. Plains All American GP LLC, a Delaware limited liability company (GP LLC), is the general partner of the General Partner. The Partnership owns 100% of the issued and outstanding shares of Plains Marketing GP Inc., a Delaware corporation (GP Inc.), which is the general partner of each of Plains Marketing, L.P., a Texas limited partnership (Plains Marketing), and Plains Pipeline, L.P., a Texas limited partnership (Plains Pipeline). Plains Marketing owns 100% of the issued and outstanding shares of PAA Finance; a 100% membership interest in Plains Marketing Canada LLC, a Delaware limited liability company (PMC LLC); a 99.99% limited partner interest in Plains Marketing Canada, L.P., an Alberta limited partnership (PMC LP); a 100% membership interest in Plains LPG Services GP LLC, a Delaware limited liability company (LPG LLC); a 100% membership interest in Plains Marketing International GP LLC, a Delaware limited liability company (PMI GP LLC); a 99.999% limited partner interest in Plains LPG Services, L.P., a Delaware limited partnership (LPG Services LP); a 99.999% limited partner interest in Plains LPG Marketing, L.P., a Texas limited partnership (LPG Marketing LP) and a 99.999% limited partner interest in Plains Marketing International, L.P., a Texas limited partnership (PMI LP). LPG LLC owns a 0.001% general partner interest in LPG Services LP and a 0.001% general partner interest in LPG Marketing LP. LPG Services LP owns a 100% membership interest in Lone Star Trucking, LLC, a California limited liability company (Lone Star). PMI GP LLC owns a 0.001% general partner interest in PMI LP. PMC LLC owns 100% of the issued and outstanding share capital of PMC (Nova Scotia) Company, a Nova Scotia unlimited liability company (PMC NS). PMC NS owns a 0.01% general partner interest in PMC LP. Plains Pipeline owns 100% membership interests in each of Basin Holdings GP LLC, a Delaware limited liability company (Basin LLC), and Rancho Holdings GP LLC, a Delaware limited liability company (Rancho LLC), and 99.999% limited partner interests in Basin Pipeline Holdings, L.P., a Delaware limited partnership (Basin LP) and Rancho Pipeline Holdings, L.P., a Delaware limited partnership (Rancho LP). The Partnership owns a 50% membership interest in PAA/Vulcan Gas Storage, LLC, a Delaware limited liability company (the Joint Venture). Basin LLC owns a 0.001% general partner interest in Basin LP, and Rancho LLC owns a 0.001% general partner interest in Rancho LP. GP Inc., Plains Marketing, Plains Pipeline, PAA Finance, PMC LLC, PMC LP, PMC NS, Basin LLC, Basin LP, Rancho LLC, Rancho LP, LPG LLC, LPG Services LP, LPG Marketing LP, PMI GP LLC, PMI LP and Lone Star are collectively called the Subsidiaries. PMC LP and PMC NS are collectively called the Canadian Subsidiaries. The Partnership, PAA Finance, the General Partner, GP LLC, GP Inc., Plains Marketing, Plains Pipeline, PMC LLC, PMC LP, PMC NS, Basin LLC, Basin LP, Rancho LLC, Rancho LP, LPG LLC, LPG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Services LP, LPG Marketing LP, PMI GP LLC, PMI LP and Lone Star are collectively called the Plains Parties. </w:t>
      </w:r>
    </w:p>
    <w:p>
      <w:pPr>
        <w:pStyle w:val="TextBody"/>
        <w:spacing w:before="120" w:after="283"/>
        <w:jc w:val="left"/>
        <w:rPr/>
      </w:pPr>
      <w:r>
        <w:rPr/>
        <w:t>          </w:t>
      </w:r>
      <w:r>
        <w:rPr>
          <w:rFonts w:ascii="Times New Roman;Times;serif" w:hAnsi="Times New Roman;Times;serif"/>
          <w:sz w:val="17"/>
        </w:rPr>
        <w:t xml:space="preserve">The sale of the Securities to the Initial Purchasers will be made without registration of the Securities under the Act in reliance upon exemptions from the registration requirements of the Act. </w:t>
      </w:r>
    </w:p>
    <w:p>
      <w:pPr>
        <w:pStyle w:val="TextBody"/>
        <w:spacing w:before="120" w:after="283"/>
        <w:jc w:val="left"/>
        <w:rPr/>
      </w:pPr>
      <w:r>
        <w:rPr/>
        <w:t>          </w:t>
      </w:r>
      <w:r>
        <w:rPr>
          <w:rFonts w:ascii="Times New Roman;Times;serif" w:hAnsi="Times New Roman;Times;serif"/>
          <w:sz w:val="17"/>
        </w:rPr>
        <w:t xml:space="preserve">In connection with the sale of the Securities, the Issuers have prepared a preliminary offering memorandum dated October 23, 2006 (the Preliminary Offering Memorandum), and have prepared a pricing supplement (the Pricing Supplement), dated October 23, 2006, the form of which is attached as Exhibit A hereto, describing the terms of each series of the Securities, each for use by the Initial Purchasers in connection with their solicitation of offers to purchase the Securities. As used herein, Offering Memorandum shall mean the Preliminary Offering Memorandum, as supplemented by the Pricing Supplement and any exhibits thereto and any information incorporated by reference therein, in the most recent form that has been prepared and delivered to the Initial Purchasers in connection with their solicitation of offers to purchase Securities prior to the date and time that this Agreement is executed and delivered by the parties hereto (the Execution Time). Promptly after the Execution Time and in any event no later than the second business day following the Execution Time, the Issuers shall deliver or cause to be delivered copies, in such quantities and at such places as the Initial Purchasers shall reasonably request, of the Final Offering Memorandum (the Final Offering Memorandum), which will consist of the Preliminary Offering Memorandum with only such changes thereto as are required to reflect the information contained in the Pricing Supplement and such other changes as the Partnership reasonably deems appropriate following notice to the Initial Purchasers or their legal counsel, and from and after the time the Final Offering Memorandum is delivered as set forth in this sentence, all references herein to the Offering Memorandum shall be deemed to be a reference to the Offering Memorandum and the Final Offering Memorandum. The Issuers hereby confirm that they have authorized the use of the Offering Memorandum and the Final Offering Memorandum, and any amendment or supplement thereto, in connection with the offer and sale of the Securities by the Initial Purchasers. Unless stated to the contrary, any references herein to the terms amend, amendment or supplement with respect to the Offering Memorandum and the Final Offering Memorandum shall be deemed to refer to and include any information filed under the Exchange Act subsequent to the date of such Offering Memorandum or Final Offering Memorandum which is incorporated by reference therein. </w:t>
      </w:r>
    </w:p>
    <w:p>
      <w:pPr>
        <w:pStyle w:val="TextBody"/>
        <w:spacing w:before="120" w:after="283"/>
        <w:jc w:val="left"/>
        <w:rPr/>
      </w:pPr>
      <w:r>
        <w:rPr/>
        <w:t>          </w:t>
      </w:r>
      <w:r>
        <w:rPr>
          <w:rFonts w:ascii="Times New Roman;Times;serif" w:hAnsi="Times New Roman;Times;serif"/>
          <w:sz w:val="17"/>
        </w:rPr>
        <w:t xml:space="preserve">1. </w:t>
      </w:r>
      <w:r>
        <w:rPr>
          <w:rFonts w:ascii="Times New Roman;Times;serif" w:hAnsi="Times New Roman;Times;serif"/>
          <w:sz w:val="17"/>
          <w:u w:val="single"/>
        </w:rPr>
        <w:t>Representations and Warranties of the Plains Parties</w:t>
      </w:r>
      <w:r>
        <w:rPr>
          <w:rFonts w:ascii="Times New Roman;Times;serif" w:hAnsi="Times New Roman;Times;serif"/>
          <w:sz w:val="17"/>
        </w:rPr>
        <w:t xml:space="preserve">. The Plains Parties, jointly and severally, represent and warrant to the Initial Purchasers as set forth below in this Section 1. </w:t>
      </w:r>
    </w:p>
    <w:p>
      <w:pPr>
        <w:pStyle w:val="TextBody"/>
        <w:spacing w:before="120" w:after="283"/>
        <w:jc w:val="left"/>
        <w:rPr/>
      </w:pPr>
      <w:r>
        <w:rPr/>
        <w:t>     </w:t>
      </w:r>
      <w:r>
        <w:rPr>
          <w:rFonts w:ascii="Times New Roman;Times;serif" w:hAnsi="Times New Roman;Times;serif"/>
          <w:sz w:val="17"/>
        </w:rPr>
        <w:t xml:space="preserve">(a) As of its date and on the Closing Date, the Final Offering Memorandum will not (and any amendment or supplement thereto, at the date thereof and at the Closing Date, will not) contain any untrue statement of a material fact or omit to state any material fact necessary in order to make the statements therein, in the light of the circumstances under which they were made, not misleading;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the Issuers make no representation or warranty as to the information contained in or omitted from the Final Offering Memorandum, or any amendment or supplement thereto, in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reliance upon and in conformity with information furnished in writing to the Issuers by or on behalf of the Initial Purchasers specifically for inclusion therein. </w:t>
      </w:r>
    </w:p>
    <w:p>
      <w:pPr>
        <w:pStyle w:val="TextBody"/>
        <w:spacing w:before="120" w:after="283"/>
        <w:jc w:val="left"/>
        <w:rPr/>
      </w:pPr>
      <w:r>
        <w:rPr/>
        <w:t>     </w:t>
      </w:r>
      <w:r>
        <w:rPr>
          <w:rFonts w:ascii="Times New Roman;Times;serif" w:hAnsi="Times New Roman;Times;serif"/>
          <w:sz w:val="17"/>
        </w:rPr>
        <w:t xml:space="preserve">(b) The Offering Memorandum, as of the Execution Time does not contain, and on the Closing Date will not contain, any untrue statement of a material fact or omit to state any material fact necessary in order to make the statements therein, in the light of the circumstances under which they were made, not misleading;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the Issuers make no representation or warranty as to the information contained in or omitted from the Offering Memorandum in reliance upon and in conformity with written information furnished to the Issuers by or on behalf of the Initial Purchasers specifically for inclusion therein. The documents incorporated by reference in the Offering Memorandum, when filed with the Commission, conformed or will conform, as the case may be, in all material respects to the applicable requirements of the Exchange Act and the rules and regulations of the Commission thereunder, and did not and will not contain any untrue statement of a material fact or omit to state a material fact required to be stated therein or necessary in order to make the statements therein, in the light of the circumstances under which they were made, not misleading. </w:t>
      </w:r>
    </w:p>
    <w:p>
      <w:pPr>
        <w:pStyle w:val="TextBody"/>
        <w:spacing w:before="120" w:after="283"/>
        <w:jc w:val="left"/>
        <w:rPr/>
      </w:pPr>
      <w:r>
        <w:rPr/>
        <w:t>     </w:t>
      </w:r>
      <w:r>
        <w:rPr>
          <w:rFonts w:ascii="Times New Roman;Times;serif" w:hAnsi="Times New Roman;Times;serif"/>
          <w:sz w:val="17"/>
        </w:rPr>
        <w:t xml:space="preserve">(c) None of the Plains Parties, nor any person acting on its or their behalf has, directly or indirectly, made offers or sales of any security, or solicited offers to buy any security, under circumstances that would require the registration of the Securities under the Act. </w:t>
      </w:r>
    </w:p>
    <w:p>
      <w:pPr>
        <w:pStyle w:val="TextBody"/>
        <w:spacing w:before="120" w:after="283"/>
        <w:jc w:val="left"/>
        <w:rPr/>
      </w:pPr>
      <w:r>
        <w:rPr/>
        <w:t>     </w:t>
      </w:r>
      <w:r>
        <w:rPr>
          <w:rFonts w:ascii="Times New Roman;Times;serif" w:hAnsi="Times New Roman;Times;serif"/>
          <w:sz w:val="17"/>
        </w:rPr>
        <w:t xml:space="preserve">(d) None of the Plains Parties, nor any person acting on its or their behalf has engaged in any form of general solicitation or general advertising (within the meaning of Regulation D) in connection with any offer or sale of the Securities in the United States. </w:t>
      </w:r>
    </w:p>
    <w:p>
      <w:pPr>
        <w:pStyle w:val="TextBody"/>
        <w:spacing w:before="120" w:after="283"/>
        <w:jc w:val="left"/>
        <w:rPr/>
      </w:pPr>
      <w:r>
        <w:rPr/>
        <w:t>     </w:t>
      </w:r>
      <w:r>
        <w:rPr>
          <w:rFonts w:ascii="Times New Roman;Times;serif" w:hAnsi="Times New Roman;Times;serif"/>
          <w:sz w:val="17"/>
        </w:rPr>
        <w:t xml:space="preserve">(e) The Securities satisfy the eligibility requirements of Rule 144A(d)(3) under the Act. </w:t>
      </w:r>
    </w:p>
    <w:p>
      <w:pPr>
        <w:pStyle w:val="TextBody"/>
        <w:spacing w:before="120" w:after="283"/>
        <w:jc w:val="left"/>
        <w:rPr/>
      </w:pPr>
      <w:r>
        <w:rPr/>
        <w:t>     </w:t>
      </w:r>
      <w:r>
        <w:rPr>
          <w:rFonts w:ascii="Times New Roman;Times;serif" w:hAnsi="Times New Roman;Times;serif"/>
          <w:sz w:val="17"/>
        </w:rPr>
        <w:t xml:space="preserve">(f) None of the Plains Parties, nor any person acting on its or their behalf has engaged in any directed selling efforts with respect to the Securities, and each of them has complied with the offering restrictions requirement of Regulation S. Terms used in this paragraph have the meanings given to them by Regulation S. </w:t>
      </w:r>
    </w:p>
    <w:p>
      <w:pPr>
        <w:pStyle w:val="TextBody"/>
        <w:spacing w:before="120" w:after="283"/>
        <w:jc w:val="left"/>
        <w:rPr/>
      </w:pPr>
      <w:r>
        <w:rPr/>
        <w:t>     </w:t>
      </w:r>
      <w:r>
        <w:rPr>
          <w:rFonts w:ascii="Times New Roman;Times;serif" w:hAnsi="Times New Roman;Times;serif"/>
          <w:sz w:val="17"/>
        </w:rPr>
        <w:t xml:space="preserve">(g) The Partnership is subject to and in compliance with the reporting requirements of Section 13 or Section 15(d) of the Exchange Act. </w:t>
      </w:r>
    </w:p>
    <w:p>
      <w:pPr>
        <w:pStyle w:val="TextBody"/>
        <w:spacing w:before="120" w:after="283"/>
        <w:jc w:val="left"/>
        <w:rPr/>
      </w:pPr>
      <w:r>
        <w:rPr/>
        <w:t>     </w:t>
      </w:r>
      <w:r>
        <w:rPr>
          <w:rFonts w:ascii="Times New Roman;Times;serif" w:hAnsi="Times New Roman;Times;serif"/>
          <w:sz w:val="17"/>
        </w:rPr>
        <w:t xml:space="preserve">(h) Subject to compliance by the Initial Purchasers with the procedures set forth in Section 4 hereof, it is not necessary in connection with the offer, sale and delivery of the Securities by the Issuers to the Initial Purchasers and the initial resale by the Initial Purchasers in the manner contemplated by this Agreement and the Offering Memorandum to register the Securities under the Act or to qualify the Indenture under the Trust Indenture Act. </w:t>
      </w:r>
    </w:p>
    <w:p>
      <w:pPr>
        <w:pStyle w:val="TextBody"/>
        <w:spacing w:before="120" w:after="283"/>
        <w:jc w:val="left"/>
        <w:rPr/>
      </w:pPr>
      <w:r>
        <w:rPr/>
        <w:t>     </w:t>
      </w:r>
      <w:r>
        <w:rPr>
          <w:rFonts w:ascii="Times New Roman;Times;serif" w:hAnsi="Times New Roman;Times;serif"/>
          <w:sz w:val="17"/>
        </w:rPr>
        <w:t xml:space="preserve">(i) The Issuers have not paid or agreed to pay to any person any compensation for soliciting another to purchase any securities of the Issuers (except as contemplated by this Agreement).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(j) None of the Plains Parties, nor any person acting on its or their behalf has taken, directly or indirectly, any action designed to cause or which has constituted or which might reasonably be expected to cause or result, under the Exchange Act or otherwise, in the stabilization or manipulation of the price of any security of the Issuers to facilitate the sale or resale of the Securities. </w:t>
      </w:r>
    </w:p>
    <w:p>
      <w:pPr>
        <w:pStyle w:val="TextBody"/>
        <w:spacing w:before="120" w:after="283"/>
        <w:jc w:val="left"/>
        <w:rPr/>
      </w:pPr>
      <w:r>
        <w:rPr/>
        <w:t>     </w:t>
      </w:r>
      <w:r>
        <w:rPr>
          <w:rFonts w:ascii="Times New Roman;Times;serif" w:hAnsi="Times New Roman;Times;serif"/>
          <w:sz w:val="17"/>
        </w:rPr>
        <w:t xml:space="preserve">(k) Each of the Plains Parties and the Joint Venture has been duly formed or 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Plains Parties and the Joint Venture is duly registered or qualified as a foreign corporation, limited partnership, limited liability company or unlimited liability company, as the case may be, for the transaction of business under the laws of each jurisdiction in which the character of the business conducted by it or the nature or location of the properties owned or leased by it makes such registration or qualification necessary, except where the failure so to register or qualify would not have a material adverse effect on the condition (financial or other), business, prospects, properties, net worth or results of operations of the Partnership, the Subsidiaries and the Joint Venture, taken as a whole. </w:t>
      </w:r>
    </w:p>
    <w:p>
      <w:pPr>
        <w:pStyle w:val="TextBody"/>
        <w:spacing w:before="120" w:after="283"/>
        <w:jc w:val="left"/>
        <w:rPr/>
      </w:pPr>
      <w:r>
        <w:rPr/>
        <w:t>     </w:t>
      </w:r>
      <w:r>
        <w:rPr>
          <w:rFonts w:ascii="Times New Roman;Times;serif" w:hAnsi="Times New Roman;Times;serif"/>
          <w:sz w:val="17"/>
        </w:rPr>
        <w:t xml:space="preserve">(l) GP LLC has full limited liability company power and authority to act as the general partner of the General Partner; the General Partner has full partnership power and authority to act as the general partner of the Partnership; GP Inc. has full corporate power and authority to act as the general partner of Plains Marketing and Plains Pipeline; Basin LLC has full limited liability company power and authority to act as the general partner of Basin LP; Rancho LLC has full limited liability company power and authority to act as the general partner of Rancho LP; PMC NS has full unlimited liability company power and authority to act as the general partner of PMC LP; LPG LLC has full limited liability company power and authority to act as the general partner of LPG Services LP and LPG Marketing LP; PMI GP LLC has full limited liability company power and authority to act as the general partner of PMI LP, in each case in all material respects. </w:t>
      </w:r>
    </w:p>
    <w:p>
      <w:pPr>
        <w:pStyle w:val="TextBody"/>
        <w:spacing w:before="120" w:after="283"/>
        <w:jc w:val="left"/>
        <w:rPr/>
      </w:pPr>
      <w:r>
        <w:rPr/>
        <w:t>     </w:t>
      </w:r>
      <w:r>
        <w:rPr>
          <w:rFonts w:ascii="Times New Roman;Times;serif" w:hAnsi="Times New Roman;Times;serif"/>
          <w:sz w:val="17"/>
        </w:rPr>
        <w:t xml:space="preserve">(m) GP LLC is the sole general partner of the General Partner, with a 1.0% general partner interest in the General Partner, and the General Partner is the sole general partner of the Partnership, with a 2.0% general partner interest in the Partnership; such general partner interests have been duly authorized and validly issued in accordance with the agreement of limited partnership of the General Partner (as in effect on the date hereof and as the same may be amended or restated prior to the Closing Date, such agreement being referred to herein as the General Partner Partnership Agreement) and the Third Amended and Restated Agreement of Limited Partnership of the Partnership (as the same may be amended or restated prior to the Closing Date, the Partnership Agreement), respectively; GP LLC owns such general partner interest in the General Partner and the General Partner owns such general partner interest in the Partnership, in each case, free and clear of all liens, encumbrances, security interests, equities, charges or claims; and the General Partner owns all of the Incentive Distribution Rights (as such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capitalized term is defined in the Partnership Agreement) free and clear of all liens, encumbrances, security interests, equities, charges or claims. </w:t>
      </w:r>
    </w:p>
    <w:p>
      <w:pPr>
        <w:pStyle w:val="TextBody"/>
        <w:spacing w:before="120" w:after="283"/>
        <w:jc w:val="left"/>
        <w:rPr/>
      </w:pPr>
      <w:r>
        <w:rPr/>
        <w:t>     </w:t>
      </w:r>
      <w:r>
        <w:rPr>
          <w:rFonts w:ascii="Times New Roman;Times;serif" w:hAnsi="Times New Roman;Times;serif"/>
          <w:sz w:val="17"/>
        </w:rPr>
        <w:t xml:space="preserve">(n) GP Inc. is the sole general partner of Plains Marketing, with a .001% general partner interest in Plains Marketing, and the sole general partner of Plains Pipeline, with a .001% general partner interest in Plains Pipeline; such general partner interests have been duly authorized and validly issued in accordance with the agreement of limited partnership of Plains Marketing and the agreement of limited partnership of Plains Pipeline, respectively (in each case, as in effect on the date hereof and as the same may be amended or restated prior to the Closing Date, such agreements being referred to herein as the Plains Marketing Partnership Agreement and the Plains Pipeline Partnership Agreement, respectively); and GP Inc. owns such general partner interests free and clear of all liens, encumbrances, security interests, equities, charges or claims. </w:t>
      </w:r>
    </w:p>
    <w:p>
      <w:pPr>
        <w:pStyle w:val="TextBody"/>
        <w:spacing w:before="120" w:after="283"/>
        <w:jc w:val="left"/>
        <w:rPr/>
      </w:pPr>
      <w:r>
        <w:rPr/>
        <w:t>     </w:t>
      </w:r>
      <w:r>
        <w:rPr>
          <w:rFonts w:ascii="Times New Roman;Times;serif" w:hAnsi="Times New Roman;Times;serif"/>
          <w:sz w:val="17"/>
        </w:rPr>
        <w:t xml:space="preserve">(o) All of the outstanding shares of capital stock or other equity interests (other than general partner interests) of each Subsidiary and the Joint Venture (a) have been duly authorized and validly issued (in the case of an interest in a limited partnership or limited liability company, in accordance with the Organizational Documents (as defined in Section 1(u) below) of such Subsidiary or the Joint Venture), are fully paid (in the case of an interest in a limited partnership or limited liability company, to the extent required under the Organizational Documents of such Subsidiary or the Joint Venture) and nonassessable (except (i) in the case of an interest in a Delaware limited partnership or Delaware limited liability company, as such nonassessability may be affected by Section 17-607 of the Delaware Revised Uniform Limited Partnership Act (the Delaware LP Act) or Section 18-607 of the Delaware Limited Liability Company Act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except for a 50% membership interest in the Joint Venture owned by Vulcan Gas Storage LLC, are owned, directly or indirectly, by the Partnership, free and clear of all liens, encumbrances, security interests, equities, charges or claims. </w:t>
      </w:r>
    </w:p>
    <w:p>
      <w:pPr>
        <w:pStyle w:val="TextBody"/>
        <w:spacing w:before="120" w:after="283"/>
        <w:jc w:val="left"/>
        <w:rPr/>
      </w:pPr>
      <w:r>
        <w:rPr/>
        <w:t>     </w:t>
      </w:r>
      <w:r>
        <w:rPr>
          <w:rFonts w:ascii="Times New Roman;Times;serif" w:hAnsi="Times New Roman;Times;serif"/>
          <w:sz w:val="17"/>
        </w:rPr>
        <w:t xml:space="preserve">(p) All outstanding general partner interests in each Subsidiary that is a partnership have been duly authorized and validly issued in accordance with the Organizational Documents of such Subsidiaries and are owned, directly or indirectly, by the Partnership, free and clear of all liens, encumbrances, security interests, equities, charges or claims. </w:t>
      </w:r>
    </w:p>
    <w:p>
      <w:pPr>
        <w:pStyle w:val="TextBody"/>
        <w:spacing w:before="120" w:after="283"/>
        <w:jc w:val="left"/>
        <w:rPr/>
      </w:pPr>
      <w:r>
        <w:rPr/>
        <w:t>     </w:t>
      </w:r>
      <w:r>
        <w:rPr>
          <w:rFonts w:ascii="Times New Roman;Times;serif" w:hAnsi="Times New Roman;Times;serif"/>
          <w:sz w:val="17"/>
        </w:rPr>
        <w:t xml:space="preserve">(q) The Partnership has no direct or indirect majority-owned subsidiaries other than the Subsidiaries, Atchafalaya Pipeline, L.L.C. (Atchafalaya Pipeline) and Andrews Partners, LLC (Andrews Partners). None of Atchafalaya Pipeline or Andrews Partners, individually or considered as a whole, would be deemed to be a significant subsidiary (as such term is defined in Rule 405 under the Act). The Issuers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have no independent assets or operations and the guarantees of the Subsidiaries are full and unconditional and joint and several. The footnotes to the Partnerships financial statements included or incorporated by reference in the Offering Memorandum include the appropriate disclosure required by Note 1 to Rule 3-10(f) of Regulation S-X, including the narrative disclosures specified in paragraphs (i)(9) and (i)(10) of Rule 3-10. </w:t>
      </w:r>
    </w:p>
    <w:p>
      <w:pPr>
        <w:pStyle w:val="TextBody"/>
        <w:spacing w:before="120" w:after="283"/>
        <w:jc w:val="left"/>
        <w:rPr/>
      </w:pPr>
      <w:r>
        <w:rPr/>
        <w:t>     </w:t>
      </w:r>
      <w:r>
        <w:rPr>
          <w:rFonts w:ascii="Times New Roman;Times;serif" w:hAnsi="Times New Roman;Times;serif"/>
          <w:sz w:val="17"/>
        </w:rPr>
        <w:t xml:space="preserve">(r) The offering and sale of the Securities as contemplated by this Agreement do not give rise to any rights for or relating to the registration of any other securities of the Issuers, except such rights as have been waived or satisfied. The Securities, when issued and delivered against payment therefor as provided herein, the Exchange Securities, when issued and delivered as provided in the Registration Rights Agreements, the Indenture and the Registration Rights Agreements will conform in all material respects to the descriptions thereof contained in the Offering Memorandum. The Issuers have all requisite power and authority to issue, sell and deliver the Securities, in accordance with and upon the terms and conditions set forth in this Agreement, their respective Organizational Documents, the Indenture and the Offering Memorandum and to issue and deliver the Exchange Securities, in accordance with and upon the terms and conditions set forth in this Agreement, the Registration Rights Agreements, their respective Organizational Documents, the Indenture and the Offering Memorandum. At the Closing Date, all corporate, partnership and limited liability company action, as the case may be, required to be taken by the Plains Parties or any of their stockholders, partners or members for the authorization, issuance, sale and delivery of the Securities shall have been validly taken. </w:t>
      </w:r>
    </w:p>
    <w:p>
      <w:pPr>
        <w:pStyle w:val="TextBody"/>
        <w:spacing w:before="120" w:after="283"/>
        <w:jc w:val="left"/>
        <w:rPr/>
      </w:pPr>
      <w:r>
        <w:rPr/>
        <w:t>     </w:t>
      </w:r>
      <w:r>
        <w:rPr>
          <w:rFonts w:ascii="Times New Roman;Times;serif" w:hAnsi="Times New Roman;Times;serif"/>
          <w:sz w:val="17"/>
        </w:rPr>
        <w:t xml:space="preserve">(s) The execution and delivery of, and the performance by each of the Plains Parties of their respective obligations under, this Agreement have been duly and validly authorized by each of the Plains Parties, and this Agreement has been duly executed and delivered by each of the Plains Parties, and constitutes the valid and legally binding agreement of each of the Plains Parties, enforceable against each of the Plains Parties in accordance with its terms, </w:t>
      </w:r>
      <w:r>
        <w:rPr>
          <w:rFonts w:ascii="Times New Roman;Times;serif" w:hAnsi="Times New Roman;Times;serif"/>
          <w:sz w:val="17"/>
          <w:u w:val="single"/>
        </w:rPr>
        <w:t>provided</w:t>
      </w:r>
      <w:r>
        <w:rPr>
          <w:rFonts w:ascii="Times New Roman;Times;serif" w:hAnsi="Times New Roman;Times;serif"/>
          <w:sz w:val="17"/>
        </w:rPr>
        <w:t xml:space="preserve"> that the enforceability 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hereunder may be limited by federal or state securities laws. </w:t>
      </w:r>
    </w:p>
    <w:p>
      <w:pPr>
        <w:pStyle w:val="TextBody"/>
        <w:spacing w:before="120" w:after="283"/>
        <w:jc w:val="left"/>
        <w:rPr/>
      </w:pPr>
      <w:r>
        <w:rPr/>
        <w:t>     </w:t>
      </w:r>
      <w:r>
        <w:rPr>
          <w:rFonts w:ascii="Times New Roman;Times;serif" w:hAnsi="Times New Roman;Times;serif"/>
          <w:sz w:val="17"/>
        </w:rPr>
        <w:t xml:space="preserve">(t) The execution and delivery of, and the performance by each of the Plains Parties of their respective obligations under, the Indenture have been duly and validly authorized by each of the Plains Parties, and the Indenture, assuming due authorization, execution and delivery of the Base Indenture and the Ninth and Tenth Supplemental Indentures thereto by the Trustee, when such Ninth and Tenth Supplemental Indentures are executed and delivered by each of the Plains Parties, will constitute the valid and legally binding agreement of each of the Plains Parties, enforceable against each of the Plains Parties in accordance with its terms; the Securities have been duly authorized, and, when executed and authenticated in accordance with the provisions of the Indenture and delivered to and paid for by the Initial Purchasers, will have been duly executed and delivered by each of the Issuers and will constitute the valid and legally binding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obligations of the Issuers, enforceable against the Issuers in accordance with their terms and entitled to the benefits of the Indenture; the Exchange Securities have been duly authorized and, when executed and authenticated in accordance with the provisions of the Indenture and delivered in accordance with the applicable Registration Rights Agreement, will have been duly executed and delivered by each of the Issuers and will constitute the valid and legally binding obligations of the Issuers, enforceable against the Issuers in accordance with their terms and entitled to the benefits of the Indenture; and each Registration Rights Agreement has been duly and validly authorized and, when executed and delivered by each of the Plains Parties, will constitute the valid and legally binding agreement of each of the Plains Parties, enforceable against each of the Plains Parties in accordance with its terms; </w:t>
      </w:r>
      <w:r>
        <w:rPr>
          <w:rFonts w:ascii="Times New Roman;Times;serif" w:hAnsi="Times New Roman;Times;serif"/>
          <w:sz w:val="17"/>
          <w:u w:val="single"/>
        </w:rPr>
        <w:t>provided</w:t>
      </w:r>
      <w:r>
        <w:rPr>
          <w:rFonts w:ascii="Times New Roman;Times;serif" w:hAnsi="Times New Roman;Times;serif"/>
          <w:sz w:val="17"/>
        </w:rPr>
        <w:t xml:space="preserve"> that, with respect to each,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hereunder may be limited by federal or state securities laws. </w:t>
      </w:r>
    </w:p>
    <w:p>
      <w:pPr>
        <w:pStyle w:val="TextBody"/>
        <w:spacing w:before="120" w:after="283"/>
        <w:jc w:val="left"/>
        <w:rPr/>
      </w:pPr>
      <w:r>
        <w:rPr/>
        <w:t>     </w:t>
      </w:r>
      <w:r>
        <w:rPr>
          <w:rFonts w:ascii="Times New Roman;Times;serif" w:hAnsi="Times New Roman;Times;serif"/>
          <w:sz w:val="17"/>
        </w:rPr>
        <w:t xml:space="preserve">(u) The Partnership Agreement is a valid and legally binding agreement of the General Partner, enforceable against the General Partner in accordance with its terms; the Plains Marketing Partnership Agreement is a valid and legally binding agreement of GP Inc. and the Partnership, enforceable against each of them in accordance with its terms; the Plains Pipeline Partnership Agreement is a valid and legally binding agreement of GP Inc. and Plains Marketing, enforceable against each of them in accordance with its terms; the agreement of limited partnership of Basin LP (as in effect on the date hereof and as the same may be amended or restated prior to the Closing Date, the Basin LP Partnership Agreement) is a valid and legally binding agreement of Basin LLC and Plains Pipeline, enforceable against each of them in accordance with its terms; the agreement of limited partnership of Rancho LP (as in effect on the date hereof and as the same may be amended or restated prior to the Closing Date, the Rancho LP Partnership Agreement) is a valid and legally binding agreement of Rancho LLC and Plains Pipeline, enforceable against each of them in accordance with its terms; and the agreement of limited partnership of PMC LP (as in effect on the date hereof and as the same may be amended or restated prior to the Closing Date, the PMC LP Partnership Agreement) has been duly authorized, executed and delivered by each of PMC NS and Plains Marketing and is a valid and legally binding agreement of PMC NS and Plains Marketing enforceable against each of them in accordance with its terms; the Limited Liability Company Agreement of PMC LLC (as in effect on the date hereof and as the same may be amended or restated prior to the Closing Date, the PMC LLC Agreement) has been duly authorized, executed and delivered by Plains Marketing and is a valid and legally binding agreement of Plains Marketing, enforceable against it in accordance with its terms; the Limited Liability Company Agreement of LPG LLC (as in effect on the date hereof and as the same may be amended or restated prior to the Closing Date, the LPG LLC Agreement) has been duly authorized, executed and delivered by Plains Marketing and is a valid and legally binding agreement of Plains Marketing, enforceable against it in accordance with its terms; the Limited Liability Company Agreement of PMI GP LLC (as in effect on the date hereof and as the same may be amended or restated prior to the Closing Date, the PMI GP LLC Agreement) has been duly authorized,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executed and delivered by Plains Marketing and is a valid and legally binding agreement of Plains Marketing, enforceable against it in accordance with its terms; the agreement of limited partnership of LPG Services LP (as in effect on the date hereof and as the same may be amended or restated prior to the Closing Date, the LPG Services LP Partnership Agreement) is a valid and legally binding agreement of LPG LLC and Plains Marketing, enforceable against each of them in accordance with its terms; the agreement of limited partnership of LPG Marketing LP (as in effect on the date hereof and as the same may be amended or restated prior to the Closing Date, the LPG Marketing LP Partnership Agreement) is a valid and legally binding agreement of LPG LLC and Plains Marketing, enforceable against each of them in accordance with its terms; the agreement of limited partnership of PMI LP (as in effect on the date hereof and as the same may be amended or restated prior to the Closing Date, the PMI LP Partnership Agreement) is a valid and legally binding agreement of PMI GP LLC and Plains Marketing, enforceable against each of them in accordance with its terms; the Limited Liability Company Agreement of Lone Star (as in effect on the date hereof and as the same may be amended or restated prior to the Closing Date, the Lone Star LLC Agreement) has been duly authorized, executed and delivered by LPG Services LP and is a valid and legally binding agreement of LPG Services LP, enforceable against it in accordance with its terms; and the Limited Liability Company Agreement of the Joint Venture (as in effect on the date hereof and as the same may be amended or restated prior to the Closing Date, the Gas Storage LLC Agreement) has been duly authorized, executed and delivered by the Partnership and, assuming due authorization, execution and deliver by the other parties, thereto, is a valid and legally binding agreement of the Partnership, enforceable against it in accordance with its terms; </w:t>
      </w:r>
      <w:r>
        <w:rPr>
          <w:rFonts w:ascii="Times New Roman;Times;serif" w:hAnsi="Times New Roman;Times;serif"/>
          <w:sz w:val="17"/>
          <w:u w:val="single"/>
        </w:rPr>
        <w:t>provided</w:t>
      </w:r>
      <w:r>
        <w:rPr>
          <w:rFonts w:ascii="Times New Roman;Times;serif" w:hAnsi="Times New Roman;Times;serif"/>
          <w:sz w:val="17"/>
        </w:rPr>
        <w:t xml:space="preserve"> that, with respect to each such agreement,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w:t>
      </w:r>
    </w:p>
    <w:p>
      <w:pPr>
        <w:pStyle w:val="TextBody"/>
        <w:spacing w:before="120" w:after="283"/>
        <w:jc w:val="left"/>
        <w:rPr/>
      </w:pPr>
      <w:r>
        <w:rPr/>
        <w:t>     </w:t>
      </w:r>
      <w:r>
        <w:rPr>
          <w:rFonts w:ascii="Times New Roman;Times;serif" w:hAnsi="Times New Roman;Times;serif"/>
          <w:sz w:val="17"/>
        </w:rPr>
        <w:t xml:space="preserve">(v) None of the offering, issuance and sale by the Issuers of the Securities, the issuance of the Exchange Securities, the execution, delivery and performance of this Agreement by the Plains Parties, the consummation of the transactions contemplated hereby, the execution, delivery and performance of the Indenture and the Registration Rights Agreements by the Plains Parties which are parties thereto or the consummation of the transactions contemplated thereby (i) conflicts or will conflict with or constitutes or will constitute a violation of the agreement or certificate of limited partnership, limited liability company agreement, certificate of formation, certificate or articles of incorporation, bylaws or other similar organizational documents (in each case as in effect on the date hereof and as the same may be amended or restated prior to the Closing Date) (Organizational Documents) of any of the Plains Parties, (ii) conflicts or will conflict with or constitutes or will constitute a breach or violation of, a change of control or a default under (or an event which, with notice or lapse of time or both, would constitute such an event), any indenture, mortgage, deed of trust, loan agreement, lease or other agreement or instrument to which any of the Plains Parties is a party or by which any of them or any of their respective properties may be bound, (iii) violates or will violate any statute, law or regulation or any order, judgment, decree or injunction of any court or governmental agency or body directed to any of the Plains Parties or any of their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properties in a proceeding to which any of them or their property is a party or (iv) will result in the creation or imposition of any lien, charge or encumbrance upon any property or assets of any of the Plains Parties or the Joint Venture, which conflicts, breaches, violations or defaults, in the case of clauses (ii), (iii) or (iv), would have a material adverse effect upon the condition (financial or other), business, prospects, properties, net worth or results of operations of the Partnership, the Subsidiaries and the Joint Venture, taken as a whole. </w:t>
      </w:r>
    </w:p>
    <w:p>
      <w:pPr>
        <w:pStyle w:val="TextBody"/>
        <w:spacing w:before="120" w:after="283"/>
        <w:jc w:val="left"/>
        <w:rPr/>
      </w:pPr>
      <w:r>
        <w:rPr/>
        <w:t>     </w:t>
      </w:r>
      <w:r>
        <w:rPr>
          <w:rFonts w:ascii="Times New Roman;Times;serif" w:hAnsi="Times New Roman;Times;serif"/>
          <w:sz w:val="17"/>
        </w:rPr>
        <w:t xml:space="preserve">(w) No permit, consent, approval, authorization, order, registration, filing or qualification of or with any court, governmental agency or body is required in connection with the offering, issuance and sale by the Issuers of the Securities, the issuance of the Exchange Securities, the execution, delivery and performance of this Agreement by the Plains Parties, the consummation of the transactions contemplated hereby, the execution, delivery and performance of the Indenture and the Registration Rights Agreements by the Plains Parties which are parties thereto or the consummation of the transactions contemplated thereby, except for such permits, consents, approvals and similar authorizations as will be obtained pursuant to the Registration Rights Agreements, under the Act and the Trust Indenture Act, and as may be required under the Exchange Act and state securities or Blue Sky laws. </w:t>
      </w:r>
    </w:p>
    <w:p>
      <w:pPr>
        <w:pStyle w:val="TextBody"/>
        <w:spacing w:before="120" w:after="283"/>
        <w:jc w:val="left"/>
        <w:rPr/>
      </w:pPr>
      <w:r>
        <w:rPr/>
        <w:t>     </w:t>
      </w:r>
      <w:r>
        <w:rPr>
          <w:rFonts w:ascii="Times New Roman;Times;serif" w:hAnsi="Times New Roman;Times;serif"/>
          <w:sz w:val="17"/>
        </w:rPr>
        <w:t xml:space="preserve">(x) None of the Plains Parties is in (i) violation of its Organizational Documents, or of any law, statute, ordinance, administrative or governmental rule or regulation applicable to it or of any decree of any court or governmental agency or body having jurisdiction over it or (ii) breach, default (or an event which, with notice or lapse of time or both, would constitute such an event) or violation in the performance of any obligation, agreement or condition contained in any bond, debenture, note or any other evidence of indebtedness or in any agreement, indenture, lease or other instrument to which it is a party or by which it or any of its properties may be bound, which breach, default or violation would, if continued, have a material adverse effect on the condition (financial or other), business, prospects, properties, net worth or results of operations of the Partnership, the Subsidiaries and the Joint Venture, taken as a whole, or could materially impair the ability of any of the Plains Parties to perform its obligations under this Agreement. To the knowledge of the Plains Parties, no third party to any indenture, mortgage, deed of trust, loan agreement or other agreement or instrument to which any of the Plains Parties is a party or by which any of them is bound or to which any of their properties are subject, is in default under any such agreement, which breach, default or violation would, if continued, have a material adverse effect on the condition (financial or other), business, prospects, properties, net worth or results of operations of the Partnership, the Subsidiaries and the Joint Venture, taken as a whole. </w:t>
      </w:r>
    </w:p>
    <w:p>
      <w:pPr>
        <w:pStyle w:val="TextBody"/>
        <w:spacing w:before="120" w:after="283"/>
        <w:jc w:val="left"/>
        <w:rPr/>
      </w:pPr>
      <w:r>
        <w:rPr/>
        <w:t>     </w:t>
      </w:r>
      <w:r>
        <w:rPr>
          <w:rFonts w:ascii="Times New Roman;Times;serif" w:hAnsi="Times New Roman;Times;serif"/>
          <w:sz w:val="17"/>
        </w:rPr>
        <w:t xml:space="preserve">(y) The accountants, PricewaterhouseCoopers LLP, who have certified or shall certify the audited financial statements included or incorporated by reference in the Offering Memorandum (or any amendment or supplement thereto), are independent registered public accountants with respect to the Plains Parties as required by the Act and the applicable published rules and regulations thereunder.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(z) At June 30, 2006, the Partnership would have had, on an as adjusted basis as indicated in the Offering Memorandum (and any amendment or supplement thereto), a total capitalization as set forth therein. The financial statements (including the related notes and supporting schedules) and other financial information included or incorporated by reference in the Offering Memorandum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Offering Memorandum (and any amendment or supplement thereto) is accurately presented in all material respects and prepared on a basis consistent with the audited and unaudited historical consolidated financial statements from which it has been derived, except as described therein. The pro forma financial statements and other pro forma financial information included or incorporated by reference in the Offering Memorandum (and any amendment or supplement thereto) (i) 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included or incorporated by reference in the Offering Memorandum (and any amendment or supplement thereto) are reasonable, and the adjustments used therein are appropriate to give effect to the transactions or circumstances referred to therein. The Partnership and the Subsidiaries do not have any material liabilities or obligations, direct or contingent (including any off-balance sheet obligations), not disclosed in the Offering Memorandum. Since March 28, 2003, the Partnership has complied in all material respects with Regulation G of the Exchange Act and Item 10 of Regulation S-K of the Act, as applicable, in connection with the Offering Memorandum and filings made by the Partnership with the Commission. </w:t>
      </w:r>
    </w:p>
    <w:p>
      <w:pPr>
        <w:pStyle w:val="TextBody"/>
        <w:spacing w:before="120" w:after="283"/>
        <w:jc w:val="left"/>
        <w:rPr/>
      </w:pPr>
      <w:r>
        <w:rPr/>
        <w:t>     </w:t>
      </w:r>
      <w:r>
        <w:rPr>
          <w:rFonts w:ascii="Times New Roman;Times;serif" w:hAnsi="Times New Roman;Times;serif"/>
          <w:sz w:val="17"/>
        </w:rPr>
        <w:t xml:space="preserve">(aa) Except as disclosed in the Offering Memorandum (or any amendment or supplement thereto), subsequent to the respective dates as of which such information is given in the Offering Memorandum (and any amendment or supplement thereto), (i) none of the Plains Parties has incurred any liability or obligation, indirect, direct or contingent, or entered into any transactions, not in the ordinary course of business, that, singly or in the aggregate, is material to the Plains Parties, taken as a whole, (ii) there has not been any material change in the capitalization, or material increase in the short-term debt or long-term debt, of the Plains Parties and (iii) there has not been any material adverse change, or any development involving or which may reasonably be expected to involve, singly or in the aggregate, a prospective material adverse change in the condition (financial or other), business, prospects, properties, net worth or results of operations of the Plains Parties, taken as a whole. </w:t>
      </w:r>
    </w:p>
    <w:p>
      <w:pPr>
        <w:pStyle w:val="TextBody"/>
        <w:spacing w:before="120" w:after="283"/>
        <w:jc w:val="left"/>
        <w:rPr/>
      </w:pPr>
      <w:r>
        <w:rPr/>
        <w:t>     </w:t>
      </w:r>
      <w:r>
        <w:rPr>
          <w:rFonts w:ascii="Times New Roman;Times;serif" w:hAnsi="Times New Roman;Times;serif"/>
          <w:sz w:val="17"/>
        </w:rPr>
        <w:t xml:space="preserve">(bb) The Plains Parties have good and indefeasible title to all real property and good title to all personal property described in the Offering Memorandum as being owned by them, free and clear of all liens, claims, security interests or other encumbrances except (i) as provided in the Restated Credit Facility (Uncommitted Senior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Secured Discretionary Contango Facility) dated November 19, 2004 (as amended, the Contango Credit Agreement) among Plains Marketing, Bank of America, N.A., as administrative agent thereunder and the lenders from time to time party thereto, described in the Offering Memorandum and (ii) such as do not materially interfere with the use of such properties taken as a whole as described in the Offering Memorandum; and all real property and buildings held under lease by any of the Plains Parties are held under valid and subsisting and enforceable leases with such exceptions as do not materially interfere with the use of such properties taken as a whole as described in the Offering Memorandum. </w:t>
      </w:r>
    </w:p>
    <w:p>
      <w:pPr>
        <w:pStyle w:val="TextBody"/>
        <w:spacing w:before="120" w:after="283"/>
        <w:jc w:val="left"/>
        <w:rPr/>
      </w:pPr>
      <w:r>
        <w:rPr/>
        <w:t>     </w:t>
      </w:r>
      <w:r>
        <w:rPr>
          <w:rFonts w:ascii="Times New Roman;Times;serif" w:hAnsi="Times New Roman;Times;serif"/>
          <w:sz w:val="17"/>
        </w:rPr>
        <w:t xml:space="preserve">(cc) Each of the Plains Parties has such permits, consents, licenses, franchises, certificates and authorizations of governmental or regulatory authorities (permits) as are necessary to own its properties and to conduct its business in the manner described in the Offering Memorandum, subject to such qualifications as may be set forth in the Offering Memorandum and except for such permits the failure of which to have obtained would not have, individually or in the aggregate, a material adverse effect upon the ability of the Partnership, the Subsidiaries and the Joint Venture considered as a whole to conduct their businesses in all material respects as currently conducted and as contemplated by the Offering Memorandum to be conducted; each of the Plains Parties has fulfilled and performed all of its material obligations with respect to such permits and no event has occurred which allows, or after notice or lapse of time would allow, revocation or termination thereof or results in any impairment of the rights of the holder of any such permit, except for such failures to perform, revocations, terminations and impairments that would not have a material adverse effect upon the ability of the Partnership, the Subsidiaries and the Joint Venture considered as a whole to conduct their businesses in all material respects as currently conducted and as contemplated by the Offering Memorandum to be conducted, subject in each case to such qualification as may be set forth in the Offering Memorandum; and, except as described in the Offering Memorandum, none of such permits contains any restriction that is materially burdensome to the Plains Parties considered as a whole. </w:t>
      </w:r>
    </w:p>
    <w:p>
      <w:pPr>
        <w:pStyle w:val="TextBody"/>
        <w:spacing w:before="120" w:after="283"/>
        <w:jc w:val="left"/>
        <w:rPr/>
      </w:pPr>
      <w:r>
        <w:rPr/>
        <w:t>     </w:t>
      </w:r>
      <w:r>
        <w:rPr>
          <w:rFonts w:ascii="Times New Roman;Times;serif" w:hAnsi="Times New Roman;Times;serif"/>
          <w:sz w:val="17"/>
        </w:rPr>
        <w:t xml:space="preserve">(dd) Each of the Plains Parties has such consents, easements, rights-of-way or licenses from any person (rights-of-way) as are necessary to conduct its business in the manner described in the Offering Memorandum, subject to such qualifications as may be set forth in the Offering Memorandum and except for such rights-of-way the failure of which to have obtained would not have, individually or in the aggregate, a material adverse effect upon the ability of the Partnership, the Subsidiaries and the Joint Venture considered as a whole to conduct their businesses in all material respects as currently conducted and as contemplated by the Offering Memorandum to be conducted; each of the Plains Parties has fulfilled and performed all its material obligations with respect to such rights-of-way and no event has occurred which allows, or after notice or lapse of time would allow, revocation or termination thereof or would result in any impairment of the rights of the holder of any such rights-of-way, except for such failures to perform, revocations, terminations and impairments that will not have a material adverse effect upon the ability of the Partnership, the Subsidiaries and the Joint Venture considered as a whole to conduct their businesses in all material respects as currently conducted and as contemplated by the Offering Memorandum to be conducted, subject in each case to such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qualification as may be set forth in the Final Offering Memorandum; and, except as described in the Offering Memorandum, none of such rights-of-way contains any restriction that is materially burdensome to the Plains Parties considered as a whole. </w:t>
      </w:r>
    </w:p>
    <w:p>
      <w:pPr>
        <w:pStyle w:val="TextBody"/>
        <w:spacing w:before="120" w:after="283"/>
        <w:jc w:val="left"/>
        <w:rPr/>
      </w:pPr>
      <w:r>
        <w:rPr/>
        <w:t>     </w:t>
      </w:r>
      <w:r>
        <w:rPr>
          <w:rFonts w:ascii="Times New Roman;Times;serif" w:hAnsi="Times New Roman;Times;serif"/>
          <w:sz w:val="17"/>
        </w:rPr>
        <w:t xml:space="preserve">(ee) None of the Plains Parties is now, and after sale of the Securities to be sold by the Issuers hereunder and application of the net proceeds from such sale as described in the Offering Memorandum under the caption Use of Proceeds, none of the Plains Parties will be, (i) an investment company or a company controlled by an investment company within the meaning of the Investment Company Act, (ii) a gas utility, within the meaning of Tex. Util. Code § 121.001 or (iii) a public utility or utility within the meaning of the Public Utility Regulatory Act of Texas or under similar laws of any state in which any such Plains Party does business; other than in respect of any subsidiary of Pacific Energy Partners, L.P. that is under the jurisdiction of the California Public Utilities Commission. </w:t>
      </w:r>
    </w:p>
    <w:p>
      <w:pPr>
        <w:pStyle w:val="TextBody"/>
        <w:spacing w:before="120" w:after="283"/>
        <w:jc w:val="left"/>
        <w:rPr/>
      </w:pPr>
      <w:r>
        <w:rPr/>
        <w:t>     </w:t>
      </w:r>
      <w:r>
        <w:rPr>
          <w:rFonts w:ascii="Times New Roman;Times;serif" w:hAnsi="Times New Roman;Times;serif"/>
          <w:sz w:val="17"/>
        </w:rPr>
        <w:t xml:space="preserve">(ff) None of the Plains Parties has sustained since the date of the latest audited financial statements included in the Offering Memorandum any material loss or interference with its business from fire, explosion, flood or other calamity whether or not covered by insurance, or from any labor dispute or court or governmental action, investigation, order or decree, otherwise than as set forth or contemplated in the Offering Memorandum. </w:t>
      </w:r>
    </w:p>
    <w:p>
      <w:pPr>
        <w:pStyle w:val="TextBody"/>
        <w:spacing w:before="120" w:after="283"/>
        <w:jc w:val="left"/>
        <w:rPr/>
      </w:pPr>
      <w:r>
        <w:rPr/>
        <w:t>     </w:t>
      </w:r>
      <w:r>
        <w:rPr>
          <w:rFonts w:ascii="Times New Roman;Times;serif" w:hAnsi="Times New Roman;Times;serif"/>
          <w:sz w:val="17"/>
        </w:rPr>
        <w:t xml:space="preserve">(gg) Except as described in the Offering Memorandum, none of the Plains Parties has violated any environmental, safety, health or similar law or regulation applicable to its business relating to the protection of human health and safety, the environment or hazardous or toxic substances or wastes, pollutants or contaminants (Environmental Laws), or lacks any permits, licenses or other approvals required of them under applicable Environmental Laws to own, lease or operate their properties and conduct their business as described in the Offering Memorandum or is violating any terms and conditions of any such permit, license or approval, which in each case would have a material adverse effect on the condition (financial or other), business, prospects, properties, net worth or results of operations of the Partnership, the Subsidiaries and the Joint Venture, taken as a whole. </w:t>
      </w:r>
    </w:p>
    <w:p>
      <w:pPr>
        <w:pStyle w:val="TextBody"/>
        <w:spacing w:before="120" w:after="283"/>
        <w:jc w:val="left"/>
        <w:rPr/>
      </w:pPr>
      <w:r>
        <w:rPr/>
        <w:t>     </w:t>
      </w:r>
      <w:r>
        <w:rPr>
          <w:rFonts w:ascii="Times New Roman;Times;serif" w:hAnsi="Times New Roman;Times;serif"/>
          <w:sz w:val="17"/>
        </w:rPr>
        <w:t xml:space="preserve">(hh) No labor dispute by the employees of any of the Plains Parties exists or, to the knowledge of the Plains Parties, is imminent, which might reasonably be expected to have a material adverse effect on the condition (financial or other), business, prospects, properties, net worth or results of operations of the Partnership, the Subsidiaries and the Joint Venture, taken as a whole. </w:t>
      </w:r>
    </w:p>
    <w:p>
      <w:pPr>
        <w:pStyle w:val="TextBody"/>
        <w:spacing w:before="120" w:after="283"/>
        <w:jc w:val="left"/>
        <w:rPr/>
      </w:pPr>
      <w:r>
        <w:rPr/>
        <w:t>     </w:t>
      </w:r>
      <w:r>
        <w:rPr>
          <w:rFonts w:ascii="Times New Roman;Times;serif" w:hAnsi="Times New Roman;Times;serif"/>
          <w:sz w:val="17"/>
        </w:rPr>
        <w:t xml:space="preserve">(ii) The Plains Parties maintain insurance covering their properties, operations, personnel and businesses against such losses and risks as are reasonably adequate to protect them and their businesses in a manner consistent with other businesses similarly situated. None of the Plains Parties has received notice from any insurer or agent of such insurer that substantial capital improvements or other expenditures will have to be made in order to continue such insurance, and all such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insurance is outstanding and duly in force on the date hereof and will be outstanding and duly in force on the Closing Date. </w:t>
      </w:r>
    </w:p>
    <w:p>
      <w:pPr>
        <w:pStyle w:val="TextBody"/>
        <w:spacing w:before="120" w:after="283"/>
        <w:jc w:val="left"/>
        <w:rPr/>
      </w:pPr>
      <w:r>
        <w:rPr/>
        <w:t>     </w:t>
      </w:r>
      <w:r>
        <w:rPr>
          <w:rFonts w:ascii="Times New Roman;Times;serif" w:hAnsi="Times New Roman;Times;serif"/>
          <w:sz w:val="17"/>
        </w:rPr>
        <w:t xml:space="preserve">(jj) Except as described in the Offering Memorandum, there is (i) no action, suit or proceeding before or by any court, arbitrator or governmental agency, body or official, domestic or foreign, now pending or, to the knowledge of the Plains Parties, threatened, to which any of the Plains Parties, or any of their respective subsidiaries, is or may be a party or to which the business or property of any of the Plains Parties, or any of their respective subsidiaries, is or may be subject, (ii) no statute, rule, regulation or order that has been enacted, adopted or issued by any governmental agency or, to the knowledge of the Plains Parties, that has been proposed by any governmental body and (iii) no injunction, restraining order or order of any nature issued by a federal or state court or foreign court of competent jurisdiction to which any of the Plains Parties, or any of their respective subsidiaries, is or may be subject, that, in the case of clauses (i), (ii) and (iii) above, is reasonably expected to (A) singly or in the aggregate have a material adverse effect on the condition (financial or other), business, prospects, properties, net worth or results of operations of the Partnership, the Subsidiaries and the Joint Venture, taken as a whole, (B) prevent or result in the suspension of the offering and issuance of the Securities or prevent the issuance of the Exchange Securities or (C) challenge the validity of this Agreement, the Indenture, the Securities, the Exchange Securities or the Registration Rights Agreements. </w:t>
      </w:r>
    </w:p>
    <w:p>
      <w:pPr>
        <w:pStyle w:val="TextBody"/>
        <w:spacing w:before="120" w:after="283"/>
        <w:jc w:val="left"/>
        <w:rPr/>
      </w:pPr>
      <w:r>
        <w:rPr/>
        <w:t>     </w:t>
      </w:r>
      <w:r>
        <w:rPr>
          <w:rFonts w:ascii="Times New Roman;Times;serif" w:hAnsi="Times New Roman;Times;serif"/>
          <w:sz w:val="17"/>
        </w:rPr>
        <w:t xml:space="preserve">(kk) No Subsidiary is currently prohibited, directly or indirectly, from paying any dividends to the Partnership, from making any other distribution on such Subsidiarys capital stock or partnership or limited liability company interests, from repaying to the Partnership any loans or advances to such Subsidiary from the Partnership or from transferring any of such Subsidiarys property or assets to the Partnership or any other Subsidiary of the Partnership, except as described in or contemplated by the Offering Memorandum (exclusive of any amendment or supplement thereto). </w:t>
      </w:r>
    </w:p>
    <w:p>
      <w:pPr>
        <w:pStyle w:val="TextBody"/>
        <w:spacing w:before="120" w:after="283"/>
        <w:jc w:val="left"/>
        <w:rPr/>
      </w:pPr>
      <w:r>
        <w:rPr/>
        <w:t>     </w:t>
      </w:r>
      <w:r>
        <w:rPr>
          <w:rFonts w:ascii="Times New Roman;Times;serif" w:hAnsi="Times New Roman;Times;serif"/>
          <w:sz w:val="17"/>
        </w:rPr>
        <w:t xml:space="preserve">(ll) The Partnership, each of the Subsidiaries and the Joint Venture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w:t>
      </w:r>
    </w:p>
    <w:p>
      <w:pPr>
        <w:pStyle w:val="TextBody"/>
        <w:spacing w:before="120" w:after="283"/>
        <w:jc w:val="left"/>
        <w:rPr/>
      </w:pPr>
      <w:r>
        <w:rPr/>
        <w:t>     </w:t>
      </w:r>
      <w:r>
        <w:rPr>
          <w:rFonts w:ascii="Times New Roman;Times;serif" w:hAnsi="Times New Roman;Times;serif"/>
          <w:sz w:val="17"/>
        </w:rPr>
        <w:t xml:space="preserve">(mm) The Partnership and, to the knowledge of the Plains Parties, the directors and officers of GP LLC in their capacities as such, are in compliance in all material respects with all applicable and effective provisions of the Sarbanes-Oxley Act of 2002 and the rules and regulations promulgated thereunder. </w:t>
      </w:r>
    </w:p>
    <w:p>
      <w:pPr>
        <w:pStyle w:val="TextBody"/>
        <w:spacing w:before="120" w:after="283"/>
        <w:jc w:val="left"/>
        <w:rPr/>
      </w:pPr>
      <w:r>
        <w:rPr/>
        <w:t>          </w:t>
      </w:r>
      <w:r>
        <w:rPr>
          <w:rFonts w:ascii="Times New Roman;Times;serif" w:hAnsi="Times New Roman;Times;serif"/>
          <w:sz w:val="17"/>
        </w:rPr>
        <w:t xml:space="preserve">Any certificate signed by any officer of the Plains Parties and delivered to the Initial Purchasers or counsel for the Initial Purchasers in connection with the offering of the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Securities shall be deemed a representation and warranty by the Plains Parties, as to matters covered thereby, to the Initial Purchasers. </w:t>
      </w:r>
    </w:p>
    <w:p>
      <w:pPr>
        <w:pStyle w:val="TextBody"/>
        <w:spacing w:before="120" w:after="283"/>
        <w:jc w:val="left"/>
        <w:rPr/>
      </w:pPr>
      <w:r>
        <w:rPr/>
        <w:t>          </w:t>
      </w:r>
      <w:r>
        <w:rPr>
          <w:rFonts w:ascii="Times New Roman;Times;serif" w:hAnsi="Times New Roman;Times;serif"/>
          <w:sz w:val="17"/>
        </w:rPr>
        <w:t xml:space="preserve">2. </w:t>
      </w:r>
      <w:r>
        <w:rPr>
          <w:rFonts w:ascii="Times New Roman;Times;serif" w:hAnsi="Times New Roman;Times;serif"/>
          <w:sz w:val="17"/>
          <w:u w:val="single"/>
        </w:rPr>
        <w:t>Purchase and Sale</w:t>
      </w:r>
      <w:r>
        <w:rPr>
          <w:rFonts w:ascii="Times New Roman;Times;serif" w:hAnsi="Times New Roman;Times;serif"/>
          <w:sz w:val="17"/>
        </w:rPr>
        <w:t xml:space="preserve">. Subject to the terms and conditions and in reliance upon the representations and warranties herein set forth, the Issuers agree to sell to each Initial Purchaser, and each Initial Purchaser severally agrees to purchase from the Issuers the principal amount of the 2017 Securities set forth opposite such Initial Purchasers name on Schedule 1 hereto at a purchase price of 98.912% of the principal amount thereof and the principal amount of the 2037 Securities set forth opposite such Initial Purchasers name on Schedule 1 hereto at a purchase price of 98.296% of the principal amount thereof, plus, in each case, accrued interest, if any, from October 30, 2006, if closing occurs after such date. </w:t>
      </w:r>
    </w:p>
    <w:p>
      <w:pPr>
        <w:pStyle w:val="TextBody"/>
        <w:spacing w:before="120" w:after="283"/>
        <w:jc w:val="left"/>
        <w:rPr/>
      </w:pPr>
      <w:r>
        <w:rPr/>
        <w:t>          </w:t>
      </w:r>
      <w:r>
        <w:rPr>
          <w:rFonts w:ascii="Times New Roman;Times;serif" w:hAnsi="Times New Roman;Times;serif"/>
          <w:sz w:val="17"/>
        </w:rPr>
        <w:t xml:space="preserve">3. </w:t>
      </w:r>
      <w:r>
        <w:rPr>
          <w:rFonts w:ascii="Times New Roman;Times;serif" w:hAnsi="Times New Roman;Times;serif"/>
          <w:sz w:val="17"/>
          <w:u w:val="single"/>
        </w:rPr>
        <w:t>Delivery and Payment</w:t>
      </w:r>
      <w:r>
        <w:rPr>
          <w:rFonts w:ascii="Times New Roman;Times;serif" w:hAnsi="Times New Roman;Times;serif"/>
          <w:sz w:val="17"/>
        </w:rPr>
        <w:t xml:space="preserve">. Delivery of and payment for the Securities shall be made at 10:00 A.M., New York City time, on October 30, 2006, or at such time on such later date (not later than November 2, 2006,) as the Initial Purchasers shall designate, which date and time may be postponed by agreement between the Initial Purchasers and the Issuers (such date and time of delivery and payment for the Securities being herein called the Closing Date). Delivery of the Securities shall be made to the Initial Purchasers against payment by the Initial Purchasers of the purchase price thereof to or upon the order of the Issuers by wire transfer payable in same-day funds to the account specified by the Issuers. Delivery of the Securities shall be made through the facilities of The Depository Trust Company unless the Initial Purchasers shall otherwise instruct. </w:t>
      </w:r>
    </w:p>
    <w:p>
      <w:pPr>
        <w:pStyle w:val="TextBody"/>
        <w:spacing w:before="120" w:after="283"/>
        <w:jc w:val="left"/>
        <w:rPr/>
      </w:pPr>
      <w:r>
        <w:rPr/>
        <w:t>          </w:t>
      </w:r>
      <w:r>
        <w:rPr>
          <w:rFonts w:ascii="Times New Roman;Times;serif" w:hAnsi="Times New Roman;Times;serif"/>
          <w:sz w:val="17"/>
        </w:rPr>
        <w:t xml:space="preserve">4. </w:t>
      </w:r>
      <w:r>
        <w:rPr>
          <w:rFonts w:ascii="Times New Roman;Times;serif" w:hAnsi="Times New Roman;Times;serif"/>
          <w:sz w:val="17"/>
          <w:u w:val="single"/>
        </w:rPr>
        <w:t>Offering by Initial Purchasers</w:t>
      </w:r>
      <w:r>
        <w:rPr>
          <w:rFonts w:ascii="Times New Roman;Times;serif" w:hAnsi="Times New Roman;Times;serif"/>
          <w:sz w:val="17"/>
        </w:rPr>
        <w:t xml:space="preserve">. Each Initial Purchaser represents and warrants to and agrees with the Issuers that: </w:t>
      </w:r>
    </w:p>
    <w:p>
      <w:pPr>
        <w:pStyle w:val="TextBody"/>
        <w:spacing w:before="120" w:after="283"/>
        <w:jc w:val="left"/>
        <w:rPr/>
      </w:pPr>
      <w:r>
        <w:rPr/>
        <w:t>     </w:t>
      </w:r>
      <w:r>
        <w:rPr>
          <w:rFonts w:ascii="Times New Roman;Times;serif" w:hAnsi="Times New Roman;Times;serif"/>
          <w:sz w:val="17"/>
        </w:rPr>
        <w:t xml:space="preserve">(a) It has not offered or sold, and will not offer or sell, any Securities except (i) to those it reasonably believes to be qualified institutional buyers (as defined in Rule 144A under the Act) and that, in connection with each such sale, it has taken or will take reasonable steps to ensure that the purchaser of such Securities is aware that such sale is being made in reliance on Rule 144A or (ii) in accordance with the restrictions set forth in Exhibit B hereto. </w:t>
      </w:r>
    </w:p>
    <w:p>
      <w:pPr>
        <w:pStyle w:val="TextBody"/>
        <w:spacing w:before="120" w:after="283"/>
        <w:jc w:val="left"/>
        <w:rPr/>
      </w:pPr>
      <w:r>
        <w:rPr/>
        <w:t>     </w:t>
      </w:r>
      <w:r>
        <w:rPr>
          <w:rFonts w:ascii="Times New Roman;Times;serif" w:hAnsi="Times New Roman;Times;serif"/>
          <w:sz w:val="17"/>
        </w:rPr>
        <w:t xml:space="preserve">(b) Neither it nor any person acting on its behalf has made or will make offers or sales of the Securities in the United States by means of any form of general solicitation or general advertising (within the meaning of Regulation D) in the United States. </w:t>
      </w:r>
    </w:p>
    <w:p>
      <w:pPr>
        <w:pStyle w:val="TextBody"/>
        <w:spacing w:before="120" w:after="283"/>
        <w:jc w:val="left"/>
        <w:rPr/>
      </w:pPr>
      <w:r>
        <w:rPr/>
        <w:t>          </w:t>
      </w:r>
      <w:r>
        <w:rPr>
          <w:rFonts w:ascii="Times New Roman;Times;serif" w:hAnsi="Times New Roman;Times;serif"/>
          <w:sz w:val="17"/>
        </w:rPr>
        <w:t xml:space="preserve">5. </w:t>
      </w:r>
      <w:r>
        <w:rPr>
          <w:rFonts w:ascii="Times New Roman;Times;serif" w:hAnsi="Times New Roman;Times;serif"/>
          <w:sz w:val="17"/>
          <w:u w:val="single"/>
        </w:rPr>
        <w:t>Agreements</w:t>
      </w:r>
      <w:r>
        <w:rPr>
          <w:rFonts w:ascii="Times New Roman;Times;serif" w:hAnsi="Times New Roman;Times;serif"/>
          <w:sz w:val="17"/>
        </w:rPr>
        <w:t xml:space="preserve">. Each of the Plains Parties, jointly and severally, acknowledges and agrees with the Initial Purchasers that: </w:t>
      </w:r>
    </w:p>
    <w:p>
      <w:pPr>
        <w:pStyle w:val="TextBody"/>
        <w:spacing w:before="120" w:after="283"/>
        <w:jc w:val="left"/>
        <w:rPr/>
      </w:pPr>
      <w:r>
        <w:rPr/>
        <w:t>     </w:t>
      </w:r>
      <w:r>
        <w:rPr>
          <w:rFonts w:ascii="Times New Roman;Times;serif" w:hAnsi="Times New Roman;Times;serif"/>
          <w:sz w:val="17"/>
        </w:rPr>
        <w:t xml:space="preserve">(a) The Issuers will furnish to the Initial Purchasers and to counsel for the Initial Purchasers, without charge, during the period referred to in paragraph (c) below, as many copies of the Offering Memorandum and any amendments and supplements thereto as they may reasonably request. </w:t>
      </w:r>
    </w:p>
    <w:p>
      <w:pPr>
        <w:pStyle w:val="TextBody"/>
        <w:spacing w:before="120" w:after="283"/>
        <w:jc w:val="left"/>
        <w:rPr/>
      </w:pPr>
      <w:r>
        <w:rPr/>
        <w:t>     </w:t>
      </w:r>
      <w:r>
        <w:rPr>
          <w:rFonts w:ascii="Times New Roman;Times;serif" w:hAnsi="Times New Roman;Times;serif"/>
          <w:sz w:val="17"/>
        </w:rPr>
        <w:t xml:space="preserve">(b) The Issuers will not amend or supplement the Offering Memorandum, other than by filing documents under the Exchange Act that are incorporated by reference therein, without the prior written consent of the Initial Purchasers;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that, prior to the completion of the distribution of the Securities by the Initial Purchasers (as determined by the Initial Purchasers), the Issuers will not file any document under the Exchange Act that is incorporated by reference in the Offering Memorandum unless (i) prior to such proposed filing, the Issuers have furnished the Initial Purchasers with a copy of such document for their review and the Initial Purchasers have not reasonably objected to the filing of such document or (ii) the Initial Purchasers have reasonably objected and the Issuers have received advice of counsel that such filing is necessary and appropriate. The Issuers will promptly advise the Initial Purchasers when any document filed under the Exchange Act that is incorporated by reference in the Offering Memorandum shall have been filed with the Commission. </w:t>
      </w:r>
    </w:p>
    <w:p>
      <w:pPr>
        <w:pStyle w:val="TextBody"/>
        <w:spacing w:before="120" w:after="283"/>
        <w:jc w:val="left"/>
        <w:rPr/>
      </w:pPr>
      <w:r>
        <w:rPr/>
        <w:t>     </w:t>
      </w:r>
      <w:r>
        <w:rPr>
          <w:rFonts w:ascii="Times New Roman;Times;serif" w:hAnsi="Times New Roman;Times;serif"/>
          <w:sz w:val="17"/>
        </w:rPr>
        <w:t xml:space="preserve">(c) If at any time prior to the completion of the distribution of the Securities by the Initial Purchasers (as determined by the Initial Purchasers), any event occurs as a result of which the Offering Memorandum, as then amended or supplemented, would include any untrue statement of a material fact or omit to state any material fact necessary to make the statements therein, in the light of the circumstances under which they were made, not misleading, or if it should be necessary to amend or supplement the Offering Memorandum to comply with applicable law, the Issuers promptly (i) will notify the Initial Purchasers of any such event; (ii) subject to the requirements of paragraph (b) of this Section 5, will prepare an amendment or supplement that will correct such statement or omission or effect such compliance; and (iii) will supply any supplemented or amended Offering Memorandum to the Initial Purchasers and counsel for the Initial Purchasers without charge in such quantities as they may reasonably request. </w:t>
      </w:r>
    </w:p>
    <w:p>
      <w:pPr>
        <w:pStyle w:val="TextBody"/>
        <w:spacing w:before="120" w:after="283"/>
        <w:jc w:val="left"/>
        <w:rPr/>
      </w:pPr>
      <w:r>
        <w:rPr/>
        <w:t>     </w:t>
      </w:r>
      <w:r>
        <w:rPr>
          <w:rFonts w:ascii="Times New Roman;Times;serif" w:hAnsi="Times New Roman;Times;serif"/>
          <w:sz w:val="17"/>
        </w:rPr>
        <w:t xml:space="preserve">(d) The Issuers will arrange, if necessary, for the qualification of the Securities for sale by the Initial Purchasers under the laws of such jurisdictions as the Initial Purchasers may reasonably designate and will maintain such qualifications in effect so long as reasonably required for the sale of the Securities; </w:t>
      </w:r>
      <w:r>
        <w:rPr>
          <w:rFonts w:ascii="Times New Roman;Times;serif" w:hAnsi="Times New Roman;Times;serif"/>
          <w:sz w:val="17"/>
          <w:u w:val="single"/>
        </w:rPr>
        <w:t>provided</w:t>
      </w:r>
      <w:r>
        <w:rPr>
          <w:rFonts w:ascii="Times New Roman;Times;serif" w:hAnsi="Times New Roman;Times;serif"/>
          <w:sz w:val="17"/>
        </w:rPr>
        <w:t xml:space="preserve"> that in no event shall either Issuer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 The Issuers will promptly advise the Initial Purchasers of the receipt by the Issuers of any notification with respect to the suspension of the qualification of the Securities for sale in any jurisdiction or the initiation or threatening of any proceeding for such purpose. </w:t>
      </w:r>
    </w:p>
    <w:p>
      <w:pPr>
        <w:pStyle w:val="TextBody"/>
        <w:spacing w:before="120" w:after="283"/>
        <w:jc w:val="left"/>
        <w:rPr/>
      </w:pPr>
      <w:r>
        <w:rPr/>
        <w:t>     </w:t>
      </w:r>
      <w:r>
        <w:rPr>
          <w:rFonts w:ascii="Times New Roman;Times;serif" w:hAnsi="Times New Roman;Times;serif"/>
          <w:sz w:val="17"/>
        </w:rPr>
        <w:t xml:space="preserve">(e) During the period of two years after the Closing Date, none of the Plains Parties will resell any Securities that have been acquired by any of them. </w:t>
      </w:r>
    </w:p>
    <w:p>
      <w:pPr>
        <w:pStyle w:val="TextBody"/>
        <w:spacing w:before="120" w:after="283"/>
        <w:jc w:val="left"/>
        <w:rPr/>
      </w:pPr>
      <w:r>
        <w:rPr/>
        <w:t>     </w:t>
      </w:r>
      <w:r>
        <w:rPr>
          <w:rFonts w:ascii="Times New Roman;Times;serif" w:hAnsi="Times New Roman;Times;serif"/>
          <w:sz w:val="17"/>
        </w:rPr>
        <w:t xml:space="preserve">(f) None of the Plains Parties, nor any person acting on behalf of any of the Plains Parties (other than the Initial Purchasers, as to whom the Plains Parties make no representation), will, directly or indirectly, make offers or sales of any security, or solicit offers to buy any security, that is or will be integrated with the sale of the Securities in a manner that would require the registration of the Securities under the Act. </w:t>
      </w:r>
    </w:p>
    <w:p>
      <w:pPr>
        <w:pStyle w:val="TextBody"/>
        <w:spacing w:before="120" w:after="283"/>
        <w:jc w:val="left"/>
        <w:rPr/>
      </w:pPr>
      <w:r>
        <w:rPr/>
        <w:t>     </w:t>
      </w:r>
      <w:r>
        <w:rPr>
          <w:rFonts w:ascii="Times New Roman;Times;serif" w:hAnsi="Times New Roman;Times;serif"/>
          <w:sz w:val="17"/>
        </w:rPr>
        <w:t xml:space="preserve">(g) None of the Plains Parties, nor any person acting on behalf of any of the Plains Parties (other than the Initial Purchasers, as to whom the Plains Parties make no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representation), will engage in any form of general solicitation or general advertising (within the meaning of Regulation D) in connection with any offer or sale of the Securities in the United States. </w:t>
      </w:r>
    </w:p>
    <w:p>
      <w:pPr>
        <w:pStyle w:val="TextBody"/>
        <w:spacing w:before="120" w:after="283"/>
        <w:jc w:val="left"/>
        <w:rPr/>
      </w:pPr>
      <w:r>
        <w:rPr/>
        <w:t>     </w:t>
      </w:r>
      <w:r>
        <w:rPr>
          <w:rFonts w:ascii="Times New Roman;Times;serif" w:hAnsi="Times New Roman;Times;serif"/>
          <w:sz w:val="17"/>
        </w:rPr>
        <w:t xml:space="preserve">(h) So long as any of the Securities are restricted securities within the meaning of Rule 144(a)(3) under the Act, the Issuers will, during any period in which they are not subject to and in compliance with Section 13 or 15(d) of the Exchange Act or they are not exempt from such reporting requirements pursuant to and in compliance with Rule 12g3-2(b) under the Exchange Act, provide to each holder of such restricted securities and to each prospective purchaser (as designated by such holder) of such restricted securities, upon the request of such holder or prospective purchaser, any information required to be provided by Rule 144A(d)(4) under the Act. This covenant is intended to be for the benefit of the holders, and the prospective purchasers designated by such holders, from time to time of such restricted securities. The information provided by the Issuers pursuant to this Section 5(h) will not, at the date thereof, contain any untrue statement of a material fact or omit to state any material fact necessary to make the statements therein, in the light of the circumstances under which they were made, not misleading. </w:t>
      </w:r>
    </w:p>
    <w:p>
      <w:pPr>
        <w:pStyle w:val="TextBody"/>
        <w:spacing w:before="120" w:after="283"/>
        <w:jc w:val="left"/>
        <w:rPr/>
      </w:pPr>
      <w:r>
        <w:rPr/>
        <w:t>     </w:t>
      </w:r>
      <w:r>
        <w:rPr>
          <w:rFonts w:ascii="Times New Roman;Times;serif" w:hAnsi="Times New Roman;Times;serif"/>
          <w:sz w:val="17"/>
        </w:rPr>
        <w:t xml:space="preserve">(i) None of the Plains Parties, nor any person acting on behalf of any of the Plains Parties (other than the Initial Purchasers, as to whom the Plains Parties make no representation), will engage in any directed selling efforts with respect to the Securities, and each of them will comply with the offering restrictions requirement of Regulation S. Terms used in this paragraph have the meanings given to them by Regulation S. </w:t>
      </w:r>
    </w:p>
    <w:p>
      <w:pPr>
        <w:pStyle w:val="TextBody"/>
        <w:spacing w:before="120" w:after="283"/>
        <w:jc w:val="left"/>
        <w:rPr/>
      </w:pPr>
      <w:r>
        <w:rPr/>
        <w:t>     </w:t>
      </w:r>
      <w:r>
        <w:rPr>
          <w:rFonts w:ascii="Times New Roman;Times;serif" w:hAnsi="Times New Roman;Times;serif"/>
          <w:sz w:val="17"/>
        </w:rPr>
        <w:t xml:space="preserve">(j) The Issuers will cooperate with and assist the Initial Purchasers to permit the Securities to be eligible for clearance and settlement through The Depository Trust Company. </w:t>
      </w:r>
    </w:p>
    <w:p>
      <w:pPr>
        <w:pStyle w:val="TextBody"/>
        <w:spacing w:before="120" w:after="283"/>
        <w:jc w:val="left"/>
        <w:rPr/>
      </w:pPr>
      <w:r>
        <w:rPr/>
        <w:t>     </w:t>
      </w:r>
      <w:r>
        <w:rPr>
          <w:rFonts w:ascii="Times New Roman;Times;serif" w:hAnsi="Times New Roman;Times;serif"/>
          <w:sz w:val="17"/>
        </w:rPr>
        <w:t xml:space="preserve">(k) The Plains Parties will not, for a period 60 days following the Execution Time, without the prior written consent of the Initial Purchasers, offer, sell or contract to sell, pledge or otherwise dispose of (or enter into any transaction which is designed to, or might reasonably be expected to, result in the disposition (whether by actual disposition or effective economic disposition due to cash settlement or otherwise) by any of the Plains Parties or any person in privity with the Plains Parties), directly or indirectly, or announce the offering of, any U.S. dollar-denominated debt securities registered under the Act or eligible for trading pursuant to Rule 144A issued or guaranteed by the Plains Parties (other than the Securities), except the issuance of the Exchange Securities, the issuance of $250,000,000 principal amount of 6.70% Senior Notes due 2036 pursuant to the Issuers Registration Statement on Form S-4 (Registration No. 333-136925), as amended, and borrowings under the Second Amended and Restated Credit Agreement [US/Canada Facilities] dated July 31, 2006 (as amended, the Revolving Agreement) among the Partnership, PMC NS, PMC LP, as borrowers thereunder, Bank of America, N.A., as administrative agent thereunder, Bank of America, N.A., acting through its Canada Branch, as Canadian administrative agent thereunder, and various other agents thereunder and lenders from time to time party thereto, the Interim 364-Day Credit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Agreement among the Partnership, JPMorgan Chase Bank, N.A., as administrative agent, and the lenders named therein and/or the Contango Credit Agreement. </w:t>
      </w:r>
    </w:p>
    <w:p>
      <w:pPr>
        <w:pStyle w:val="TextBody"/>
        <w:spacing w:before="120" w:after="283"/>
        <w:jc w:val="left"/>
        <w:rPr/>
      </w:pPr>
      <w:r>
        <w:rPr/>
        <w:t>     </w:t>
      </w:r>
      <w:r>
        <w:rPr>
          <w:rFonts w:ascii="Times New Roman;Times;serif" w:hAnsi="Times New Roman;Times;serif"/>
          <w:sz w:val="17"/>
        </w:rPr>
        <w:t xml:space="preserve">(l) None of the Plains Parties, nor any person acting on its or their behalf, will take, directly or indirectly, any action designed to or which has constituted or which might reasonably be expected to cause or result, under the Exchange Act or otherwise, in stabilization or manipulation of the price of any security of the Issuers to facilitate the sale or resale of the Securities. </w:t>
      </w:r>
    </w:p>
    <w:p>
      <w:pPr>
        <w:pStyle w:val="TextBody"/>
        <w:spacing w:before="120" w:after="283"/>
        <w:jc w:val="left"/>
        <w:rPr/>
      </w:pPr>
      <w:r>
        <w:rPr/>
        <w:t>     </w:t>
      </w:r>
      <w:r>
        <w:rPr>
          <w:rFonts w:ascii="Times New Roman;Times;serif" w:hAnsi="Times New Roman;Times;serif"/>
          <w:sz w:val="17"/>
        </w:rPr>
        <w:t xml:space="preserve">(m) The Issuers agree to pay the costs and expenses relating to the following matters: (i) the issuance of the Securities and the fees of the Trustee; (ii) the preparation, printing or reproduction of the Offering Memorandum and each amendment or supplement thereto; (iii) the printing (or reproduction) and delivery (including postage, air freight charges and charges for counting and packaging) of such copies of the Final Offering Memorandum, and all amendments or supplements thereto, as may be reasonably requested for use in connection with the offering and sale of the Securities; (iv) the preparation, printing, authentication, issuance and delivery of certificates for the Securities, including any stamp or transfer taxes in connection with the original issuance and sale of the Securities; (v) the printing (or reproduction) and delivery of this Agreement, any blue sky memorandum and all other agreements or documents printed (or reproduced) and delivered in connection with the offering of the Securities (including, without limitation, the Indenture and the Registration Rights Agreements); (vi) any registration or qualification of the Securities for offer and sale under the securities or blue sky laws of the several states as provided in Section 5(d) hereof (including filing fees and the reasonable fees and expenses of counsel for the Initial Purchasers relating to such registration and qualification); (vii) if required, admitting the Securities for trading in the PORTAL Market; (viii) the transportation and other expenses incurred by or on behalf of the Issuers representatives in connection with presentations to prospective purchasers of the Securities; (ix) the fees and expenses of the Issuers accountants and the fees and expenses of counsel (including local and special counsel) for the Issuers; and (x) all other costs and expenses incident to the performance by the Issuers of their obligations hereunder. </w:t>
      </w:r>
    </w:p>
    <w:p>
      <w:pPr>
        <w:pStyle w:val="TextBody"/>
        <w:spacing w:before="120" w:after="283"/>
        <w:jc w:val="left"/>
        <w:rPr/>
      </w:pPr>
      <w:r>
        <w:rPr/>
        <w:t>     </w:t>
      </w:r>
      <w:r>
        <w:rPr>
          <w:rFonts w:ascii="Times New Roman;Times;serif" w:hAnsi="Times New Roman;Times;serif"/>
          <w:sz w:val="17"/>
        </w:rPr>
        <w:t xml:space="preserve">(n) Without the prior written consent of the Initial Purchasers, the Plains Parties have not given and will not give to any prospective purchaser of the Securities any written information relating to the offer and sale of the Securities, other than the Offering Memorandum. </w:t>
      </w:r>
    </w:p>
    <w:p>
      <w:pPr>
        <w:pStyle w:val="TextBody"/>
        <w:spacing w:before="120" w:after="283"/>
        <w:jc w:val="left"/>
        <w:rPr/>
      </w:pPr>
      <w:r>
        <w:rPr/>
        <w:t>          </w:t>
      </w:r>
      <w:r>
        <w:rPr>
          <w:rFonts w:ascii="Times New Roman;Times;serif" w:hAnsi="Times New Roman;Times;serif"/>
          <w:sz w:val="17"/>
        </w:rPr>
        <w:t xml:space="preserve">6. </w:t>
      </w:r>
      <w:r>
        <w:rPr>
          <w:rFonts w:ascii="Times New Roman;Times;serif" w:hAnsi="Times New Roman;Times;serif"/>
          <w:sz w:val="17"/>
          <w:u w:val="single"/>
        </w:rPr>
        <w:t>Conditions to the Obligations of the Initial Purchasers</w:t>
      </w:r>
      <w:r>
        <w:rPr>
          <w:rFonts w:ascii="Times New Roman;Times;serif" w:hAnsi="Times New Roman;Times;serif"/>
          <w:sz w:val="17"/>
        </w:rPr>
        <w:t xml:space="preserve">. The obligations of the Initial Purchasers to purchase the Securities shall be subject to the accuracy of the representations and warranties on the part of the Plains Parties contained herein at the Execution Time and the Closing Date, to the accuracy of the statements of the Plains Parties made in any certificates pursuant to the provisions hereof, to the performance by the Plains Parties of their obligations hereunder and to the following additional conditions: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(a) The Issuers shall have requested and caused Vinson &amp; Elkins L.L.P., counsel for the Issuers, to furnish to the Initial Purchasers its opinion, dated the Closing Date and addressed to the Initial Purchasers, to the effect that: </w:t>
      </w:r>
    </w:p>
    <w:p>
      <w:pPr>
        <w:pStyle w:val="TextBody"/>
        <w:spacing w:before="120" w:after="283"/>
        <w:jc w:val="left"/>
        <w:rPr/>
      </w:pPr>
      <w:r>
        <w:rPr/>
        <w:t>     </w:t>
      </w:r>
      <w:r>
        <w:rPr>
          <w:rFonts w:ascii="Times New Roman;Times;serif" w:hAnsi="Times New Roman;Times;serif"/>
          <w:sz w:val="17"/>
        </w:rPr>
        <w:t xml:space="preserve">(i) Each of GP LLC, the General Partner, the Partnership, the Subsidiaries (other than the Canadian Subsidiaries) and the Joint Venture has been duly formed or incorporated and is validly existing in good standing as a limited partnership, limited liability company or corporation under the laws of its jurisdiction of formation or incorporation with full partnership, limited liability company or corporate power and authority, as the case may be, to own or lease its properties and to conduct its business in each case in all material respects. Each of GP LLC, the General Partner, the Partnership, the Subsidiaries (other than the Canadian Subsidiaries) and the Joint Venture is duly registered or qualified as a foreign limited partnership, limited liability company or corporation, as the case may be, for the transaction of business and is in good standing under the laws of the jurisdictions set forth on Exhibit C to this Agreement. </w:t>
      </w:r>
    </w:p>
    <w:p>
      <w:pPr>
        <w:pStyle w:val="TextBody"/>
        <w:spacing w:before="120" w:after="283"/>
        <w:jc w:val="left"/>
        <w:rPr/>
      </w:pPr>
      <w:r>
        <w:rPr/>
        <w:t>     </w:t>
      </w:r>
      <w:r>
        <w:rPr>
          <w:rFonts w:ascii="Times New Roman;Times;serif" w:hAnsi="Times New Roman;Times;serif"/>
          <w:sz w:val="17"/>
        </w:rPr>
        <w:t xml:space="preserve">(ii) GP LLC has full limited liability company power and authority to act as the general partner of the General Partner; the General Partner has full partnership power and authority to act as the general partner of the Partnership; GP Inc. has full corporate power and authority to act as the general partner of Plains Marketing and Plains Pipeline; Rancho LLC has full limited liability company power and authority to act as the general partner of Rancho LP and Basin LLC has full limited liability company power and authority to act as the general partner of Basin LP, in each case in all material respects. </w:t>
      </w:r>
    </w:p>
    <w:p>
      <w:pPr>
        <w:pStyle w:val="TextBody"/>
        <w:spacing w:before="120" w:after="283"/>
        <w:jc w:val="left"/>
        <w:rPr/>
      </w:pPr>
      <w:r>
        <w:rPr/>
        <w:t>     </w:t>
      </w:r>
      <w:r>
        <w:rPr>
          <w:rFonts w:ascii="Times New Roman;Times;serif" w:hAnsi="Times New Roman;Times;serif"/>
          <w:sz w:val="17"/>
        </w:rPr>
        <w:t xml:space="preserve">(iii) GP LLC is the sole general partner of the General Partner, with a 1.0% general partner interest in the General Partner, and the General Partner is the sole general partner of the Partnership, with a 2.0% general partner interest in the Partnership; such general partner interests have been duly authorized and validly issued in accordance with the General Partner Partnership Agreement and the Partnership Agreement, respectively; the General Partner owns all of the Incentive Distribution Rights; GP LLC owns such general partner interest in the General Partner, and the General Partner owns such general partner interest in the Partnership and the Incentive Distribution Rights, in each case, free and clear of all liens, encumbrances, security interests, charges or claims (A) in respect of which a financing statement under the Uniform Commercial Code of the States of Delaware or Texas naming GP LLC or the General Partner as debtor is on file in the office of the Secretary of State of the States of Delaware or Texas or (B) otherwise known to such counsel, without independent investigation, other than those created by or arising under the Delaware LP Act. </w:t>
      </w:r>
    </w:p>
    <w:p>
      <w:pPr>
        <w:pStyle w:val="TextBody"/>
        <w:spacing w:before="120" w:after="283"/>
        <w:jc w:val="left"/>
        <w:rPr/>
      </w:pPr>
      <w:r>
        <w:rPr/>
        <w:t>     </w:t>
      </w:r>
      <w:r>
        <w:rPr>
          <w:rFonts w:ascii="Times New Roman;Times;serif" w:hAnsi="Times New Roman;Times;serif"/>
          <w:sz w:val="17"/>
        </w:rPr>
        <w:t xml:space="preserve">(iv) GP Inc. is the sole general partner of Plains Marketing, with a .001% general partner interest in Plains Marketing, and the sole general partner of Plains Pipeline, with a .001% general partner interest in Plains Pipeline; such general partner interests have been duly authorized and validly issued in accordance with the Plains Marketing Partnership Agreement and the Plains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Pipeline Partnership Agreement, respectively; and GP Inc. owns such general partner interests free and clear of all liens, encumbrances, security interests, charges or claims (A) in respect of which a financing statement under the Uniform Commercial Code of the States of Delaware or Texas naming GP Inc. as debtor is on file in the office of the Secretary of State of the States of Delaware or Texas or (B) otherwise known to such counsel, without independent investigation, other than those created by or arising under the Texas LP Act. </w:t>
      </w:r>
    </w:p>
    <w:p>
      <w:pPr>
        <w:pStyle w:val="TextBody"/>
        <w:spacing w:before="120" w:after="283"/>
        <w:jc w:val="left"/>
        <w:rPr/>
      </w:pPr>
      <w:r>
        <w:rPr/>
        <w:t>     </w:t>
      </w:r>
      <w:r>
        <w:rPr>
          <w:rFonts w:ascii="Times New Roman;Times;serif" w:hAnsi="Times New Roman;Times;serif"/>
          <w:sz w:val="17"/>
        </w:rPr>
        <w:t xml:space="preserve">(v) All of the outstanding shares of capital stock or other equity interests (other than general partner interests) of each Subsidiary (other than the Canadian Subsidiaries, as to which such counsel need not express any opinion) and the Joint Venture (a) have been duly authorized and validly issued (in the case of an interest in a limited partnership or limited liability company, in accordance with the Organizational Documents of such Subsidiary or the Joint Venture), are fully paid (in the case of an interest in a limited partnership or limited liability company, to the extent required under the Organizational Documents of such Subsidiary or the Joint Venture) and nonassessable (except (i) in the case of an interest in a Delaware limited partnership or Delaware limited liability company, as such nonassessability may be affected by Section 17-607 of the Delaware LP Act or Section 18-607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except for a 50% membership interest in the Joint Venture owned by Vulcan Gas Storage LLC, are owned, directly or indirectly, by the Partnership, free and clear of all liens, encumbrances, security interests, charges or claims (A) in respect of which a financing statement under the Uniform Commercial Code of the States of Delaware or Texas naming the Partnership as debtor or, in the case of capital stock or other equity interests of a Subsidiary owned directly by one or more other Subsidiaries (other than the Canadian Subsidiaries), naming any such other Subsidiaries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Subsidiary (other than such laws of the jurisdiction of formation or incorporation of the Canadian Subsidiaries) or the Joint Venture, as the case may be. </w:t>
      </w:r>
    </w:p>
    <w:p>
      <w:pPr>
        <w:pStyle w:val="TextBody"/>
        <w:spacing w:before="120" w:after="283"/>
        <w:jc w:val="left"/>
        <w:rPr/>
      </w:pPr>
      <w:r>
        <w:rPr/>
        <w:t>     </w:t>
      </w:r>
      <w:r>
        <w:rPr>
          <w:rFonts w:ascii="Times New Roman;Times;serif" w:hAnsi="Times New Roman;Times;serif"/>
          <w:sz w:val="17"/>
        </w:rPr>
        <w:t xml:space="preserve">(vi) All outstanding general partner interests in each Subsidiary that is a partnership (other than the Canadian Subsidiaries) have been duly authorized and validly issued in accordance with the respective Organizational Documents of such Subsidiary and are owned, directly or indirectly, by the Partnership, free and clear of all liens, encumbrances, security interests, charges or claims (A) in respect of which a financing statement under the Uniform Commercial Code of the States of Delaware or Texas naming the Partnership as debtor or, in the case of general partner interests of a Subsidiary owned directly by one or more other Subsidiaries (other than the Canadian Subsidiaries), naming any such other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Subsidiaries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Subsidiary, as the case may be. </w:t>
      </w:r>
    </w:p>
    <w:p>
      <w:pPr>
        <w:pStyle w:val="TextBody"/>
        <w:spacing w:before="120" w:after="283"/>
        <w:jc w:val="left"/>
        <w:rPr/>
      </w:pPr>
      <w:r>
        <w:rPr/>
        <w:t>     </w:t>
      </w:r>
      <w:r>
        <w:rPr>
          <w:rFonts w:ascii="Times New Roman;Times;serif" w:hAnsi="Times New Roman;Times;serif"/>
          <w:sz w:val="17"/>
        </w:rPr>
        <w:t xml:space="preserve">(vii) To such counsels knowledge, the offering or sale of the Securities as contemplated by this Agreement does not give rise to any rights for or relating to the registration of any other securities of the Issuers, except such rights as have been waived or satisfied. The Issuers have all requisite power and authority to issue, sell and deliver the Securities, in accordance with and upon the terms and conditions set forth in this Agreement, their respective Organizational Documents, the Indenture and Offering Memorandum and to issue and deliver the Exchange Securities, in accordance with and upon the terms and conditions set forth in this Agreement, the Registration Rights Agreements, their respective Organizational Documents, the Indenture and the Offering Memorandum. </w:t>
      </w:r>
    </w:p>
    <w:p>
      <w:pPr>
        <w:pStyle w:val="TextBody"/>
        <w:spacing w:before="120" w:after="283"/>
        <w:jc w:val="left"/>
        <w:rPr/>
      </w:pPr>
      <w:r>
        <w:rPr/>
        <w:t>     </w:t>
      </w:r>
      <w:r>
        <w:rPr>
          <w:rFonts w:ascii="Times New Roman;Times;serif" w:hAnsi="Times New Roman;Times;serif"/>
          <w:sz w:val="17"/>
        </w:rPr>
        <w:t xml:space="preserve">(viii) This Agreement has been duly authorized, executed and delivered by each of the Plains Parties (other than the Canadian Subsidiaries, as to which such counsel need not express an opinion). </w:t>
      </w:r>
    </w:p>
    <w:p>
      <w:pPr>
        <w:pStyle w:val="TextBody"/>
        <w:spacing w:before="120" w:after="283"/>
        <w:jc w:val="left"/>
        <w:rPr/>
      </w:pPr>
      <w:r>
        <w:rPr/>
        <w:t>     </w:t>
      </w:r>
      <w:r>
        <w:rPr>
          <w:rFonts w:ascii="Times New Roman;Times;serif" w:hAnsi="Times New Roman;Times;serif"/>
          <w:sz w:val="17"/>
        </w:rPr>
        <w:t xml:space="preserve">(ix) The Base Indenture and the Ninth and Tenth Supplemental Indentures thereto have been duly authorized, executed and delivered by each of the Plains Parties (other than the Canadian Subsidiaries, as to which such counsel need not express an opinion), and (assuming the due authorization, execution and delivery thereof by the Trustee) the Indenture is a valid and legally binding agreement of each of the Plains Parties, enforceable against each of them in accordance with its terms; </w:t>
      </w:r>
      <w:r>
        <w:rPr>
          <w:rFonts w:ascii="Times New Roman;Times;serif" w:hAnsi="Times New Roman;Times;serif"/>
          <w:sz w:val="17"/>
          <w:u w:val="single"/>
        </w:rPr>
        <w:t>provided</w:t>
      </w:r>
      <w:r>
        <w:rPr>
          <w:rFonts w:ascii="Times New Roman;Times;serif" w:hAnsi="Times New Roman;Times;serif"/>
          <w:sz w:val="17"/>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120" w:after="283"/>
        <w:jc w:val="left"/>
        <w:rPr/>
      </w:pPr>
      <w:r>
        <w:rPr/>
        <w:t>     </w:t>
      </w:r>
      <w:r>
        <w:rPr>
          <w:rFonts w:ascii="Times New Roman;Times;serif" w:hAnsi="Times New Roman;Times;serif"/>
          <w:sz w:val="17"/>
        </w:rPr>
        <w:t xml:space="preserve">(x) The Securities have been duly and validly authorized and, when executed and authenticated in accordance with the provisions of the Indenture and delivered to and paid for by the Initial Purchasers under this Agreement, will constitute legal, valid, binding and enforceable obligations of the Issuers entitled to the benefits of the Indenture; </w:t>
      </w:r>
      <w:r>
        <w:rPr>
          <w:rFonts w:ascii="Times New Roman;Times;serif" w:hAnsi="Times New Roman;Times;serif"/>
          <w:sz w:val="17"/>
          <w:u w:val="single"/>
        </w:rPr>
        <w:t>provided</w:t>
      </w:r>
      <w:r>
        <w:rPr>
          <w:rFonts w:ascii="Times New Roman;Times;serif" w:hAnsi="Times New Roman;Times;serif"/>
          <w:sz w:val="17"/>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(xi) The Exchange Securities have been duly and validly authorized and, when executed and authenticated in accordance with the provisions of the Indenture and delivered pursuant to the applicable Registration Rights Agreement, will constitute legal, valid, binding and enforceable obligations of the Issuers entitled to the benefits of the Indenture; </w:t>
      </w:r>
      <w:r>
        <w:rPr>
          <w:rFonts w:ascii="Times New Roman;Times;serif" w:hAnsi="Times New Roman;Times;serif"/>
          <w:sz w:val="17"/>
          <w:u w:val="single"/>
        </w:rPr>
        <w:t>provided</w:t>
      </w:r>
      <w:r>
        <w:rPr>
          <w:rFonts w:ascii="Times New Roman;Times;serif" w:hAnsi="Times New Roman;Times;serif"/>
          <w:sz w:val="17"/>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120" w:after="283"/>
        <w:jc w:val="left"/>
        <w:rPr/>
      </w:pPr>
      <w:r>
        <w:rPr/>
        <w:t>     </w:t>
      </w:r>
      <w:r>
        <w:rPr>
          <w:rFonts w:ascii="Times New Roman;Times;serif" w:hAnsi="Times New Roman;Times;serif"/>
          <w:sz w:val="17"/>
        </w:rPr>
        <w:t xml:space="preserve">(xii) Each of the Registration Rights Agreements has been duly authorized, executed and delivered by each of the Plains Parties that are a party thereto (other than the Canadian Subsidiaries, as to which such counsel need not express an opinion), and (assuming the due authorization, execution and delivery thereof by the Initial Purchasers) is a valid and legally binding agreement of each of the Plains Parties, enforceable against each of them in accordance with its terms; </w:t>
      </w:r>
      <w:r>
        <w:rPr>
          <w:rFonts w:ascii="Times New Roman;Times;serif" w:hAnsi="Times New Roman;Times;serif"/>
          <w:sz w:val="17"/>
          <w:u w:val="single"/>
        </w:rPr>
        <w:t>provided</w:t>
      </w:r>
      <w:r>
        <w:rPr>
          <w:rFonts w:ascii="Times New Roman;Times;serif" w:hAnsi="Times New Roman;Times;serif"/>
          <w:sz w:val="17"/>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120" w:after="283"/>
        <w:jc w:val="left"/>
        <w:rPr/>
      </w:pPr>
      <w:r>
        <w:rPr/>
        <w:t>     </w:t>
      </w:r>
      <w:r>
        <w:rPr>
          <w:rFonts w:ascii="Times New Roman;Times;serif" w:hAnsi="Times New Roman;Times;serif"/>
          <w:sz w:val="17"/>
        </w:rPr>
        <w:t xml:space="preserve">(xiii) The Partnership Agreement is a valid and legally binding agreement of the General Partner, enforceable against the General Partner in accordance with its terms; the Plains Marketing Partnership Agreement is a valid and legally binding agreement of GP Inc. and the Partnership, enforceable against each of them in accordance with its terms; the Plains Pipeline Partnership Agreement is a valid and legally binding agreement of GP Inc. and Plains Marketing enforceable against each of them in accordance with its terms; the Basin LP Partnership Agreement is a valid and legally binding agreement of Basin LLC and Plains Pipeline, enforceable against each of them in accordance with its terms; the Rancho LP Partnership Agreement is a valid and legally binding agreement of Rancho LLC and Plains Pipeline, enforceable against each of them in accordance with its terms; the PMC LP Partnership Agreement has been duly authorized, executed and delivered by Plains Marketing and is a valid and legally binding agreement of Plains Marketing enforceable against it in accordance with its terms; the PMC LLC Agreement has been duly authorized, executed and delivered by Plains Marketing and is a valid and legally binding agreement of Plains Marketing, enforceable against it in accordance with its terms; the LPG LLC Agreement has been duly authorized, executed and delivered by Plains Marketing and is a valid and legally binding agreement of Plains Marketing, enforceable against it in accordance with its terms; the PMI GP LLC Agreement has been duly authorized, executed and delivered by Plains Marketing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and is a valid and legally binding agreement of Plains Marketing, enforceable against it in accordance with its terms; the PMI LP Partnership Agreement is a valid and legally binding agreement of PMI GP LLC and Plains Marketing, enforceable against each of them in accordance with its terms; the LPG Services LP Partnership Agreement is a valid and legally binding agreement of LPG LLC and Plains Marketing, enforceable against each of them in accordance with its terms; the LPG Marketing LP Partnership Agreement is a valid and legally binding agreement of LPG LLC and Plains Marketing, enforceable against each of them in accordance with its terms; the Lone Star LLC Agreement has been duly authorized, executed and delivered by LPG Services LP and is a valid and legally binding agreement of LPG Services LP, enforceable against it in accordance with its terms; the Gas Storage LLC Agreement has been duly authorized, executed and delivered by the Partnership and, assuming due authorization, execution and delivery by the other parties thereto, is a valid and legally binding agreement of the Partnership enforceable against it in accordance with its terms; </w:t>
      </w:r>
      <w:r>
        <w:rPr>
          <w:rFonts w:ascii="Times New Roman;Times;serif" w:hAnsi="Times New Roman;Times;serif"/>
          <w:sz w:val="17"/>
          <w:u w:val="single"/>
        </w:rPr>
        <w:t>provided</w:t>
      </w:r>
      <w:r>
        <w:rPr>
          <w:rFonts w:ascii="Times New Roman;Times;serif" w:hAnsi="Times New Roman;Times;serif"/>
          <w:sz w:val="17"/>
        </w:rPr>
        <w:t xml:space="preserve"> that, with respect to each such agreement (other than the PMC LP Partnership Agreement, as to which such counsel need not express an opinion),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120" w:after="283"/>
        <w:jc w:val="left"/>
        <w:rPr/>
      </w:pPr>
      <w:r>
        <w:rPr/>
        <w:t>     </w:t>
      </w:r>
      <w:r>
        <w:rPr>
          <w:rFonts w:ascii="Times New Roman;Times;serif" w:hAnsi="Times New Roman;Times;serif"/>
          <w:sz w:val="17"/>
        </w:rPr>
        <w:t xml:space="preserve">(xiv) None of the offering, issuance and sale by the Issuers of the Securities, the issuance of the Exchange Securities, the execution, delivery and performance of this Agreement by the Plains Parties, the consummation of the transactions contemplated hereby, the execution, delivery and performance of the Indenture and the Registration Rights Agreements by the Plains Parties which are parties thereto or the consummation of the transactions contemplated thereby (A) constitutes or will constitute a violation of the Organizational Documents (other than the Organizational Documents of the Canadian Subsidiaries) of any of the Plains Parties, (B) conflicts or will conflict with or constitutes or will constitute a breach or violation of, a change of control or a default under (or an event which, with notice or lapse of time or both, would constitute such an event), any agreement filed as an exhibit to any document incorporated by reference into the Offering Memorandum (including any amendment or supplement thereto) (other than the Revolving Agreement and the Contango Credit Agreement, as to which such counsel need not express an opinion), (C) results or will result in any violation of the Delaware LP Act, the Delaware LLC Act, the DGCL, the laws of the State of Texas or federal law, or (D) results or will result in the creation or imposition of any lien, charge or encumbrance upon any property or assets of any of the Plains Parties (other than the Canadian Subsidiaries) or the Joint Venture, which in the case of clauses (B), (C) or (D) would reasonably be expected to have a material adverse effect on the financial condition, business or results of operations of the Partnership, the Subsidiaries and the Joint Venture, taken as a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whole, it being understood that such counsel need not express any opinion in clause (C) of this paragraph (xiv) with respect to any securities or other anti-fraud law. </w:t>
      </w:r>
    </w:p>
    <w:p>
      <w:pPr>
        <w:pStyle w:val="TextBody"/>
        <w:spacing w:before="120" w:after="283"/>
        <w:jc w:val="left"/>
        <w:rPr/>
      </w:pPr>
      <w:r>
        <w:rPr/>
        <w:t>     </w:t>
      </w:r>
      <w:r>
        <w:rPr>
          <w:rFonts w:ascii="Times New Roman;Times;serif" w:hAnsi="Times New Roman;Times;serif"/>
          <w:sz w:val="17"/>
        </w:rPr>
        <w:t xml:space="preserve">(xv) No permit, consent, approval, authorization, order, registration, filing or qualification of or with any federal, Delaware or Texas court, governmental agency or body having jurisdiction over the Plains Parties or any of their respective properties is required for the offering, issuance and sale by the Issuers of the Securities, the issuance of the Exchange Securities, the execution, delivery and performance of this Agreement by the Plains Parties, the consummation of the transactions contemplated hereby, the execution, delivery and performance of the Indenture and the Registration Rights Agreements by the Plains Parties which are parties thereto or the consummation of the transactions contemplated thereby, except as will be obtained pursuant to the Registration Rights Agreements, under the Act and the Trust Indenture Act and as may be required under the Exchange Act and state securities or Blue Sky laws, as to which such counsel need not express any opinion, it being understood that such counsel need not express any opinion pursuant to this paragraph (xv) with respect to the matters addressed in its opinion pursuant to paragraph (xviii) below. </w:t>
      </w:r>
    </w:p>
    <w:p>
      <w:pPr>
        <w:pStyle w:val="TextBody"/>
        <w:spacing w:before="120" w:after="283"/>
        <w:jc w:val="left"/>
        <w:rPr/>
      </w:pPr>
      <w:r>
        <w:rPr/>
        <w:t>     </w:t>
      </w:r>
      <w:r>
        <w:rPr>
          <w:rFonts w:ascii="Times New Roman;Times;serif" w:hAnsi="Times New Roman;Times;serif"/>
          <w:sz w:val="17"/>
        </w:rPr>
        <w:t xml:space="preserve">(xvi) The statements in the Offering Memorandum under the caption Material U.S. Federal Income Tax Consequences, insofar as they constitute descriptions of agreements or refer to statements of law or legal conclusions, are accurate in all material respects, and the Securities, the Exchange Securities, the Indenture and the Registration Rights Agreement conform in all material respects to the descriptions thereof contained in the Offering Memorandum. </w:t>
      </w:r>
    </w:p>
    <w:p>
      <w:pPr>
        <w:pStyle w:val="TextBody"/>
        <w:spacing w:before="120" w:after="283"/>
        <w:jc w:val="left"/>
        <w:rPr/>
      </w:pPr>
      <w:r>
        <w:rPr/>
        <w:t>     </w:t>
      </w:r>
      <w:r>
        <w:rPr>
          <w:rFonts w:ascii="Times New Roman;Times;serif" w:hAnsi="Times New Roman;Times;serif"/>
          <w:sz w:val="17"/>
        </w:rPr>
        <w:t xml:space="preserve">(xvii) None of the Plains Parties is an investment company as such term is defined in the Investment Company Act. </w:t>
      </w:r>
    </w:p>
    <w:p>
      <w:pPr>
        <w:pStyle w:val="TextBody"/>
        <w:spacing w:before="120" w:after="283"/>
        <w:jc w:val="left"/>
        <w:rPr/>
      </w:pPr>
      <w:r>
        <w:rPr/>
        <w:t>     </w:t>
      </w:r>
      <w:r>
        <w:rPr>
          <w:rFonts w:ascii="Times New Roman;Times;serif" w:hAnsi="Times New Roman;Times;serif"/>
          <w:sz w:val="17"/>
        </w:rPr>
        <w:t xml:space="preserve">(xviii) Assuming the accuracy of the representations and warranties and compliance with the agreements contained herein, no registration of the Securities under the Act, and no qualification of an indenture under the Trust Indenture Act, are required for the offer and sale by the Issuers to the Initial Purchasers and the initial resale by the Initial Purchasers of the Securities in the manner contemplated by this Agreement. </w:t>
      </w:r>
    </w:p>
    <w:p>
      <w:pPr>
        <w:pStyle w:val="TextBody"/>
        <w:spacing w:before="120" w:after="283"/>
        <w:jc w:val="left"/>
        <w:rPr/>
      </w:pPr>
      <w:r>
        <w:rPr/>
        <w:t>     </w:t>
      </w:r>
      <w:r>
        <w:rPr>
          <w:rFonts w:ascii="Times New Roman;Times;serif" w:hAnsi="Times New Roman;Times;serif"/>
          <w:sz w:val="17"/>
        </w:rPr>
        <w:t xml:space="preserve">(xix) The documents incorporated by reference in the Offering Memorandum (including any amendment or supplement thereto) (except for financial statements and the notes and schedules thereto and other financial information included in any such incorporated documents, as to which such counsel need not express any opinion) comply as to form in all material respects with the requirements of the Exchange Act and the rules and regulations promulgated thereunder. </w:t>
      </w:r>
    </w:p>
    <w:p>
      <w:pPr>
        <w:pStyle w:val="TextBody"/>
        <w:spacing w:before="120" w:after="283"/>
        <w:jc w:val="left"/>
        <w:rPr/>
      </w:pPr>
      <w:r>
        <w:rPr/>
        <w:t>     </w:t>
      </w:r>
      <w:r>
        <w:rPr>
          <w:rFonts w:ascii="Times New Roman;Times;serif" w:hAnsi="Times New Roman;Times;serif"/>
          <w:sz w:val="17"/>
        </w:rPr>
        <w:t xml:space="preserve">In addition, such counsel shall state that they have participated in conferences with officers and other representatives of the Plains Parties, representatives of the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independent registered public accountants of the Partnership and your representatives, at which the contents of the Offering Memorandum and related matters were discussed, and although such counsel has not independently verified, is not passing on, and is not assuming any responsibility for the accuracy, completeness or fairness of the statements contained in the Offering Memorandum (except to the extent specified in the foregoing opinion), no facts have come to such counsels attention that lead such counsel to believe that the Preliminary Offering Memorandum and the Pricing Supplement as of the Execution Time and as of the Closing Date, and the Final Offering Memorandum as of its date and as of the Closing Date (in each case other than (i) the financial statements included or incorporated by reference therein, including the notes and schedules thereto and the auditors reports thereon, and (ii) the other financial and statistical information included or incorporated by reference therein, as to which such counsel need not comment), contained or contains an untrue statement of a material fact or omitted or omits to state a material fact necessary to make the statements therein, in the light of the circumstances under which they were made, not misleading. </w:t>
      </w:r>
    </w:p>
    <w:p>
      <w:pPr>
        <w:pStyle w:val="TextBody"/>
        <w:spacing w:before="120" w:after="283"/>
        <w:jc w:val="left"/>
        <w:rPr/>
      </w:pPr>
      <w:r>
        <w:rPr/>
        <w:t>     </w:t>
      </w:r>
      <w:r>
        <w:rPr>
          <w:rFonts w:ascii="Times New Roman;Times;serif" w:hAnsi="Times New Roman;Times;serif"/>
          <w:sz w:val="17"/>
        </w:rPr>
        <w:t xml:space="preserve">In rendering such opinion, such counsel may (A) rely in respect of matters of fact upon certificates of officers and employees of the Plains Parties and upon information obtained from public officials, (B) assume that all documents submitted to them as originals are authentic, that all copies submitted to them conform to the originals thereof, and that the signatures on all documents examined by them are genuine, (C) state that their opinion is limited to federal laws, the Delaware LP Act, the Delaware LLC Act, the DGCL, the laws of the State of Texas and the contract laws of the State of New York, (D) with respect to the opinions expressed in paragraph (i) above as to the due qualification or registration as a foreign limited partnership, corporation or limited liability company, as the case may be, of each of the Plains Parties, state that such opinions are based upon certificates of foreign qualification or registration provided by the Secretary of State of the States listed on Exhibit C hereto (each of which shall be dated as of a date not more than fourteen days prior to the Closing Date and shall be provided to you) and (E) state that they express no opinion with respect to (i) any permits to own or operate any real or personal property or (ii) state or local taxes or tax statutes to which any of the limited partners of the Partnership or any of the Plains Parties may be subject. </w:t>
      </w:r>
    </w:p>
    <w:p>
      <w:pPr>
        <w:pStyle w:val="TextBody"/>
        <w:spacing w:before="120" w:after="283"/>
        <w:jc w:val="left"/>
        <w:rPr/>
      </w:pPr>
      <w:r>
        <w:rPr/>
        <w:t>     </w:t>
      </w:r>
      <w:r>
        <w:rPr>
          <w:rFonts w:ascii="Times New Roman;Times;serif" w:hAnsi="Times New Roman;Times;serif"/>
          <w:sz w:val="17"/>
        </w:rPr>
        <w:t xml:space="preserve">(b) The Initial Purchasers shall have received on the Closing Date, an opinion of Fulbright &amp; Jaworski L.L.P., special counsel for the Plains Parties, dated the Closing Date and addressed to the Initial Purchasers, to the effect that none of the offering, issuance or sale by the Issuers of the Securities, the issuance of the Exchange Securities, the execution, delivery and performance of this Agreement by the Plains Parties, the consummation of the transactions contemplated hereby, the execution, delivery and performance of the Indenture and the Registration Rights Agreements by the Plains Parties which are parties thereto or the consummation of the transactions contemplated thereby, result in a breach of, or constitutes a default under (or an event which, with notice or lapse of time or both, would constitute such an event) the provisions of any Credit Facility (as defined in Annex A to such opinion, which shall include the Revolving Agreement and the Contango Credit Agreement).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rendering such opinion, such counsel may (A) rely in respect of matters of fact upon certificates of officers and employees of the Plains Parties and upon information obtained from public officials, (B) assume that all documents submitted to them as originals are authentic, that all copies submitted to them conform to the originals thereof, and that the signatures on all documents examined by them are genuine and (C) state that such opinions are limited to the laws of the State of Texas, excepting therefrom municipal and local ordinances and regulations. </w:t>
      </w:r>
    </w:p>
    <w:p>
      <w:pPr>
        <w:pStyle w:val="TextBody"/>
        <w:spacing w:before="120" w:after="283"/>
        <w:jc w:val="left"/>
        <w:rPr/>
      </w:pPr>
      <w:r>
        <w:rPr/>
        <w:t>     </w:t>
      </w:r>
      <w:r>
        <w:rPr>
          <w:rFonts w:ascii="Times New Roman;Times;serif" w:hAnsi="Times New Roman;Times;serif"/>
          <w:sz w:val="17"/>
        </w:rPr>
        <w:t xml:space="preserve">In rendering such opinion, such counsel shall state that such opinion letter may be relied upon only by the Initial Purchasers and their counsel in connection with the transactions contemplated by this Agreement and no other use or distribution of such opinion letter may be made without such counsels prior written consent. </w:t>
      </w:r>
    </w:p>
    <w:p>
      <w:pPr>
        <w:pStyle w:val="TextBody"/>
        <w:spacing w:before="120" w:after="283"/>
        <w:jc w:val="left"/>
        <w:rPr/>
      </w:pPr>
      <w:r>
        <w:rPr/>
        <w:t>     </w:t>
      </w:r>
      <w:r>
        <w:rPr>
          <w:rFonts w:ascii="Times New Roman;Times;serif" w:hAnsi="Times New Roman;Times;serif"/>
          <w:sz w:val="17"/>
        </w:rPr>
        <w:t xml:space="preserve">(c) The Initial Purchasers shall have received on the Closing Date an opinion of Tim Moore, general counsel for GP LLC, dated the Closing Date and addressed to the Initial Purchasers, to the effect that: </w:t>
      </w:r>
    </w:p>
    <w:p>
      <w:pPr>
        <w:pStyle w:val="TextBody"/>
        <w:spacing w:before="120" w:after="283"/>
        <w:jc w:val="left"/>
        <w:rPr/>
      </w:pPr>
      <w:r>
        <w:rPr/>
        <w:t>     </w:t>
      </w:r>
      <w:r>
        <w:rPr>
          <w:rFonts w:ascii="Times New Roman;Times;serif" w:hAnsi="Times New Roman;Times;serif"/>
          <w:sz w:val="17"/>
        </w:rPr>
        <w:t xml:space="preserve">(i) To the knowledge of such counsel, none of the Plains Parties is in (A) breach or violation of the provisions of its Organizational Documents or (B) default (and no event has occurred which, with notice or lapse of time or both, would constitute such a default) or violation in the performance of any obligation, agreement or condition contained in any bond, debenture, note or any other evidence of indebtedness or in any agreement, indenture, lease or other instrument to which it is a party or by which it or any of its properties may be bound, which breach, default or violation, if continued, would reasonably be expected to have a material adverse effect on the condition, business or operations of the Partnership, the Subsidiaries and the Joint Venture, taken as a whole, or would reasonably be expected to materially impair the ability of any of the Plains Parties to perform their obligations under this Agreement. </w:t>
      </w:r>
    </w:p>
    <w:p>
      <w:pPr>
        <w:pStyle w:val="TextBody"/>
        <w:spacing w:before="120" w:after="283"/>
        <w:jc w:val="left"/>
        <w:rPr/>
      </w:pPr>
      <w:r>
        <w:rPr/>
        <w:t>     </w:t>
      </w:r>
      <w:r>
        <w:rPr>
          <w:rFonts w:ascii="Times New Roman;Times;serif" w:hAnsi="Times New Roman;Times;serif"/>
          <w:sz w:val="17"/>
        </w:rPr>
        <w:t xml:space="preserve">(ii) None of the offering, issuance and sale by the Issuers of the Securities, the issuance of the Exchange Securities, the execution, delivery and performance by the Plains Parties of this Agreement, the consummation of the transactions contemplated hereby, the execution, delivery and performance of the Indenture and the Registration Rights Agreements by the Plains Parties which are parties thereto or the consummation of the transactions contemplated thereby (A) constitutes or will constitute a breach or violation of, a change of control or a default under (or an event which, with notice or lapse of time or both, would constitute such an event) any bond, debenture, note or any other evidence of indebtedness, indenture or any other material agreement or instrument known to such counsel to which a Plains Party is a party or by which any one of them may be bound (other than any other agreement filed as an exhibit to any documents incorporated by reference into the Offering Memorandum (including any amendment or supplement thereto) or any Credit Agreement (as defined in Annex A to such opinion)) or (B) violates or will violate any statute, law or regulation or any order, judgment, decree or injunction of any court or governmental agency or body directed to any of the Plains Parties or any of their properties in a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proceeding to which any of them is a party, which would, in the case of either (A) or (B), reasonably be expected to have a material adverse effect on the condition, business or operations of the Partnership, the Subsidiaries and the Joint Venture, taken as a whole. </w:t>
      </w:r>
    </w:p>
    <w:p>
      <w:pPr>
        <w:pStyle w:val="TextBody"/>
        <w:spacing w:before="120" w:after="283"/>
        <w:jc w:val="left"/>
        <w:rPr/>
      </w:pPr>
      <w:r>
        <w:rPr/>
        <w:t>     </w:t>
      </w:r>
      <w:r>
        <w:rPr>
          <w:rFonts w:ascii="Times New Roman;Times;serif" w:hAnsi="Times New Roman;Times;serif"/>
          <w:sz w:val="17"/>
        </w:rPr>
        <w:t xml:space="preserve">(iii) To the knowledge of such counsel, each of the Plains Parties has such permits, consents, licenses, franchises and authorizations (permits) issued by the appropriate federal, state or local governmental or regulatory authorities as are necessary to own or lease its properties and to conduct its business in the manner described in the Offering Memorandum, subject to such qualifications as may be set forth in the Offering Memorandum, and except for such permits which, if not obtained, would not reasonably be expected to have, individually or in the aggregate, a material adverse effect upon the operations conducted by the Partnership, the Subsidiaries and the Joint Venture, taken as a whole; and, to the knowledge of such counsel, none of the Plains Parties has received any notice of proceedings relating to the revocation or modification of any such permits which, individually or in the aggregate, would reasonably be expected to have a material adverse effect upon the operations conducted by the Partnership, the Subsidiaries and the Joint Venture, taken as a whole. </w:t>
      </w:r>
    </w:p>
    <w:p>
      <w:pPr>
        <w:pStyle w:val="TextBody"/>
        <w:spacing w:before="120" w:after="283"/>
        <w:jc w:val="left"/>
        <w:rPr/>
      </w:pPr>
      <w:r>
        <w:rPr/>
        <w:t>     </w:t>
      </w:r>
      <w:r>
        <w:rPr>
          <w:rFonts w:ascii="Times New Roman;Times;serif" w:hAnsi="Times New Roman;Times;serif"/>
          <w:sz w:val="17"/>
        </w:rPr>
        <w:t xml:space="preserve">(iv) Except as described in the Offering Memorandum, to the knowledge of such counsel, there is no litigation proceeding, or governmental investigation pending or threatened against any of the Plains Parties which would be reasonably likely to have a material adverse effect on the condition, business, properties, or operations of the Partnership, the Subsidiaries and the Joint Venture, taken as a whole. </w:t>
      </w:r>
    </w:p>
    <w:p>
      <w:pPr>
        <w:pStyle w:val="TextBody"/>
        <w:spacing w:before="120" w:after="283"/>
        <w:jc w:val="left"/>
        <w:rPr/>
      </w:pPr>
      <w:r>
        <w:rPr/>
        <w:t>     </w:t>
      </w:r>
      <w:r>
        <w:rPr>
          <w:rFonts w:ascii="Times New Roman;Times;serif" w:hAnsi="Times New Roman;Times;serif"/>
          <w:sz w:val="17"/>
        </w:rPr>
        <w:t xml:space="preserve">In addition, such counsel shall state that he has participated in discussions with officers and other representatives of the Plains Parties and the independent registered public accountants of the Partnership and your representatives, at which the contents of the Offering Memorandum and related matters were discussed, and although such counsel has not independently verified, is not passing on, and is not assuming any responsibility for the accuracy, completeness or fairness of the statements contained in, the Offering Memorandum, no facts have come to such counsels attention that lead such counsel to believe that the Preliminary Offering Memorandum and the Pricing Supplement as of the Execution Time and as of the Closing Date, and the Final Offering Memorandum as of its date and as of the Closing Date (in each case other than (i) the financial statements included or incorporated by reference therein, including the notes and schedules thereto and the auditors reports thereon, and (ii) the other financial and statistical information included or incorporated by reference therein, as to which such counsel need not comment), contained or contains an untrue statement of a material fact or omitted or omits to state a material fact necessary to make the statements therein, in the light of the circumstances under which they were made, not misleading. </w:t>
      </w:r>
    </w:p>
    <w:p>
      <w:pPr>
        <w:pStyle w:val="TextBody"/>
        <w:spacing w:before="120" w:after="283"/>
        <w:jc w:val="left"/>
        <w:rPr/>
      </w:pPr>
      <w:r>
        <w:rPr/>
        <w:t>     </w:t>
      </w:r>
      <w:r>
        <w:rPr>
          <w:rFonts w:ascii="Times New Roman;Times;serif" w:hAnsi="Times New Roman;Times;serif"/>
          <w:sz w:val="17"/>
        </w:rPr>
        <w:t xml:space="preserve">In rendering such opinion, such counsel may (A) rely in respect of matters of fact upon certificates of officers and employees of the Plains Parties and upon information obtained from public officials, (B) assume that all documents submitted to him as </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originals are authentic, that all copies submitted to him conform to the originals thereof, and that the signatures on all documents examined by him are genuine, (C) state that such opinions are limited to federal laws and the Delaware LP Act, the Delaware LLC Act and the DGCL and the laws of the State of Texas and (D) state that he expresses no opinion with respect to state or local taxes or tax statutes. </w:t>
      </w:r>
    </w:p>
    <w:p>
      <w:pPr>
        <w:pStyle w:val="TextBody"/>
        <w:spacing w:before="120" w:after="283"/>
        <w:jc w:val="left"/>
        <w:rPr/>
      </w:pPr>
      <w:r>
        <w:rPr/>
        <w:t>     </w:t>
      </w:r>
      <w:r>
        <w:rPr>
          <w:rFonts w:ascii="Times New Roman;Times;serif" w:hAnsi="Times New Roman;Times;serif"/>
          <w:sz w:val="17"/>
        </w:rPr>
        <w:t xml:space="preserve">(d) The Initial Purchasers shall have received on the Closing Date, an opinion of Bennett Jones LLP with respect to the Province of Alberta, the Province of Nova Scotia and the federal laws of Canada, dated the Closing Date and addressed to the Initial Purchasers, to the effect that: </w:t>
      </w:r>
    </w:p>
    <w:p>
      <w:pPr>
        <w:pStyle w:val="TextBody"/>
        <w:spacing w:before="120" w:after="283"/>
        <w:jc w:val="left"/>
        <w:rPr/>
      </w:pPr>
      <w:r>
        <w:rPr/>
        <w:t>     </w:t>
      </w:r>
      <w:r>
        <w:rPr>
          <w:rFonts w:ascii="Times New Roman;Times;serif" w:hAnsi="Times New Roman;Times;serif"/>
          <w:sz w:val="17"/>
        </w:rPr>
        <w:t xml:space="preserve">(i) Each of the Canadian Subsidiaries has been duly formed and is validly existing in good standing as a limited partnership or unlimited liability company under the laws of its jurisdiction of formation with all necessary partnership or corporate power and authority to own or lease its properties, as the case may be, in all material respects as described in the Offering Memorandum, and to conduct its business as currently conducted and as proposed in the Offering Memorandum to be conducted. PMC NS has all necessary corporate power and authority to act as general partner of PMC LP in all material respects as described in the Offering Memorandum. Each of the Canadian Subsidiaries is duly registered extra-provincially for the transaction of business and is in good standing under the laws of the jurisdictions set forth on Exhibit C to this Agreement. </w:t>
      </w:r>
    </w:p>
    <w:p>
      <w:pPr>
        <w:pStyle w:val="TextBody"/>
        <w:spacing w:before="120" w:after="283"/>
        <w:jc w:val="left"/>
        <w:rPr/>
      </w:pPr>
      <w:r>
        <w:rPr/>
        <w:t>     </w:t>
      </w:r>
      <w:r>
        <w:rPr>
          <w:rFonts w:ascii="Times New Roman;Times;serif" w:hAnsi="Times New Roman;Times;serif"/>
          <w:sz w:val="17"/>
        </w:rPr>
        <w:t xml:space="preserve">(ii) PMC NS is the sole general partner of PMC LP with a 0.01% interest in PMC LP; such interest has been duly authorized and validly issued in accordance with the PMC LP Partnership Agreement; and PMC NS owns such interest free and clear of all liens, encumbrances, security interests, charges or claims in respect of which a financing statement under the laws of the Provinces of Nova Scotia or Alberta naming PMC NS as debtor is on file. </w:t>
      </w:r>
    </w:p>
    <w:p>
      <w:pPr>
        <w:pStyle w:val="TextBody"/>
        <w:spacing w:before="120" w:after="283"/>
        <w:jc w:val="left"/>
        <w:rPr/>
      </w:pPr>
      <w:r>
        <w:rPr/>
        <w:t>     </w:t>
      </w:r>
      <w:r>
        <w:rPr>
          <w:rFonts w:ascii="Times New Roman;Times;serif" w:hAnsi="Times New Roman;Times;serif"/>
          <w:sz w:val="17"/>
        </w:rPr>
        <w:t xml:space="preserve">(iii) Plains Marketing is the sole limited partner of PMC LP with a 99.99% limited partner interest in PMC LP; such limited partner interest has been duly authorized and validly issued in accordance with the PMC LP Partnership Agreement and is fully paid (to the extent required under the PMC LP Partnership Agreement) and nonassessable (except as such nonassessability may be affected by matters described in the PMC LP Partnership Agreement). </w:t>
      </w:r>
    </w:p>
    <w:p>
      <w:pPr>
        <w:pStyle w:val="TextBody"/>
        <w:spacing w:before="120" w:after="283"/>
        <w:jc w:val="left"/>
        <w:rPr/>
      </w:pPr>
      <w:r>
        <w:rPr/>
        <w:t>     </w:t>
      </w:r>
      <w:r>
        <w:rPr>
          <w:rFonts w:ascii="Times New Roman;Times;serif" w:hAnsi="Times New Roman;Times;serif"/>
          <w:sz w:val="17"/>
        </w:rPr>
        <w:t xml:space="preserve">(iv) PMC LLC is the registered holder of 100% of the issued and outstanding capital stock of PMC NS; such share capital has been duly authorized and validly issued in accordance with the PMC NS Memorandum and Articles of Association, as fully paid and nonassessable shares (except as such nonassessability may be affected by the laws of the Province of Nova Scotia). </w:t>
      </w:r>
    </w:p>
    <w:p>
      <w:pPr>
        <w:pStyle w:val="TextBody"/>
        <w:spacing w:before="120" w:after="283"/>
        <w:jc w:val="left"/>
        <w:rPr/>
      </w:pPr>
      <w:r>
        <w:rPr/>
        <w:t>     </w:t>
      </w:r>
      <w:r>
        <w:rPr>
          <w:rFonts w:ascii="Times New Roman;Times;serif" w:hAnsi="Times New Roman;Times;serif"/>
          <w:sz w:val="17"/>
        </w:rPr>
        <w:t xml:space="preserve">(v) This Agreement has been duly authorized and validly executed and delivered by each of PMC LP and PMC NS.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(vi) The Indenture has been duly authorized, executed and delivered by each of PMC LP and PMC NS. The laws of the Province of Alberta would permit an action to be brought against PMC LP or PMC NS before a court of competent jurisdiction in the Province of Alberta to enforce a final and conclusive in personam judgment for a sum certain obtained in a New York court relating to the Indenture which is not impeachable as void or voidable under the internal laws of the State of New York which action is predicated solely upon civil liability, subject to certain exceptions set forth in such opinion. </w:t>
      </w:r>
    </w:p>
    <w:p>
      <w:pPr>
        <w:pStyle w:val="TextBody"/>
        <w:spacing w:before="120" w:after="283"/>
        <w:jc w:val="left"/>
        <w:rPr/>
      </w:pPr>
      <w:r>
        <w:rPr/>
        <w:t>     </w:t>
      </w:r>
      <w:r>
        <w:rPr>
          <w:rFonts w:ascii="Times New Roman;Times;serif" w:hAnsi="Times New Roman;Times;serif"/>
          <w:sz w:val="17"/>
        </w:rPr>
        <w:t xml:space="preserve">(vii) No permit, consent, approval, authorization, order, registration, filing or qualification of or with any court, governmental agency or body of the federal government of Canada or the Province of Alberta is required for the offering, issuance and sale by the Issuers of the Securities, the issuance of the Exchange Securities, or the execution, delivery and performance of the Indenture by the Plains Parties. </w:t>
      </w:r>
    </w:p>
    <w:p>
      <w:pPr>
        <w:pStyle w:val="TextBody"/>
        <w:spacing w:before="120" w:after="283"/>
        <w:jc w:val="left"/>
        <w:rPr/>
      </w:pPr>
      <w:r>
        <w:rPr/>
        <w:t>     </w:t>
      </w:r>
      <w:r>
        <w:rPr>
          <w:rFonts w:ascii="Times New Roman;Times;serif" w:hAnsi="Times New Roman;Times;serif"/>
          <w:sz w:val="17"/>
        </w:rPr>
        <w:t xml:space="preserve">(viii) The PMC LP Partnership Agreement has been duly authorized, executed and delivered by PMC NS and is a valid and legally binding agreement of PMC NS and Plains Marketing enforceable against each of them in accordance with its terms; </w:t>
      </w:r>
      <w:r>
        <w:rPr>
          <w:rFonts w:ascii="Times New Roman;Times;serif" w:hAnsi="Times New Roman;Times;serif"/>
          <w:sz w:val="17"/>
          <w:u w:val="single"/>
        </w:rPr>
        <w:t>provided</w:t>
      </w:r>
      <w:r>
        <w:rPr>
          <w:rFonts w:ascii="Times New Roman;Times;serif" w:hAnsi="Times New Roman;Times;serif"/>
          <w:sz w:val="17"/>
        </w:rPr>
        <w:t xml:space="preserve"> that, with respect to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120" w:after="283"/>
        <w:jc w:val="left"/>
        <w:rPr/>
      </w:pPr>
      <w:r>
        <w:rPr/>
        <w:t>     </w:t>
      </w:r>
      <w:r>
        <w:rPr>
          <w:rFonts w:ascii="Times New Roman;Times;serif" w:hAnsi="Times New Roman;Times;serif"/>
          <w:sz w:val="17"/>
        </w:rPr>
        <w:t xml:space="preserve">(ix) None of the offering, issuance and sale by the Issuers of the Securities, the issuance of the Exchange Securities, the execution, delivery and performance of this Agreement by the Plains Parties, the consummation of the transactions contemplated hereby, the execution, delivery and performance of the Indenture and the Registration Rights Agreements by the Plains Parties which are parties thereto or the consummation of the transactions contemplated thereby constitutes or will constitute a violation of the Organizational Documents of the Canadian Subsidiaries. </w:t>
      </w:r>
    </w:p>
    <w:p>
      <w:pPr>
        <w:pStyle w:val="TextBody"/>
        <w:spacing w:before="120" w:after="283"/>
        <w:jc w:val="left"/>
        <w:rPr/>
      </w:pPr>
      <w:r>
        <w:rPr/>
        <w:t>     </w:t>
      </w:r>
      <w:r>
        <w:rPr>
          <w:rFonts w:ascii="Times New Roman;Times;serif" w:hAnsi="Times New Roman;Times;serif"/>
          <w:sz w:val="17"/>
        </w:rPr>
        <w:t xml:space="preserve">(x) To the knowledge of such counsel, each of PMC LP and PMC NS has such permits, consents, licenses, franchises and authorizations (permits) issued by the appropriate federal or provincial or regulatory authorities as are necessary to own or lease its properties and to conduct its business as currently conducted and as proposed in the Offering Memorandum to be conducted, subject to such qualifications as may be set forth in the Offering Memorandum, and except for such permits, consents, licenses, franchises and authorizations which, if not obtained would not reasonably be expected to have, individually or in the aggregate, a material adverse effect upon the operations conducted by PMC LP and PMC NS taken as a whole. </w:t>
      </w:r>
    </w:p>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rendering such opinion, such counsel may (A) rely in respect of matters of fact upon certificates of officers and employees of the Plains Parties and upon information obtained from public officials,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Provinces of Alberta and Nova Scotia, excepting therefrom municipal and local ordinances and regulations and (D) state that they express no opinion with respect to state or local taxes or tax statutes to which any of the limited partners of the Partnership or any of the Plains Parties may be subject. </w:t>
      </w:r>
    </w:p>
    <w:p>
      <w:pPr>
        <w:pStyle w:val="TextBody"/>
        <w:spacing w:before="120" w:after="283"/>
        <w:jc w:val="left"/>
        <w:rPr/>
      </w:pPr>
      <w:r>
        <w:rPr/>
        <w:t>     </w:t>
      </w:r>
      <w:r>
        <w:rPr>
          <w:rFonts w:ascii="Times New Roman;Times;serif" w:hAnsi="Times New Roman;Times;serif"/>
          <w:sz w:val="17"/>
        </w:rPr>
        <w:t xml:space="preserve">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Initial Purchasers and their counsel in connection with the transactions contemplated by this Agreement and no other use or distribution of this opinion letter may be made without such counsels prior written consent. </w:t>
      </w:r>
    </w:p>
    <w:p>
      <w:pPr>
        <w:pStyle w:val="TextBody"/>
        <w:spacing w:before="120" w:after="283"/>
        <w:jc w:val="left"/>
        <w:rPr/>
      </w:pPr>
      <w:r>
        <w:rPr/>
        <w:t>     </w:t>
      </w:r>
      <w:r>
        <w:rPr>
          <w:rFonts w:ascii="Times New Roman;Times;serif" w:hAnsi="Times New Roman;Times;serif"/>
          <w:sz w:val="17"/>
        </w:rPr>
        <w:t xml:space="preserve">(e) The Initial Purchasers shall have received on the Closing Date an opinion of Baker Botts L.L.P., counsel for the Initial Purchasers, dated the Closing Date and addressed to the Initial Purchasers, with respect to the issuance and sale of the Securities, the issuance of the Exchange Securities, the Indenture, the Registration Rights Agreements, the Offering Memorandum and other related matters the Initial Purchasers may reasonably require. </w:t>
      </w:r>
    </w:p>
    <w:p>
      <w:pPr>
        <w:pStyle w:val="TextBody"/>
        <w:spacing w:before="120" w:after="283"/>
        <w:jc w:val="left"/>
        <w:rPr/>
      </w:pPr>
      <w:r>
        <w:rPr/>
        <w:t>     </w:t>
      </w:r>
      <w:r>
        <w:rPr>
          <w:rFonts w:ascii="Times New Roman;Times;serif" w:hAnsi="Times New Roman;Times;serif"/>
          <w:sz w:val="17"/>
        </w:rPr>
        <w:t xml:space="preserve">(f) The Initial Purchasers shall have received letters addressed to the Initial Purchasers, dated, respectively, the date of this Agreement, the time of purchase and the Closing Date from each of PricewaterhouseCoopers LLP and KPMG LLP, in form and substance satisfactory to the Initial Purchasers, containing statements and information of the type ordinarily included in accountants comfort letters to initial purchasers, delivered according to Statement of Auditing Standards Nos. 72, 76 and 100 (or any successor bulletins), with respect to the audited and unaudited financial statements and certain financial information contained or incorporated by reference in the Preliminary Offering Memorandum, the Pricing Supplement and the Final Offering Memorandum and certain pro forma financial information filed by the Partnership in its Current Reports on Form 8-K filed on July 14, 2006 and August 24, 2006. </w:t>
      </w:r>
    </w:p>
    <w:p>
      <w:pPr>
        <w:pStyle w:val="TextBody"/>
        <w:spacing w:before="120" w:after="283"/>
        <w:jc w:val="left"/>
        <w:rPr/>
      </w:pPr>
      <w:r>
        <w:rPr/>
        <w:t>     </w:t>
      </w:r>
      <w:r>
        <w:rPr>
          <w:rFonts w:ascii="Times New Roman;Times;serif" w:hAnsi="Times New Roman;Times;serif"/>
          <w:sz w:val="17"/>
        </w:rPr>
        <w:t xml:space="preserve">(g) The Plains Parties shall not have failed at or prior to the Closing Date to have performed or complied in all material respects with any of their agreements herein contained and required to be performed or complied with by them hereunder at or prior to the Closing Date. </w:t>
      </w:r>
    </w:p>
    <w:p>
      <w:pPr>
        <w:pStyle w:val="TextBody"/>
        <w:spacing w:before="120" w:after="283"/>
        <w:jc w:val="left"/>
        <w:rPr/>
      </w:pPr>
      <w:r>
        <w:rPr/>
        <w:t>     </w:t>
      </w:r>
      <w:r>
        <w:rPr>
          <w:rFonts w:ascii="Times New Roman;Times;serif" w:hAnsi="Times New Roman;Times;serif"/>
          <w:sz w:val="17"/>
        </w:rPr>
        <w:t xml:space="preserve">(h) The Plains Parties shall have furnished or caused to be furnished to you such further certificates and documents as you shall have reasonably requested. </w:t>
      </w:r>
    </w:p>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 There shall have been furnished to you at the Closing Date a certificate reasonably satisfactory to you, signed on behalf of the Partnership by the President or any Vice President and the Chief Financial Officer or Chief Accounting Officer of GP LLC to the effect that: (A) the representations and warranties of each of the Partnership, the General Partner and GP LLC contained in this Agreement were true and correct at and as of the Execution Time and are true and correct at and as of the Closing Date as though made at and as of the Closing Date; (B) each of the Partnership, the General Partner and GP LLC has in all material respects performed all obligations and satisfied all conditions required to be performed or satisfied by it pursuant to the terms of this Agreement at or prior to the Closing Date; and (C) since the date of the most recent financial statements included or incorporated by reference in the Offering Memorandum (exclusive of any amendment or supplement thereto), there has been no material adverse change in the condition (financial or otherwise), business, prospects, properties, net worth or results of operations of the Partnership and the Subsidiaries, taken as a whole, whether or not arising from transactions in the ordinary course of business, except as set forth in or contemplated by the Offering Memorandum (exclusive of any amendment or supplement thereto). </w:t>
      </w:r>
    </w:p>
    <w:p>
      <w:pPr>
        <w:pStyle w:val="TextBody"/>
        <w:spacing w:before="120" w:after="283"/>
        <w:jc w:val="left"/>
        <w:rPr/>
      </w:pPr>
      <w:r>
        <w:rPr/>
        <w:t>     </w:t>
      </w:r>
      <w:r>
        <w:rPr>
          <w:rFonts w:ascii="Times New Roman;Times;serif" w:hAnsi="Times New Roman;Times;serif"/>
          <w:sz w:val="17"/>
        </w:rPr>
        <w:t xml:space="preserve">(j) There shall have been furnished to you at the Closing Date a certificate reasonably satisfactory to you, signed on behalf of GP Inc. by the President or any Vice President of GP Inc. to the effect that: (A) the representations and warranties of each of GP Inc., Plains Marketing, Plains Pipeline, PMC LLC, Basin LLC, Basin LP, Rancho LLC Rancho LP, LPG LLC, LPG Services LP, LPG Marketing LP, PMI GP LLC, PMI LP and Lone Star contained in this Agreement were true and correct at and as of the Execution Time and are true and correct at and as of the Closing Date as though made at and as of the Closing Date; (B) each of GP Inc., Plains Marketing, Plains Pipeline, PMC LLC, Basin LLC, Basin LP, Rancho LLC, Rancho LP, LPG LLC, LPG Services LP, LPG Marketing LP, PMI GP LLC, PMI LP and Lone Star has in all material respects performed all obligations and satisfied all conditions required to be performed or satisfied by it pursuant to the terms of this Agreement at or prior to the Closing Date; and (C) since the date of the most recent financial statements included or incorporated by reference in the Offering Memorandum (exclusive of any amendment or supplement thereto), there has been no material adverse change in the condition (financial or otherwise), business, prospects, properties, net worth or results of operations of the Partnership and the Subsidiaries, taken as a whole, whether or not arising from transactions in the ordinary course of business, except as set forth in or contemplated by the Offering Memorandum (exclusive of any amendment or supplement thereto). </w:t>
      </w:r>
    </w:p>
    <w:p>
      <w:pPr>
        <w:pStyle w:val="TextBody"/>
        <w:spacing w:before="120" w:after="283"/>
        <w:jc w:val="left"/>
        <w:rPr/>
      </w:pPr>
      <w:r>
        <w:rPr/>
        <w:t>     </w:t>
      </w:r>
      <w:r>
        <w:rPr>
          <w:rFonts w:ascii="Times New Roman;Times;serif" w:hAnsi="Times New Roman;Times;serif"/>
          <w:sz w:val="17"/>
        </w:rPr>
        <w:t xml:space="preserve">(k) There shall have been furnished to you at the Closing Date a certificate reasonably satisfactory to you, signed on behalf of PAA Finance by the President or any Vice President of PAA Finance to the effect that: (A) the representations and warranties of PAA Finance contained in this Agreement were true and correct at and as of the Execution Time and are true and correct at and as of the Closing Date as though made at and as of the Closing Date and (B) PAA Finance has in all material respects performed all obligations and satisfied all conditions required to be performed or satisfied by it pursuant to the terms of this Agreement at or prior to the Closing Date. </w:t>
      </w:r>
    </w:p>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(l) There shall have been furnished to you at the Closing Date a certificate reasonably satisfactory to you, signed on behalf of PMC NS by the President or any Vice President of PMC NS to the effect that: (A) the representations and warranties of each of PMC NS and PMC LP contained in this Agreement were true and correct at and as of the Execution Time and are true and correct at and as of the Closing Date as though made at and as of the Closing Date and (B) each of PMC NS and PMC LP has in all material respects performed all obligations and satisfied all conditions required to be performed or satisfied by it pursuant to the terms of this Agreement at or prior to the Closing Date. </w:t>
      </w:r>
    </w:p>
    <w:p>
      <w:pPr>
        <w:pStyle w:val="TextBody"/>
        <w:spacing w:before="120" w:after="283"/>
        <w:jc w:val="left"/>
        <w:rPr/>
      </w:pPr>
      <w:r>
        <w:rPr/>
        <w:t>     </w:t>
      </w:r>
      <w:r>
        <w:rPr>
          <w:rFonts w:ascii="Times New Roman;Times;serif" w:hAnsi="Times New Roman;Times;serif"/>
          <w:sz w:val="17"/>
        </w:rPr>
        <w:t xml:space="preserve">(m) (i) Subsequent to the date of the initial letter or letters referred to in paragraph (f) of this Section 6, there shall not have been any change or decrease specified in such letter or letters; or (ii) subsequent to the Execution Time or, if earlier, the dates as of which information is given in the Offering Memorandum (exclusive of any amendment or supplement thereto), there shall not have been any change, or any development involving a prospective change, in or affecting the condition (financial or otherwise), prospects, earnings, business or properties of the Partnership, the Subsidiaries and the Joint Venture, taken as a whole, whether or not arising from transactions in the ordinary course of business, except as set forth in or contemplated in the Preliminary Offering Memorandum (exclusive of any amendment or supplement thereto) the effect of which, in any case referred to in clause (i) or (ii) above, is, in the sole judgment of the Initial Purchasers, so material and adverse as to make it impractical or inadvisable to market the Securities as contemplated by the Offering Memorandum (exclusive of any amendment or supplement thereto). </w:t>
      </w:r>
    </w:p>
    <w:p>
      <w:pPr>
        <w:pStyle w:val="TextBody"/>
        <w:spacing w:before="120" w:after="283"/>
        <w:jc w:val="left"/>
        <w:rPr/>
      </w:pPr>
      <w:r>
        <w:rPr/>
        <w:t>          </w:t>
      </w:r>
      <w:r>
        <w:rPr>
          <w:rFonts w:ascii="Times New Roman;Times;serif" w:hAnsi="Times New Roman;Times;serif"/>
          <w:sz w:val="17"/>
        </w:rPr>
        <w:t xml:space="preserve">All such opinions, certificates, letters and other documents referred to in this Section 6 will be in compliance with the provisions hereof only if they are reasonably satisfactory in form and substance to you and your counsel. The Issuers shall furnish to the Initial Purchasers conformed copies of such opinions, certificates, letters and other documents in such number as they shall reasonably request. </w:t>
      </w:r>
    </w:p>
    <w:p>
      <w:pPr>
        <w:pStyle w:val="TextBody"/>
        <w:spacing w:before="120" w:after="283"/>
        <w:jc w:val="left"/>
        <w:rPr/>
      </w:pPr>
      <w:r>
        <w:rPr/>
        <w:t>          </w:t>
      </w:r>
      <w:r>
        <w:rPr>
          <w:rFonts w:ascii="Times New Roman;Times;serif" w:hAnsi="Times New Roman;Times;serif"/>
          <w:sz w:val="17"/>
        </w:rPr>
        <w:t xml:space="preserve">If any of the conditions specified in this Section 6 shall not have been fulfilled in all material respects when and as provided in this Agreement, or if any of the opinions and certificates mentioned above or elsewhere in this Agreement shall not be in all material respects reasonably satisfactory in form and substance to the Initial Purchasers and counsel for the Initial Purchasers, this Agreement and all obligations of the Initial Purchasers hereunder may be cancelled at, or at any time prior to, the Closing Date by the Initial Purchasers. Notice of such cancellation shall be given to the Issuers in writing or by telephone or facsimile confirmed in writing. </w:t>
      </w:r>
    </w:p>
    <w:p>
      <w:pPr>
        <w:pStyle w:val="TextBody"/>
        <w:spacing w:before="120" w:after="283"/>
        <w:jc w:val="left"/>
        <w:rPr/>
      </w:pPr>
      <w:r>
        <w:rPr/>
        <w:t>          </w:t>
      </w:r>
      <w:r>
        <w:rPr>
          <w:rFonts w:ascii="Times New Roman;Times;serif" w:hAnsi="Times New Roman;Times;serif"/>
          <w:sz w:val="17"/>
        </w:rPr>
        <w:t xml:space="preserve">The documents required to be delivered by this Section 6 will be delivered at the office of counsel for the Partnership, at 1001 Fannin, Houston, Texas 77002, on the Closing Date. </w:t>
      </w:r>
    </w:p>
    <w:p>
      <w:pPr>
        <w:pStyle w:val="TextBody"/>
        <w:spacing w:before="120" w:after="283"/>
        <w:jc w:val="left"/>
        <w:rPr/>
      </w:pPr>
      <w:r>
        <w:rPr/>
        <w:t>          </w:t>
      </w:r>
      <w:r>
        <w:rPr>
          <w:rFonts w:ascii="Times New Roman;Times;serif" w:hAnsi="Times New Roman;Times;serif"/>
          <w:sz w:val="17"/>
        </w:rPr>
        <w:t xml:space="preserve">7. </w:t>
      </w:r>
      <w:r>
        <w:rPr>
          <w:rFonts w:ascii="Times New Roman;Times;serif" w:hAnsi="Times New Roman;Times;serif"/>
          <w:sz w:val="17"/>
          <w:u w:val="single"/>
        </w:rPr>
        <w:t>Reimbursement of Expenses</w:t>
      </w:r>
      <w:r>
        <w:rPr>
          <w:rFonts w:ascii="Times New Roman;Times;serif" w:hAnsi="Times New Roman;Times;serif"/>
          <w:sz w:val="17"/>
        </w:rPr>
        <w:t xml:space="preserve">. If the sale of the Securities provided for herein is not consummated because any condition to the obligations of the Initial Purchasers set forth in Section 6 hereof is not satisfied, because of any termination pursuant to Section 10(i) hereof based on the suspension of trading in the Partnerships Common Units by the </w:t>
      </w:r>
    </w:p>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Commission or the NYSE or Section 10(iii) or because of any refusal, inability or failure on the part of the Issuers to perform any agreement herein or comply with any provision hereof other than by reason of a default by the Initial Purchasers, the Issuers will reimburse the Initial Purchasers on demand for all out-of-pocket expenses (including reasonable fees and disbursements of counsel) that shall have been incurred by them in connection with the proposed purchase and sale of the Securities. </w:t>
      </w:r>
    </w:p>
    <w:p>
      <w:pPr>
        <w:pStyle w:val="TextBody"/>
        <w:spacing w:before="120" w:after="283"/>
        <w:jc w:val="left"/>
        <w:rPr/>
      </w:pPr>
      <w:r>
        <w:rPr/>
        <w:t>          </w:t>
      </w:r>
      <w:r>
        <w:rPr>
          <w:rFonts w:ascii="Times New Roman;Times;serif" w:hAnsi="Times New Roman;Times;serif"/>
          <w:sz w:val="17"/>
        </w:rPr>
        <w:t xml:space="preserve">8. </w:t>
      </w:r>
      <w:r>
        <w:rPr>
          <w:rFonts w:ascii="Times New Roman;Times;serif" w:hAnsi="Times New Roman;Times;serif"/>
          <w:sz w:val="17"/>
          <w:u w:val="single"/>
        </w:rPr>
        <w:t>Indemnification and Contribution</w:t>
      </w:r>
      <w:r>
        <w:rPr>
          <w:rFonts w:ascii="Times New Roman;Times;serif" w:hAnsi="Times New Roman;Times;serif"/>
          <w:sz w:val="17"/>
        </w:rPr>
        <w:t xml:space="preserve">. (a) Each of the Plains Parties, jointly and severally, agrees to indemnify and hold harmless each Initial Purchaser, the directors, officers, employees and agents of each Initial Purchaser and each person who controls any Initial Purchaser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Preliminary Offering Memorandum, the Pricing Supplement, the Final Offering Memorandum (or in any supplement or amendment to the Final Offering Memorandum) or any other written information used by the Plains Parties in connection with the offer and sale of the Securities or any information provided by the Issuers to any holder or prospective purchaser of Securities pursuant to Section 5(h) hereof, or in any amendment thereof or supplement thereto, or arise out of or are based upon the omission or alleged omission to state therein a material fact required to be stated therein or necessary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the Plains Parties will not be liable in any such case to the extent that any such loss, claim, damage or liability arises out of or is based upon any such untrue statement or alleged untrue statement or omission or alleged omission made in the Preliminary Offering Memorandum, the Pricing Supplement or the Final Offering Memorandum, or in any amendment thereof or supplement thereto, in reliance upon and in conformity with written information furnished to the Issuers or GP LLC by or on behalf of the Initial Purchasers specifically for inclusion therein. This indemnity agreement will be in addition to any liability which any Plains Party may otherwise have. </w:t>
      </w:r>
    </w:p>
    <w:p>
      <w:pPr>
        <w:pStyle w:val="TextBody"/>
        <w:spacing w:before="120" w:after="283"/>
        <w:jc w:val="left"/>
        <w:rPr/>
      </w:pPr>
      <w:r>
        <w:rPr/>
        <w:t>          </w:t>
      </w:r>
      <w:r>
        <w:rPr>
          <w:rFonts w:ascii="Times New Roman;Times;serif" w:hAnsi="Times New Roman;Times;serif"/>
          <w:sz w:val="17"/>
        </w:rPr>
        <w:t xml:space="preserve">(b) The Initial Purchasers, severally and not jointly, agree to indemnify and hold harmless the Plains Parties, their respective directors and the officers and each person who controls the Plains Parties within the meaning of either the Act or the Exchange Act, to the same extent as the foregoing indemnity from the Plains Parties to the Initial Purchasers, but only with reference to written information relating to the Initial Purchasers furnished to the Issuers or GP LLC by or on behalf of the Initial Purchasers specifically for inclusion in the Preliminary Offering Memorandum, the Pricing Supplement or the Final Offering Memorandum (or in any amendment or supplement to the Final Offering Memorandum). This indemnity agreement will be in addition to any liability which the Initial Purchasers may otherwise have. </w:t>
      </w:r>
    </w:p>
    <w:p>
      <w:pPr>
        <w:pStyle w:val="TextBody"/>
        <w:spacing w:before="120" w:after="283"/>
        <w:jc w:val="left"/>
        <w:rPr/>
      </w:pPr>
      <w:r>
        <w:rPr/>
        <w:t>          </w:t>
      </w:r>
      <w:r>
        <w:rPr>
          <w:rFonts w:ascii="Times New Roman;Times;serif" w:hAnsi="Times New Roman;Times;serif"/>
          <w:sz w:val="17"/>
        </w:rPr>
        <w:t xml:space="preserve">(c) Promptly after receipt by an indemnified party under this Section 8 of notice of the commencement of any action, such indemnified party will, if a claim in respect thereof is to be made against the indemnifying party under this Section 8, notify the </w:t>
      </w:r>
    </w:p>
    <w:p>
      <w:pPr>
        <w:pStyle w:val="TextBody"/>
        <w:jc w:val="center"/>
        <w:rPr>
          <w:rFonts w:ascii="Times New Roman;Times;serif" w:hAnsi="Times New Roman;Times;serif"/>
          <w:sz w:val="17"/>
        </w:rPr>
      </w:pPr>
      <w:r>
        <w:rPr>
          <w:rFonts w:ascii="Times New Roman;Times;serif" w:hAnsi="Times New Roman;Times;serif"/>
          <w:sz w:val="17"/>
        </w:rPr>
        <w:t xml:space="preserve">33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failure to act by or on behalf of any indemnified party. </w:t>
      </w:r>
    </w:p>
    <w:p>
      <w:pPr>
        <w:pStyle w:val="TextBody"/>
        <w:spacing w:before="120" w:after="283"/>
        <w:jc w:val="left"/>
        <w:rPr/>
      </w:pPr>
      <w:r>
        <w:rPr/>
        <w:t>          </w:t>
      </w:r>
      <w:r>
        <w:rPr>
          <w:rFonts w:ascii="Times New Roman;Times;serif" w:hAnsi="Times New Roman;Times;serif"/>
          <w:sz w:val="17"/>
        </w:rPr>
        <w:t xml:space="preserve">(d) In the event that the indemnity provided in paragraph (a) or (b) of this Section 8 is unavailable to or insufficient to hold harmless an indemnified party for any reason, the Plains Parties and the Initial Purchasers agree to contribute to the aggregate losses, claims, damages and liabilities (including legal or other expenses reasonably incurred in connection with investigating or defending same) (collectively Losses) to which the Plains Parties and the Initial Purchasers may be subject in such proportion as is appropriate to reflect the relative benefits received by the Plains Parties on the one hand and by the Initial Purchasers on the other from the offering of the Securities;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in no case shall the Initial Purchaser be responsible for any amount in excess of the purchase discount or commission applicable to the Securities purchased by the Initial Purchaser hereunder. If the allocation provided by the immediately preceding sentence is unavailable for any reason, the Plains Parties and the Initial Purchasers shall contribute in such proportion as is appropriate to reflect not only such relative benefits but also the relative fault of the Plains Parties on the one hand and of the Initial Purchasers on the other in connection with the statements or omissions which resulted in such </w:t>
      </w:r>
    </w:p>
    <w:p>
      <w:pPr>
        <w:pStyle w:val="TextBody"/>
        <w:jc w:val="center"/>
        <w:rPr>
          <w:rFonts w:ascii="Times New Roman;Times;serif" w:hAnsi="Times New Roman;Times;serif"/>
          <w:sz w:val="17"/>
        </w:rPr>
      </w:pPr>
      <w:r>
        <w:rPr>
          <w:rFonts w:ascii="Times New Roman;Times;serif" w:hAnsi="Times New Roman;Times;serif"/>
          <w:sz w:val="17"/>
        </w:rPr>
        <w:t xml:space="preserve">34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Losses, as well as any other relevant equitable considerations. Benefits received by the Plains Parties shall be deemed to be equal to the total net proceeds from the offering (before deducting expenses) received by it, and benefits received by the Initial Purchasers shall be deemed to be equal to the total purchase discounts and commissions in each case set forth on the cover of the Final Offering Memorandum. Relative fault shall be determined by reference to, among other things, whether any untrue or any alleged untrue statement of a material fact or the omission or alleged omission to state a material fact relates to information provided by the Plains Parties on the one hand or the Initial Purchasers on the other, the intent of the parties and their relative knowledge, information and opportunity to correct or prevent such untrue statement or omission. The Plains Parties and the Initial Purchasers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the Initial Purchasers within the meaning of either the Act or the Exchange Act and each director, officer, employee and agent of the Initial Purchasers shall have the same rights to contribution as the Initial Purchasers, and any person who controls the Plains Parties within the meaning of either the Act or the Exchange Act and the respective officers and directors of the Plains Parties shall have the same rights to contribution as the Plains Parties, subject in each case to the applicable terms and conditions of this paragraph (d). </w:t>
      </w:r>
    </w:p>
    <w:p>
      <w:pPr>
        <w:pStyle w:val="TextBody"/>
        <w:spacing w:before="120" w:after="283"/>
        <w:jc w:val="left"/>
        <w:rPr/>
      </w:pPr>
      <w:r>
        <w:rPr/>
        <w:t>          </w:t>
      </w:r>
      <w:r>
        <w:rPr>
          <w:rFonts w:ascii="Times New Roman;Times;serif" w:hAnsi="Times New Roman;Times;serif"/>
          <w:sz w:val="17"/>
        </w:rPr>
        <w:t xml:space="preserve">9. </w:t>
      </w:r>
      <w:r>
        <w:rPr>
          <w:rFonts w:ascii="Times New Roman;Times;serif" w:hAnsi="Times New Roman;Times;serif"/>
          <w:sz w:val="17"/>
          <w:u w:val="single"/>
        </w:rPr>
        <w:t>Default by an Initial Purchaser</w:t>
      </w:r>
      <w:r>
        <w:rPr>
          <w:rFonts w:ascii="Times New Roman;Times;serif" w:hAnsi="Times New Roman;Times;serif"/>
          <w:sz w:val="17"/>
        </w:rPr>
        <w:t xml:space="preserve">. If any one or more of the Initial Purchasers shall fail or refuse to purchase Securities which it or they are obligated to purchase hereunder on the Closing Date, and the aggregate principal amount of Securities which such defaulting Initial Purchaser or Initial Purchasers are obligated but fail or refuse to purchase is not more than one tenth of the aggregate principal amount of the Securities which the Initial Purchasers are obligated to purchase on the Closing Date, each non-defaulting Initial Purchaser shall be obligated, severally, in the proportion which the principal amount of Securities set forth opposite its name in Schedule 1 hereto bears to the aggregate principal amount of Securities set forth opposite the names of all non-defaulting Initial Purchasers, to purchase the Securities which such defaulting Initial Purchaser or Initial Purchasers are obligated, but fail or refuse, to purchase. If any one or more of the Initial Purchasers shall fail or refuse to purchase Securities which it or they are obligated to purchase on the Closing Date and the aggregate principal amount of Securities with respect to which such default occurs is more than one tenth of the aggregate principal amount of Securities which the Initial Purchasers are obligated to purchase on the Closing Date and arrangements satisfactory to the Initial Purchasers and the Issuers for the purchase of such Securities by one or more non-defaulting Initial Purchasers or other party or parties approved by the Initial Purchasers and the Issuers are not made within 36 hours after such default, this Agreement will terminate without liability on the part of any party hereto (other than any defaulting Initial Purchaser). In any such case which does not result in termination of this Agreement, either the Initial Purchasers or the Issuers shall have the right to postpone the Closing Date, but in no event for longer than seven days, in order that the required changes, if any, in the Offering Memorandum or any other documents or arrangements may be effected. Any action taken under this paragraph shall not relieve any defaulting Initial Purchaser from liability in respect of any such default of any such Initial Purchaser under this Agreement. The term Initial Purchaser as used in this Agreement includes, for all purposes of this Agreement, </w:t>
      </w:r>
    </w:p>
    <w:p>
      <w:pPr>
        <w:pStyle w:val="TextBody"/>
        <w:jc w:val="center"/>
        <w:rPr>
          <w:rFonts w:ascii="Times New Roman;Times;serif" w:hAnsi="Times New Roman;Times;serif"/>
          <w:sz w:val="17"/>
        </w:rPr>
      </w:pPr>
      <w:r>
        <w:rPr>
          <w:rFonts w:ascii="Times New Roman;Times;serif" w:hAnsi="Times New Roman;Times;serif"/>
          <w:sz w:val="17"/>
        </w:rPr>
        <w:t xml:space="preserve">35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any party not listed in Schedule 1 hereto who, with the approval of the Initial Purchasers and the approval of the Issuers, purchases Securities which a defaulting Initial Purchaser is obligated, but fails or refuses, to purchase. </w:t>
      </w:r>
    </w:p>
    <w:p>
      <w:pPr>
        <w:pStyle w:val="TextBody"/>
        <w:spacing w:before="120" w:after="283"/>
        <w:jc w:val="left"/>
        <w:rPr/>
      </w:pPr>
      <w:r>
        <w:rPr/>
        <w:t>          </w:t>
      </w:r>
      <w:r>
        <w:rPr>
          <w:rFonts w:ascii="Times New Roman;Times;serif" w:hAnsi="Times New Roman;Times;serif"/>
          <w:sz w:val="17"/>
        </w:rPr>
        <w:t xml:space="preserve">Any notice under this Section 9 may be made by telecopy or telephone but shall be subsequently confirmed by letter. </w:t>
      </w:r>
    </w:p>
    <w:p>
      <w:pPr>
        <w:pStyle w:val="TextBody"/>
        <w:spacing w:before="120" w:after="283"/>
        <w:jc w:val="left"/>
        <w:rPr/>
      </w:pPr>
      <w:r>
        <w:rPr/>
        <w:t>          </w:t>
      </w:r>
      <w:r>
        <w:rPr>
          <w:rFonts w:ascii="Times New Roman;Times;serif" w:hAnsi="Times New Roman;Times;serif"/>
          <w:sz w:val="17"/>
        </w:rPr>
        <w:t xml:space="preserve">10. </w:t>
      </w:r>
      <w:r>
        <w:rPr>
          <w:rFonts w:ascii="Times New Roman;Times;serif" w:hAnsi="Times New Roman;Times;serif"/>
          <w:sz w:val="17"/>
          <w:u w:val="single"/>
        </w:rPr>
        <w:t>Termination of Agreement</w:t>
      </w:r>
      <w:r>
        <w:rPr>
          <w:rFonts w:ascii="Times New Roman;Times;serif" w:hAnsi="Times New Roman;Times;serif"/>
          <w:sz w:val="17"/>
        </w:rPr>
        <w:t xml:space="preserve">. This Agreement shall be subject to termination in your absolute discretion, without liability on the part of any of the Initial Purchasers to any Plains Party, by notice to the Issuers prior to delivery of and payment for the Securities, if at any time prior to such time (i) trading in the Partnerships Common Units shall have been suspended by the Commission or the NYSE or 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(iii) (a) a downgrading shall have occurred in any rating accorded the Securities or any other debt securities of any Plains Parties by any nationally recognized statistical rating organization, as that term is defined by the Commission for purposes of Rule 436(g)(2) under the Act, or (b) any such organization shall have publicly announced that it has under surveillance or review, with possible negative implications, its rating of the Securities or any other debt securities of any Plains Parties; or (iv)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Initial Purchasers, impracticable or inadvisable to proceed with the offering or delivery of the Securities as contemplated by the Offering Memorandum (exclusive of any amendment or supplement thereto). Notice of such termination may be given to the Issuers by telegram, telecopy or telephone and shall be subsequently confirmed by letter. </w:t>
      </w:r>
    </w:p>
    <w:p>
      <w:pPr>
        <w:pStyle w:val="TextBody"/>
        <w:spacing w:before="120" w:after="283"/>
        <w:jc w:val="left"/>
        <w:rPr/>
      </w:pPr>
      <w:r>
        <w:rPr/>
        <w:t>          </w:t>
      </w:r>
      <w:r>
        <w:rPr>
          <w:rFonts w:ascii="Times New Roman;Times;serif" w:hAnsi="Times New Roman;Times;serif"/>
          <w:sz w:val="17"/>
        </w:rPr>
        <w:t xml:space="preserve">11. </w:t>
      </w:r>
      <w:r>
        <w:rPr>
          <w:rFonts w:ascii="Times New Roman;Times;serif" w:hAnsi="Times New Roman;Times;serif"/>
          <w:sz w:val="17"/>
          <w:u w:val="single"/>
        </w:rPr>
        <w:t>Representations and Indemnities to Survive</w:t>
      </w:r>
      <w:r>
        <w:rPr>
          <w:rFonts w:ascii="Times New Roman;Times;serif" w:hAnsi="Times New Roman;Times;serif"/>
          <w:sz w:val="17"/>
        </w:rPr>
        <w:t xml:space="preserve">. The respective agreements, representations, warranties, indemnities and other statements of the Plains Parties or their respective officers and of the Initial Purchasers set forth in or made pursuant to this Agreement will remain in full force and effect, regardless of any investigation made by or on behalf of the Initial Purchasers or the Plains Parties or any of the officers, directors or controlling persons referred to in Section 8 hereof, and will survive delivery of and payment for the Securities. The provisions of Sections 7 and 8 hereof shall survive the termination or cancellation of this Agreement. </w:t>
      </w:r>
    </w:p>
    <w:p>
      <w:pPr>
        <w:pStyle w:val="TextBody"/>
        <w:spacing w:before="120" w:after="283"/>
        <w:jc w:val="left"/>
        <w:rPr/>
      </w:pPr>
      <w:r>
        <w:rPr/>
        <w:t>          </w:t>
      </w:r>
      <w:r>
        <w:rPr>
          <w:rFonts w:ascii="Times New Roman;Times;serif" w:hAnsi="Times New Roman;Times;serif"/>
          <w:sz w:val="17"/>
        </w:rPr>
        <w:t xml:space="preserve">12. </w:t>
      </w:r>
      <w:r>
        <w:rPr>
          <w:rFonts w:ascii="Times New Roman;Times;serif" w:hAnsi="Times New Roman;Times;serif"/>
          <w:sz w:val="17"/>
          <w:u w:val="single"/>
        </w:rPr>
        <w:t>Notices</w:t>
      </w:r>
      <w:r>
        <w:rPr>
          <w:rFonts w:ascii="Times New Roman;Times;serif" w:hAnsi="Times New Roman;Times;serif"/>
          <w:sz w:val="17"/>
        </w:rPr>
        <w:t xml:space="preserve">. All communications hereunder will be in writing and effective only on receipt, and, if sent to the Initial Purchasers, will be mailed, delivered or telefaxed to Citigroup Global Markets Inc. General Counsel (fax no.: (212) 816-7912) and confirmed to the General Counsel at Citigroup Global Markets Inc., 388 Greenwich Street, New York, New York 10013, Attention: General Counsel; or, if sent to any of the Plains Parties, will be mailed, delivered or telefaxed to the Issuers at 333 Clay, Suite 1600, Houston, TX 77002, fax no.: (713) 646-4313 and confirmed to it at (713) 646-4100, attn: Tim Moore. </w:t>
      </w:r>
    </w:p>
    <w:p>
      <w:pPr>
        <w:pStyle w:val="TextBody"/>
        <w:jc w:val="center"/>
        <w:rPr>
          <w:rFonts w:ascii="Times New Roman;Times;serif" w:hAnsi="Times New Roman;Times;serif"/>
          <w:sz w:val="17"/>
        </w:rPr>
      </w:pPr>
      <w:r>
        <w:rPr>
          <w:rFonts w:ascii="Times New Roman;Times;serif" w:hAnsi="Times New Roman;Times;serif"/>
          <w:sz w:val="17"/>
        </w:rPr>
        <w:t xml:space="preserve">36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13. </w:t>
      </w:r>
      <w:r>
        <w:rPr>
          <w:rFonts w:ascii="Times New Roman;Times;serif" w:hAnsi="Times New Roman;Times;serif"/>
          <w:sz w:val="17"/>
          <w:u w:val="single"/>
        </w:rPr>
        <w:t>Successors</w:t>
      </w:r>
      <w:r>
        <w:rPr>
          <w:rFonts w:ascii="Times New Roman;Times;serif" w:hAnsi="Times New Roman;Times;serif"/>
          <w:sz w:val="17"/>
        </w:rPr>
        <w:t xml:space="preserve">. This Agreement will inure to the benefit of and be binding upon the parties hereto and their respective successors and the officers and directors and controlling persons referred to in Section 8 hereof, and, except as expressly set forth in Section 5(h) hereof, no other person will have any right or obligation hereunder. </w:t>
      </w:r>
    </w:p>
    <w:p>
      <w:pPr>
        <w:pStyle w:val="TextBody"/>
        <w:spacing w:before="120" w:after="283"/>
        <w:jc w:val="left"/>
        <w:rPr/>
      </w:pPr>
      <w:r>
        <w:rPr/>
        <w:t>          </w:t>
      </w:r>
      <w:r>
        <w:rPr>
          <w:rFonts w:ascii="Times New Roman;Times;serif" w:hAnsi="Times New Roman;Times;serif"/>
          <w:sz w:val="17"/>
        </w:rPr>
        <w:t xml:space="preserve">14. </w:t>
      </w:r>
      <w:r>
        <w:rPr>
          <w:rFonts w:ascii="Times New Roman;Times;serif" w:hAnsi="Times New Roman;Times;serif"/>
          <w:sz w:val="17"/>
          <w:u w:val="single"/>
        </w:rPr>
        <w:t>Integration</w:t>
      </w:r>
      <w:r>
        <w:rPr>
          <w:rFonts w:ascii="Times New Roman;Times;serif" w:hAnsi="Times New Roman;Times;serif"/>
          <w:sz w:val="17"/>
        </w:rPr>
        <w:t xml:space="preserve">. This Agreement supersedes all prior agreements and understandings (whether written or oral) between the Plains Parties and the Initial Purchasers, or any of them, with respect to the subject matter hereof. </w:t>
      </w:r>
    </w:p>
    <w:p>
      <w:pPr>
        <w:pStyle w:val="TextBody"/>
        <w:spacing w:before="120" w:after="283"/>
        <w:jc w:val="left"/>
        <w:rPr/>
      </w:pPr>
      <w:r>
        <w:rPr/>
        <w:t>          </w:t>
      </w:r>
      <w:r>
        <w:rPr>
          <w:rFonts w:ascii="Times New Roman;Times;serif" w:hAnsi="Times New Roman;Times;serif"/>
          <w:sz w:val="17"/>
        </w:rPr>
        <w:t xml:space="preserve">15. </w:t>
      </w:r>
      <w:r>
        <w:rPr>
          <w:rFonts w:ascii="Times New Roman;Times;serif" w:hAnsi="Times New Roman;Times;serif"/>
          <w:sz w:val="17"/>
          <w:u w:val="single"/>
        </w:rPr>
        <w:t>Applicable Law; Counterparts</w:t>
      </w:r>
      <w:r>
        <w:rPr>
          <w:rFonts w:ascii="Times New Roman;Times;serif" w:hAnsi="Times New Roman;Times;serif"/>
          <w:sz w:val="17"/>
        </w:rPr>
        <w:t xml:space="preserve">. This Agreement shall be governed by and construed in accordance with the laws of the State of New York applicable to contracts made and to be performed within the State of New York. This Agreement may be signed in various counterparts which together constitute one and the same instrument. If signed in counterparts, this Agreement shall not become effective unless at least one counterpart hereof shall have executed and delivered on behalf of each party hereto. </w:t>
      </w:r>
    </w:p>
    <w:p>
      <w:pPr>
        <w:pStyle w:val="TextBody"/>
        <w:spacing w:before="120" w:after="283"/>
        <w:jc w:val="left"/>
        <w:rPr/>
      </w:pPr>
      <w:r>
        <w:rPr/>
        <w:t>          </w:t>
      </w:r>
      <w:r>
        <w:rPr>
          <w:rFonts w:ascii="Times New Roman;Times;serif" w:hAnsi="Times New Roman;Times;serif"/>
          <w:sz w:val="17"/>
        </w:rPr>
        <w:t xml:space="preserve">16. </w:t>
      </w:r>
      <w:r>
        <w:rPr>
          <w:rFonts w:ascii="Times New Roman;Times;serif" w:hAnsi="Times New Roman;Times;serif"/>
          <w:sz w:val="17"/>
          <w:u w:val="single"/>
        </w:rPr>
        <w:t>Headings</w:t>
      </w:r>
      <w:r>
        <w:rPr>
          <w:rFonts w:ascii="Times New Roman;Times;serif" w:hAnsi="Times New Roman;Times;serif"/>
          <w:sz w:val="17"/>
        </w:rPr>
        <w:t xml:space="preserve">. The Section headings used herein are for convenience only and shall not affect the construction hereof. </w:t>
      </w:r>
    </w:p>
    <w:p>
      <w:pPr>
        <w:pStyle w:val="TextBody"/>
        <w:spacing w:before="120" w:after="283"/>
        <w:jc w:val="left"/>
        <w:rPr/>
      </w:pPr>
      <w:r>
        <w:rPr/>
        <w:t>          </w:t>
      </w:r>
      <w:r>
        <w:rPr>
          <w:rFonts w:ascii="Times New Roman;Times;serif" w:hAnsi="Times New Roman;Times;serif"/>
          <w:sz w:val="17"/>
        </w:rPr>
        <w:t xml:space="preserve">17. </w:t>
      </w:r>
      <w:r>
        <w:rPr>
          <w:rFonts w:ascii="Times New Roman;Times;serif" w:hAnsi="Times New Roman;Times;serif"/>
          <w:sz w:val="17"/>
          <w:u w:val="single"/>
        </w:rPr>
        <w:t>Effective Date of Agreement</w:t>
      </w:r>
      <w:r>
        <w:rPr>
          <w:rFonts w:ascii="Times New Roman;Times;serif" w:hAnsi="Times New Roman;Times;serif"/>
          <w:sz w:val="17"/>
        </w:rPr>
        <w:t xml:space="preserve">. This Agreement shall become effective upon the execution and delivery hereof by the parties hereto. </w:t>
      </w:r>
    </w:p>
    <w:p>
      <w:pPr>
        <w:pStyle w:val="TextBody"/>
        <w:spacing w:before="120" w:after="283"/>
        <w:jc w:val="left"/>
        <w:rPr/>
      </w:pPr>
      <w:r>
        <w:rPr/>
        <w:t>          </w:t>
      </w:r>
      <w:r>
        <w:rPr>
          <w:rFonts w:ascii="Times New Roman;Times;serif" w:hAnsi="Times New Roman;Times;serif"/>
          <w:sz w:val="17"/>
        </w:rPr>
        <w:t xml:space="preserve">18. </w:t>
      </w:r>
      <w:r>
        <w:rPr>
          <w:rFonts w:ascii="Times New Roman;Times;serif" w:hAnsi="Times New Roman;Times;serif"/>
          <w:sz w:val="17"/>
          <w:u w:val="single"/>
        </w:rPr>
        <w:t>No Fiduciary Duty</w:t>
      </w:r>
      <w:r>
        <w:rPr>
          <w:rFonts w:ascii="Times New Roman;Times;serif" w:hAnsi="Times New Roman;Times;serif"/>
          <w:sz w:val="17"/>
        </w:rPr>
        <w:t xml:space="preserve">. The Plains Parties hereby acknowledge that (a) the purchase and sale of the Securities pursuant to this Agreement is an arms-length commercial transaction between the Plains Parties, on the one hand, and the Initial Purchasers and any affiliate through which it may be acting, on the other, (b) the Initial Purchasers are acting as principal and not as an agent or fiduciary of the Plains Parties and (c) the Plains Parties engagement of the Initial Purchasers in connection with the offering and the process leading up to the offering is as independent contractors and not in any other capacity. Furthermore, the Plains Parties agree that they are solely responsible for making their own judgments in connection with the offering (irrespective of whether any of the Initial Purchasers has advised or is currently advising the Plains Parties on related or other matters). The Plains Parties agree that they will not claim that the Initial Purchasers have rendered advisory services of any nature or respect, or owe an agency, fiduciary or similar duty to the Plains Parties, in connection with such transaction or the process leading thereto. </w:t>
      </w:r>
    </w:p>
    <w:p>
      <w:pPr>
        <w:pStyle w:val="TextBody"/>
        <w:spacing w:before="120" w:after="283"/>
        <w:jc w:val="left"/>
        <w:rPr/>
      </w:pPr>
      <w:r>
        <w:rPr/>
        <w:t>          </w:t>
      </w:r>
      <w:r>
        <w:rPr>
          <w:rFonts w:ascii="Times New Roman;Times;serif" w:hAnsi="Times New Roman;Times;serif"/>
          <w:sz w:val="17"/>
        </w:rPr>
        <w:t xml:space="preserve">19. </w:t>
      </w:r>
      <w:r>
        <w:rPr>
          <w:rFonts w:ascii="Times New Roman;Times;serif" w:hAnsi="Times New Roman;Times;serif"/>
          <w:sz w:val="17"/>
          <w:u w:val="single"/>
        </w:rPr>
        <w:t>Definitions</w:t>
      </w:r>
      <w:r>
        <w:rPr>
          <w:rFonts w:ascii="Times New Roman;Times;serif" w:hAnsi="Times New Roman;Times;serif"/>
          <w:sz w:val="17"/>
        </w:rPr>
        <w:t xml:space="preserve">. The terms which follow, when used in this Agreement, shall have the meanings indicated. </w:t>
      </w:r>
    </w:p>
    <w:p>
      <w:pPr>
        <w:pStyle w:val="TextBody"/>
        <w:spacing w:before="120" w:after="283"/>
        <w:jc w:val="left"/>
        <w:rPr/>
      </w:pPr>
      <w:r>
        <w:rPr/>
        <w:t>          </w:t>
      </w:r>
      <w:r>
        <w:rPr>
          <w:rFonts w:ascii="Times New Roman;Times;serif" w:hAnsi="Times New Roman;Times;serif"/>
          <w:sz w:val="17"/>
        </w:rPr>
        <w:t xml:space="preserve">Act shall mean the Securities Act of 1933, as amended, and the rules and regulations of the Commission promulgated thereunder. </w:t>
      </w:r>
    </w:p>
    <w:p>
      <w:pPr>
        <w:pStyle w:val="TextBody"/>
        <w:spacing w:before="120" w:after="283"/>
        <w:jc w:val="left"/>
        <w:rPr/>
      </w:pPr>
      <w:r>
        <w:rPr/>
        <w:t>          </w:t>
      </w:r>
      <w:r>
        <w:rPr>
          <w:rFonts w:ascii="Times New Roman;Times;serif" w:hAnsi="Times New Roman;Times;serif"/>
          <w:sz w:val="17"/>
        </w:rPr>
        <w:t xml:space="preserve">Commission shall mean the Securities and Exchange Commission. </w:t>
      </w:r>
    </w:p>
    <w:p>
      <w:pPr>
        <w:pStyle w:val="TextBody"/>
        <w:spacing w:before="120" w:after="283"/>
        <w:jc w:val="left"/>
        <w:rPr/>
      </w:pPr>
      <w:r>
        <w:rPr/>
        <w:t>          </w:t>
      </w:r>
      <w:r>
        <w:rPr>
          <w:rFonts w:ascii="Times New Roman;Times;serif" w:hAnsi="Times New Roman;Times;serif"/>
          <w:sz w:val="17"/>
        </w:rPr>
        <w:t xml:space="preserve">Exchange Act shall mean the Securities Exchange Act of 1934, as amended, and the rules and regulations of the Commission promulgated thereunder. </w:t>
      </w:r>
    </w:p>
    <w:p>
      <w:pPr>
        <w:pStyle w:val="TextBody"/>
        <w:jc w:val="center"/>
        <w:rPr>
          <w:rFonts w:ascii="Times New Roman;Times;serif" w:hAnsi="Times New Roman;Times;serif"/>
          <w:sz w:val="17"/>
        </w:rPr>
      </w:pPr>
      <w:r>
        <w:rPr>
          <w:rFonts w:ascii="Times New Roman;Times;serif" w:hAnsi="Times New Roman;Times;serif"/>
          <w:sz w:val="17"/>
        </w:rPr>
        <w:t xml:space="preserve">37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Investment Company Act shall mean the Investment Company Act of 1940, as amended, and the rules and regulations of the Commission promulgated thereunder. </w:t>
      </w:r>
    </w:p>
    <w:p>
      <w:pPr>
        <w:pStyle w:val="TextBody"/>
        <w:spacing w:before="120" w:after="283"/>
        <w:jc w:val="left"/>
        <w:rPr/>
      </w:pPr>
      <w:r>
        <w:rPr/>
        <w:t>          </w:t>
      </w:r>
      <w:r>
        <w:rPr>
          <w:rFonts w:ascii="Times New Roman;Times;serif" w:hAnsi="Times New Roman;Times;serif"/>
          <w:sz w:val="17"/>
        </w:rPr>
        <w:t xml:space="preserve">Regulation D shall mean Regulation D under the Act. </w:t>
      </w:r>
    </w:p>
    <w:p>
      <w:pPr>
        <w:pStyle w:val="TextBody"/>
        <w:spacing w:before="120" w:after="283"/>
        <w:jc w:val="left"/>
        <w:rPr/>
      </w:pPr>
      <w:r>
        <w:rPr/>
        <w:t>          </w:t>
      </w:r>
      <w:r>
        <w:rPr>
          <w:rFonts w:ascii="Times New Roman;Times;serif" w:hAnsi="Times New Roman;Times;serif"/>
          <w:sz w:val="17"/>
        </w:rPr>
        <w:t xml:space="preserve">Regulation S shall mean Regulation S under the Act. </w:t>
      </w:r>
    </w:p>
    <w:p>
      <w:pPr>
        <w:pStyle w:val="TextBody"/>
        <w:spacing w:before="120" w:after="283"/>
        <w:jc w:val="left"/>
        <w:rPr/>
      </w:pPr>
      <w:r>
        <w:rPr/>
        <w:t>          </w:t>
      </w:r>
      <w:r>
        <w:rPr>
          <w:rFonts w:ascii="Times New Roman;Times;serif" w:hAnsi="Times New Roman;Times;serif"/>
          <w:sz w:val="17"/>
        </w:rPr>
        <w:t xml:space="preserve">Trust Indenture Act shall mean the Trust Indenture Act of 1939, as amended, and the rules and regulations of the Commission promulgated thereunder. </w:t>
      </w:r>
    </w:p>
    <w:p>
      <w:pPr>
        <w:pStyle w:val="TextBody"/>
        <w:jc w:val="center"/>
        <w:rPr>
          <w:rFonts w:ascii="Times New Roman;Times;serif" w:hAnsi="Times New Roman;Times;serif"/>
          <w:sz w:val="17"/>
        </w:rPr>
      </w:pPr>
      <w:r>
        <w:rPr>
          <w:rFonts w:ascii="Times New Roman;Times;serif" w:hAnsi="Times New Roman;Times;serif"/>
          <w:sz w:val="17"/>
        </w:rPr>
        <w:t xml:space="preserve">38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If the foregoing is in accordance with your understanding of our agreement, please sign and return to us the enclosed duplicate hereof, whereupon this Agreement and your acceptance shall represent a binding agreement among the Plains Parties and the Initial Purchasers. </w:t>
      </w:r>
    </w:p>
    <w:tbl>
      <w:tblPr>
        <w:tblW w:w="5000" w:type="pct"/>
        <w:jc w:val="center"/>
        <w:tblInd w:w="0" w:type="dxa"/>
        <w:tblCellMar>
          <w:top w:w="0" w:type="dxa"/>
          <w:left w:w="0" w:type="dxa"/>
          <w:bottom w:w="0" w:type="dxa"/>
          <w:right w:w="0" w:type="dxa"/>
        </w:tblCellMar>
      </w:tblPr>
      <w:tblGrid>
        <w:gridCol w:w="2932"/>
        <w:gridCol w:w="190"/>
        <w:gridCol w:w="722"/>
        <w:gridCol w:w="233"/>
        <w:gridCol w:w="1210"/>
        <w:gridCol w:w="190"/>
        <w:gridCol w:w="3195"/>
        <w:gridCol w:w="553"/>
        <w:gridCol w:w="980"/>
      </w:tblGrid>
      <w:tr>
        <w:trPr/>
        <w:tc>
          <w:tcPr>
            <w:tcW w:w="293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3195"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r>
      <w:tr>
        <w:trPr/>
        <w:tc>
          <w:tcPr>
            <w:tcW w:w="2932" w:type="dxa"/>
            <w:tcBorders/>
            <w:shd w:fill="auto" w:val="clear"/>
          </w:tcPr>
          <w:p>
            <w:pPr>
              <w:pStyle w:val="TableContents"/>
              <w:spacing w:before="0" w:after="0"/>
              <w:ind w:left="0" w:right="0" w:hanging="0"/>
              <w:rPr/>
            </w:pPr>
            <w:r>
              <w:rPr/>
              <w:t xml:space="preserve">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bottom"/>
          </w:tcPr>
          <w:p>
            <w:pPr>
              <w:pStyle w:val="TableContents"/>
              <w:spacing w:before="0" w:after="283"/>
              <w:rPr/>
            </w:pPr>
            <w:r>
              <w:rPr/>
              <w:t> </w:t>
            </w:r>
          </w:p>
        </w:tc>
        <w:tc>
          <w:tcPr>
            <w:tcW w:w="3195" w:type="dxa"/>
            <w:tcBorders/>
            <w:shd w:fill="auto" w:val="clear"/>
          </w:tcPr>
          <w:p>
            <w:pPr>
              <w:pStyle w:val="TableContents"/>
              <w:spacing w:before="0" w:after="283"/>
              <w:jc w:val="left"/>
              <w:rPr/>
            </w:pPr>
            <w:r>
              <w:rPr/>
              <w:t> </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550" w:type="dxa"/>
            <w:gridSpan w:val="5"/>
            <w:tcBorders/>
            <w:shd w:fill="auto" w:val="clear"/>
          </w:tcPr>
          <w:p>
            <w:pPr>
              <w:pStyle w:val="TableContents"/>
              <w:spacing w:before="0" w:after="283"/>
              <w:jc w:val="left"/>
              <w:rPr/>
            </w:pPr>
            <w:r>
              <w:rPr/>
              <w:t>Very truly yours,</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bottom"/>
          </w:tcPr>
          <w:p>
            <w:pPr>
              <w:pStyle w:val="TableContents"/>
              <w:spacing w:before="0" w:after="283"/>
              <w:rPr/>
            </w:pPr>
            <w:r>
              <w:rPr/>
              <w:t> </w:t>
            </w:r>
          </w:p>
        </w:tc>
        <w:tc>
          <w:tcPr>
            <w:tcW w:w="3195" w:type="dxa"/>
            <w:tcBorders/>
            <w:shd w:fill="auto" w:val="clear"/>
          </w:tcPr>
          <w:p>
            <w:pPr>
              <w:pStyle w:val="TableContents"/>
              <w:spacing w:before="0" w:after="283"/>
              <w:jc w:val="left"/>
              <w:rPr/>
            </w:pPr>
            <w:r>
              <w:rPr/>
              <w:t> </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550" w:type="dxa"/>
            <w:gridSpan w:val="5"/>
            <w:tcBorders/>
            <w:shd w:fill="auto" w:val="clear"/>
          </w:tcPr>
          <w:p>
            <w:pPr>
              <w:pStyle w:val="TableContents"/>
              <w:spacing w:before="0" w:after="283"/>
              <w:jc w:val="left"/>
              <w:rPr/>
            </w:pPr>
            <w:r>
              <w:rPr/>
              <w:t>PLAINS ALL AMERICAN PIPELINE, L.P.</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bottom"/>
          </w:tcPr>
          <w:p>
            <w:pPr>
              <w:pStyle w:val="TableContents"/>
              <w:spacing w:before="0" w:after="283"/>
              <w:rPr/>
            </w:pPr>
            <w:r>
              <w:rPr/>
              <w:t> </w:t>
            </w:r>
          </w:p>
        </w:tc>
        <w:tc>
          <w:tcPr>
            <w:tcW w:w="3195" w:type="dxa"/>
            <w:tcBorders/>
            <w:shd w:fill="auto" w:val="clear"/>
          </w:tcPr>
          <w:p>
            <w:pPr>
              <w:pStyle w:val="TableContents"/>
              <w:spacing w:before="0" w:after="283"/>
              <w:jc w:val="left"/>
              <w:rPr/>
            </w:pPr>
            <w:r>
              <w:rPr/>
              <w:t> </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By:</w:t>
            </w:r>
          </w:p>
        </w:tc>
        <w:tc>
          <w:tcPr>
            <w:tcW w:w="233" w:type="dxa"/>
            <w:tcBorders/>
            <w:shd w:fill="auto" w:val="clear"/>
            <w:vAlign w:val="bottom"/>
          </w:tcPr>
          <w:p>
            <w:pPr>
              <w:pStyle w:val="TableContents"/>
              <w:spacing w:before="0" w:after="283"/>
              <w:rPr/>
            </w:pPr>
            <w:r>
              <w:rPr/>
              <w:t> </w:t>
            </w:r>
          </w:p>
        </w:tc>
        <w:tc>
          <w:tcPr>
            <w:tcW w:w="4595" w:type="dxa"/>
            <w:gridSpan w:val="3"/>
            <w:tcBorders/>
            <w:shd w:fill="auto" w:val="clear"/>
          </w:tcPr>
          <w:p>
            <w:pPr>
              <w:pStyle w:val="TableContents"/>
              <w:spacing w:before="0" w:after="283"/>
              <w:jc w:val="left"/>
              <w:rPr/>
            </w:pPr>
            <w:r>
              <w:rPr/>
              <w:t>PLAINS AAP, L.P.</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4595" w:type="dxa"/>
            <w:gridSpan w:val="3"/>
            <w:tcBorders/>
            <w:shd w:fill="auto" w:val="clear"/>
          </w:tcPr>
          <w:p>
            <w:pPr>
              <w:pStyle w:val="TableContents"/>
              <w:spacing w:before="0" w:after="283"/>
              <w:jc w:val="left"/>
              <w:rPr/>
            </w:pPr>
            <w:r>
              <w:rPr/>
              <w:t>its General Partner</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bottom"/>
          </w:tcPr>
          <w:p>
            <w:pPr>
              <w:pStyle w:val="TableContents"/>
              <w:spacing w:before="0" w:after="283"/>
              <w:rPr/>
            </w:pPr>
            <w:r>
              <w:rPr/>
              <w:t> </w:t>
            </w:r>
          </w:p>
        </w:tc>
        <w:tc>
          <w:tcPr>
            <w:tcW w:w="3195" w:type="dxa"/>
            <w:tcBorders/>
            <w:shd w:fill="auto" w:val="clear"/>
          </w:tcPr>
          <w:p>
            <w:pPr>
              <w:pStyle w:val="TableContents"/>
              <w:spacing w:before="0" w:after="283"/>
              <w:jc w:val="left"/>
              <w:rPr/>
            </w:pPr>
            <w:r>
              <w:rPr/>
              <w:t> </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By:</w:t>
            </w:r>
          </w:p>
        </w:tc>
        <w:tc>
          <w:tcPr>
            <w:tcW w:w="233" w:type="dxa"/>
            <w:tcBorders/>
            <w:shd w:fill="auto" w:val="clear"/>
            <w:vAlign w:val="bottom"/>
          </w:tcPr>
          <w:p>
            <w:pPr>
              <w:pStyle w:val="TableContents"/>
              <w:spacing w:before="0" w:after="283"/>
              <w:rPr/>
            </w:pPr>
            <w:r>
              <w:rPr/>
              <w:t> </w:t>
            </w:r>
          </w:p>
        </w:tc>
        <w:tc>
          <w:tcPr>
            <w:tcW w:w="4595" w:type="dxa"/>
            <w:gridSpan w:val="3"/>
            <w:tcBorders/>
            <w:shd w:fill="auto" w:val="clear"/>
          </w:tcPr>
          <w:p>
            <w:pPr>
              <w:pStyle w:val="TableContents"/>
              <w:spacing w:before="0" w:after="283"/>
              <w:jc w:val="left"/>
              <w:rPr/>
            </w:pPr>
            <w:r>
              <w:rPr/>
              <w:t>PLAINS ALL AMERICAN GP LLC</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4595" w:type="dxa"/>
            <w:gridSpan w:val="3"/>
            <w:tcBorders/>
            <w:shd w:fill="auto" w:val="clear"/>
          </w:tcPr>
          <w:p>
            <w:pPr>
              <w:pStyle w:val="TableContents"/>
              <w:spacing w:before="0" w:after="283"/>
              <w:jc w:val="left"/>
              <w:rPr/>
            </w:pPr>
            <w:r>
              <w:rPr/>
              <w:t>its General Partner</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bottom"/>
          </w:tcPr>
          <w:p>
            <w:pPr>
              <w:pStyle w:val="TableContents"/>
              <w:spacing w:before="0" w:after="283"/>
              <w:rPr/>
            </w:pPr>
            <w:r>
              <w:rPr/>
              <w:t> </w:t>
            </w:r>
          </w:p>
        </w:tc>
        <w:tc>
          <w:tcPr>
            <w:tcW w:w="3195" w:type="dxa"/>
            <w:tcBorders/>
            <w:shd w:fill="auto" w:val="clear"/>
          </w:tcPr>
          <w:p>
            <w:pPr>
              <w:pStyle w:val="TableContents"/>
              <w:spacing w:before="0" w:after="283"/>
              <w:jc w:val="left"/>
              <w:rPr/>
            </w:pPr>
            <w:r>
              <w:rPr/>
              <w:t> </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0"/>
              <w:ind w:left="0" w:right="0" w:hanging="0"/>
              <w:rPr/>
            </w:pPr>
            <w:r>
              <w:rPr/>
              <w:t xml:space="preserve">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By:</w:t>
            </w:r>
          </w:p>
        </w:tc>
        <w:tc>
          <w:tcPr>
            <w:tcW w:w="190" w:type="dxa"/>
            <w:tcBorders/>
            <w:shd w:fill="auto" w:val="clear"/>
            <w:vAlign w:val="bottom"/>
          </w:tcPr>
          <w:p>
            <w:pPr>
              <w:pStyle w:val="TableContents"/>
              <w:spacing w:before="0" w:after="283"/>
              <w:rPr/>
            </w:pPr>
            <w:r>
              <w:rPr/>
              <w:t> </w:t>
            </w:r>
          </w:p>
        </w:tc>
        <w:tc>
          <w:tcPr>
            <w:tcW w:w="3195" w:type="dxa"/>
            <w:tcBorders/>
            <w:shd w:fill="auto" w:val="clear"/>
          </w:tcPr>
          <w:p>
            <w:pPr>
              <w:pStyle w:val="TableContents"/>
              <w:spacing w:before="0" w:after="283"/>
              <w:jc w:val="left"/>
              <w:rPr/>
            </w:pPr>
            <w:r>
              <w:rPr/>
              <w:t> </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0"/>
              <w:ind w:left="0" w:right="0" w:hanging="0"/>
              <w:rPr/>
            </w:pPr>
            <w:r>
              <w:rPr/>
              <w:t xml:space="preserve">  </w:t>
            </w:r>
          </w:p>
        </w:tc>
        <w:tc>
          <w:tcPr>
            <w:tcW w:w="190" w:type="dxa"/>
            <w:tcBorders/>
            <w:shd w:fill="auto" w:val="clear"/>
            <w:vAlign w:val="center"/>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center"/>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center"/>
          </w:tcPr>
          <w:p>
            <w:pPr>
              <w:pStyle w:val="TableContents"/>
              <w:spacing w:before="0" w:after="283"/>
              <w:rPr/>
            </w:pPr>
            <w:r>
              <w:rPr/>
              <w:t> </w:t>
            </w:r>
          </w:p>
        </w:tc>
        <w:tc>
          <w:tcPr>
            <w:tcW w:w="3195" w:type="dxa"/>
            <w:tcBorders>
              <w:top w:val="single" w:sz="2" w:space="0" w:color="000000"/>
            </w:tcBorders>
            <w:shd w:fill="auto" w:val="clear"/>
            <w:tcMar>
              <w:top w:w="28" w:type="dxa"/>
            </w:tcMar>
          </w:tcPr>
          <w:p>
            <w:pPr>
              <w:pStyle w:val="TableContents"/>
              <w:spacing w:before="0" w:after="283"/>
              <w:jc w:val="left"/>
              <w:rPr/>
            </w:pPr>
            <w:r>
              <w:rPr/>
              <w:t> </w:t>
            </w:r>
          </w:p>
        </w:tc>
        <w:tc>
          <w:tcPr>
            <w:tcW w:w="553" w:type="dxa"/>
            <w:tcBorders/>
            <w:shd w:fill="auto" w:val="clear"/>
            <w:vAlign w:val="center"/>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bottom"/>
          </w:tcPr>
          <w:p>
            <w:pPr>
              <w:pStyle w:val="TableContents"/>
              <w:spacing w:before="0" w:after="283"/>
              <w:rPr/>
            </w:pPr>
            <w:r>
              <w:rPr/>
              <w:t> </w:t>
            </w:r>
          </w:p>
        </w:tc>
        <w:tc>
          <w:tcPr>
            <w:tcW w:w="4728" w:type="dxa"/>
            <w:gridSpan w:val="3"/>
            <w:tcBorders/>
            <w:shd w:fill="auto" w:val="clear"/>
          </w:tcPr>
          <w:p>
            <w:pPr>
              <w:pStyle w:val="TableContents"/>
              <w:spacing w:before="0" w:after="283"/>
              <w:jc w:val="left"/>
              <w:rPr/>
            </w:pPr>
            <w:r>
              <w:rPr/>
              <w:t>Name: Phil Kramer</w:t>
            </w:r>
          </w:p>
        </w:tc>
      </w:tr>
      <w:tr>
        <w:trPr/>
        <w:tc>
          <w:tcPr>
            <w:tcW w:w="2932"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bottom"/>
          </w:tcPr>
          <w:p>
            <w:pPr>
              <w:pStyle w:val="TableContents"/>
              <w:spacing w:before="0" w:after="283"/>
              <w:rPr/>
            </w:pPr>
            <w:r>
              <w:rPr/>
              <w:t> </w:t>
            </w:r>
          </w:p>
        </w:tc>
        <w:tc>
          <w:tcPr>
            <w:tcW w:w="4728" w:type="dxa"/>
            <w:gridSpan w:val="3"/>
            <w:tcBorders/>
            <w:shd w:fill="auto" w:val="clear"/>
          </w:tcPr>
          <w:p>
            <w:pPr>
              <w:pStyle w:val="TableContents"/>
              <w:spacing w:before="0" w:after="283"/>
              <w:jc w:val="left"/>
              <w:rPr/>
            </w:pPr>
            <w:r>
              <w:rPr/>
              <w:t xml:space="preserve">Title:   Executive Vice President and Chief </w:t>
              <w:br/>
              <w:t>            Financial Officer</w:t>
            </w:r>
          </w:p>
        </w:tc>
      </w:tr>
      <w:tr>
        <w:trPr/>
        <w:tc>
          <w:tcPr>
            <w:tcW w:w="2932"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bottom"/>
          </w:tcPr>
          <w:p>
            <w:pPr>
              <w:pStyle w:val="TableContents"/>
              <w:spacing w:before="0" w:after="283"/>
              <w:rPr/>
            </w:pPr>
            <w:r>
              <w:rPr/>
              <w:t> </w:t>
            </w:r>
          </w:p>
        </w:tc>
        <w:tc>
          <w:tcPr>
            <w:tcW w:w="3195" w:type="dxa"/>
            <w:tcBorders/>
            <w:shd w:fill="auto" w:val="clear"/>
          </w:tcPr>
          <w:p>
            <w:pPr>
              <w:pStyle w:val="TableContents"/>
              <w:spacing w:before="0" w:after="283"/>
              <w:jc w:val="left"/>
              <w:rPr/>
            </w:pPr>
            <w:r>
              <w:rPr/>
              <w:t> </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550" w:type="dxa"/>
            <w:gridSpan w:val="5"/>
            <w:tcBorders/>
            <w:shd w:fill="auto" w:val="clear"/>
          </w:tcPr>
          <w:p>
            <w:pPr>
              <w:pStyle w:val="TableContents"/>
              <w:spacing w:before="0" w:after="283"/>
              <w:jc w:val="left"/>
              <w:rPr/>
            </w:pPr>
            <w:r>
              <w:rPr/>
              <w:t>PAA FINANCE CORP.</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bottom"/>
          </w:tcPr>
          <w:p>
            <w:pPr>
              <w:pStyle w:val="TableContents"/>
              <w:spacing w:before="0" w:after="283"/>
              <w:rPr/>
            </w:pPr>
            <w:r>
              <w:rPr/>
              <w:t> </w:t>
            </w:r>
          </w:p>
        </w:tc>
        <w:tc>
          <w:tcPr>
            <w:tcW w:w="3195" w:type="dxa"/>
            <w:tcBorders/>
            <w:shd w:fill="auto" w:val="clear"/>
          </w:tcPr>
          <w:p>
            <w:pPr>
              <w:pStyle w:val="TableContents"/>
              <w:spacing w:before="0" w:after="283"/>
              <w:jc w:val="left"/>
              <w:rPr/>
            </w:pPr>
            <w:r>
              <w:rPr/>
              <w:t> </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0"/>
              <w:ind w:left="0" w:right="0" w:hanging="0"/>
              <w:rPr/>
            </w:pPr>
            <w:r>
              <w:rPr/>
              <w:t xml:space="preserve">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By:</w:t>
            </w:r>
          </w:p>
        </w:tc>
        <w:tc>
          <w:tcPr>
            <w:tcW w:w="190" w:type="dxa"/>
            <w:tcBorders/>
            <w:shd w:fill="auto" w:val="clear"/>
            <w:vAlign w:val="bottom"/>
          </w:tcPr>
          <w:p>
            <w:pPr>
              <w:pStyle w:val="TableContents"/>
              <w:spacing w:before="0" w:after="283"/>
              <w:rPr/>
            </w:pPr>
            <w:r>
              <w:rPr/>
              <w:t> </w:t>
            </w:r>
          </w:p>
        </w:tc>
        <w:tc>
          <w:tcPr>
            <w:tcW w:w="3195" w:type="dxa"/>
            <w:tcBorders/>
            <w:shd w:fill="auto" w:val="clear"/>
          </w:tcPr>
          <w:p>
            <w:pPr>
              <w:pStyle w:val="TableContents"/>
              <w:spacing w:before="0" w:after="283"/>
              <w:jc w:val="left"/>
              <w:rPr/>
            </w:pPr>
            <w:r>
              <w:rPr/>
              <w:t> </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0"/>
              <w:ind w:left="0" w:right="0" w:hanging="0"/>
              <w:rPr/>
            </w:pPr>
            <w:r>
              <w:rPr/>
              <w:t xml:space="preserve">  </w:t>
            </w:r>
          </w:p>
        </w:tc>
        <w:tc>
          <w:tcPr>
            <w:tcW w:w="190" w:type="dxa"/>
            <w:tcBorders/>
            <w:shd w:fill="auto" w:val="clear"/>
            <w:vAlign w:val="center"/>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center"/>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center"/>
          </w:tcPr>
          <w:p>
            <w:pPr>
              <w:pStyle w:val="TableContents"/>
              <w:spacing w:before="0" w:after="283"/>
              <w:rPr/>
            </w:pPr>
            <w:r>
              <w:rPr/>
              <w:t> </w:t>
            </w:r>
          </w:p>
        </w:tc>
        <w:tc>
          <w:tcPr>
            <w:tcW w:w="3195" w:type="dxa"/>
            <w:tcBorders>
              <w:top w:val="single" w:sz="2" w:space="0" w:color="000000"/>
            </w:tcBorders>
            <w:shd w:fill="auto" w:val="clear"/>
            <w:tcMar>
              <w:top w:w="28" w:type="dxa"/>
            </w:tcMar>
          </w:tcPr>
          <w:p>
            <w:pPr>
              <w:pStyle w:val="TableContents"/>
              <w:spacing w:before="0" w:after="283"/>
              <w:jc w:val="left"/>
              <w:rPr/>
            </w:pPr>
            <w:r>
              <w:rPr/>
              <w:t> </w:t>
            </w:r>
          </w:p>
        </w:tc>
        <w:tc>
          <w:tcPr>
            <w:tcW w:w="553" w:type="dxa"/>
            <w:tcBorders/>
            <w:shd w:fill="auto" w:val="clear"/>
            <w:vAlign w:val="center"/>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bottom"/>
          </w:tcPr>
          <w:p>
            <w:pPr>
              <w:pStyle w:val="TableContents"/>
              <w:spacing w:before="0" w:after="283"/>
              <w:rPr/>
            </w:pPr>
            <w:r>
              <w:rPr/>
              <w:t> </w:t>
            </w:r>
          </w:p>
        </w:tc>
        <w:tc>
          <w:tcPr>
            <w:tcW w:w="4728" w:type="dxa"/>
            <w:gridSpan w:val="3"/>
            <w:tcBorders/>
            <w:shd w:fill="auto" w:val="clear"/>
          </w:tcPr>
          <w:p>
            <w:pPr>
              <w:pStyle w:val="TableContents"/>
              <w:spacing w:before="0" w:after="283"/>
              <w:jc w:val="left"/>
              <w:rPr/>
            </w:pPr>
            <w:r>
              <w:rPr/>
              <w:t>Name: Phil Kramer</w:t>
            </w:r>
          </w:p>
        </w:tc>
      </w:tr>
      <w:tr>
        <w:trPr/>
        <w:tc>
          <w:tcPr>
            <w:tcW w:w="2932"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bottom"/>
          </w:tcPr>
          <w:p>
            <w:pPr>
              <w:pStyle w:val="TableContents"/>
              <w:spacing w:before="0" w:after="283"/>
              <w:rPr/>
            </w:pPr>
            <w:r>
              <w:rPr/>
              <w:t> </w:t>
            </w:r>
          </w:p>
        </w:tc>
        <w:tc>
          <w:tcPr>
            <w:tcW w:w="4728" w:type="dxa"/>
            <w:gridSpan w:val="3"/>
            <w:tcBorders/>
            <w:shd w:fill="auto" w:val="clear"/>
          </w:tcPr>
          <w:p>
            <w:pPr>
              <w:pStyle w:val="TableContents"/>
              <w:spacing w:before="0" w:after="283"/>
              <w:jc w:val="left"/>
              <w:rPr/>
            </w:pPr>
            <w:r>
              <w:rPr/>
              <w:t xml:space="preserve">Title:   Executive Vice President and Chief </w:t>
              <w:br/>
              <w:t>            Financial Officer</w:t>
            </w:r>
          </w:p>
        </w:tc>
      </w:tr>
      <w:tr>
        <w:trPr/>
        <w:tc>
          <w:tcPr>
            <w:tcW w:w="2932"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bottom"/>
          </w:tcPr>
          <w:p>
            <w:pPr>
              <w:pStyle w:val="TableContents"/>
              <w:spacing w:before="0" w:after="283"/>
              <w:rPr/>
            </w:pPr>
            <w:r>
              <w:rPr/>
              <w:t> </w:t>
            </w:r>
          </w:p>
        </w:tc>
        <w:tc>
          <w:tcPr>
            <w:tcW w:w="3195" w:type="dxa"/>
            <w:tcBorders/>
            <w:shd w:fill="auto" w:val="clear"/>
          </w:tcPr>
          <w:p>
            <w:pPr>
              <w:pStyle w:val="TableContents"/>
              <w:spacing w:before="0" w:after="283"/>
              <w:jc w:val="left"/>
              <w:rPr/>
            </w:pPr>
            <w:r>
              <w:rPr/>
              <w:t> </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550" w:type="dxa"/>
            <w:gridSpan w:val="5"/>
            <w:tcBorders/>
            <w:shd w:fill="auto" w:val="clear"/>
          </w:tcPr>
          <w:p>
            <w:pPr>
              <w:pStyle w:val="TableContents"/>
              <w:spacing w:before="0" w:after="283"/>
              <w:jc w:val="left"/>
              <w:rPr/>
            </w:pPr>
            <w:r>
              <w:rPr/>
              <w:t>PLAINS AAP, L.P.</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bottom"/>
          </w:tcPr>
          <w:p>
            <w:pPr>
              <w:pStyle w:val="TableContents"/>
              <w:spacing w:before="0" w:after="283"/>
              <w:rPr/>
            </w:pPr>
            <w:r>
              <w:rPr/>
              <w:t> </w:t>
            </w:r>
          </w:p>
        </w:tc>
        <w:tc>
          <w:tcPr>
            <w:tcW w:w="3195" w:type="dxa"/>
            <w:tcBorders/>
            <w:shd w:fill="auto" w:val="clear"/>
          </w:tcPr>
          <w:p>
            <w:pPr>
              <w:pStyle w:val="TableContents"/>
              <w:spacing w:before="0" w:after="283"/>
              <w:jc w:val="left"/>
              <w:rPr/>
            </w:pPr>
            <w:r>
              <w:rPr/>
              <w:t> </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By:</w:t>
            </w:r>
          </w:p>
        </w:tc>
        <w:tc>
          <w:tcPr>
            <w:tcW w:w="233" w:type="dxa"/>
            <w:tcBorders/>
            <w:shd w:fill="auto" w:val="clear"/>
            <w:vAlign w:val="bottom"/>
          </w:tcPr>
          <w:p>
            <w:pPr>
              <w:pStyle w:val="TableContents"/>
              <w:spacing w:before="0" w:after="283"/>
              <w:rPr/>
            </w:pPr>
            <w:r>
              <w:rPr/>
              <w:t> </w:t>
            </w:r>
          </w:p>
        </w:tc>
        <w:tc>
          <w:tcPr>
            <w:tcW w:w="4595" w:type="dxa"/>
            <w:gridSpan w:val="3"/>
            <w:tcBorders/>
            <w:shd w:fill="auto" w:val="clear"/>
          </w:tcPr>
          <w:p>
            <w:pPr>
              <w:pStyle w:val="TableContents"/>
              <w:spacing w:before="0" w:after="283"/>
              <w:jc w:val="left"/>
              <w:rPr/>
            </w:pPr>
            <w:r>
              <w:rPr/>
              <w:t>PLAINS ALL AMERICAN GP LLC</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4595" w:type="dxa"/>
            <w:gridSpan w:val="3"/>
            <w:tcBorders/>
            <w:shd w:fill="auto" w:val="clear"/>
          </w:tcPr>
          <w:p>
            <w:pPr>
              <w:pStyle w:val="TableContents"/>
              <w:spacing w:before="0" w:after="283"/>
              <w:jc w:val="left"/>
              <w:rPr/>
            </w:pPr>
            <w:r>
              <w:rPr/>
              <w:t>its General Partner</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bottom"/>
          </w:tcPr>
          <w:p>
            <w:pPr>
              <w:pStyle w:val="TableContents"/>
              <w:spacing w:before="0" w:after="283"/>
              <w:rPr/>
            </w:pPr>
            <w:r>
              <w:rPr/>
              <w:t> </w:t>
            </w:r>
          </w:p>
        </w:tc>
        <w:tc>
          <w:tcPr>
            <w:tcW w:w="3195" w:type="dxa"/>
            <w:tcBorders/>
            <w:shd w:fill="auto" w:val="clear"/>
          </w:tcPr>
          <w:p>
            <w:pPr>
              <w:pStyle w:val="TableContents"/>
              <w:spacing w:before="0" w:after="283"/>
              <w:jc w:val="left"/>
              <w:rPr/>
            </w:pPr>
            <w:r>
              <w:rPr/>
              <w:t> </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0"/>
              <w:ind w:left="0" w:right="0" w:hanging="0"/>
              <w:rPr/>
            </w:pPr>
            <w:r>
              <w:rPr/>
              <w:t xml:space="preserve">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By:</w:t>
            </w:r>
          </w:p>
        </w:tc>
        <w:tc>
          <w:tcPr>
            <w:tcW w:w="190" w:type="dxa"/>
            <w:tcBorders/>
            <w:shd w:fill="auto" w:val="clear"/>
            <w:vAlign w:val="bottom"/>
          </w:tcPr>
          <w:p>
            <w:pPr>
              <w:pStyle w:val="TableContents"/>
              <w:spacing w:before="0" w:after="283"/>
              <w:rPr/>
            </w:pPr>
            <w:r>
              <w:rPr/>
              <w:t> </w:t>
            </w:r>
          </w:p>
        </w:tc>
        <w:tc>
          <w:tcPr>
            <w:tcW w:w="3195" w:type="dxa"/>
            <w:tcBorders/>
            <w:shd w:fill="auto" w:val="clear"/>
          </w:tcPr>
          <w:p>
            <w:pPr>
              <w:pStyle w:val="TableContents"/>
              <w:spacing w:before="0" w:after="283"/>
              <w:jc w:val="left"/>
              <w:rPr/>
            </w:pPr>
            <w:r>
              <w:rPr/>
              <w:t> </w:t>
            </w:r>
          </w:p>
        </w:tc>
        <w:tc>
          <w:tcPr>
            <w:tcW w:w="553"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0"/>
              <w:ind w:left="0" w:right="0" w:hanging="0"/>
              <w:rPr/>
            </w:pPr>
            <w:r>
              <w:rPr/>
              <w:t xml:space="preserve">  </w:t>
            </w:r>
          </w:p>
        </w:tc>
        <w:tc>
          <w:tcPr>
            <w:tcW w:w="190" w:type="dxa"/>
            <w:tcBorders/>
            <w:shd w:fill="auto" w:val="clear"/>
            <w:vAlign w:val="center"/>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center"/>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center"/>
          </w:tcPr>
          <w:p>
            <w:pPr>
              <w:pStyle w:val="TableContents"/>
              <w:spacing w:before="0" w:after="283"/>
              <w:rPr/>
            </w:pPr>
            <w:r>
              <w:rPr/>
              <w:t> </w:t>
            </w:r>
          </w:p>
        </w:tc>
        <w:tc>
          <w:tcPr>
            <w:tcW w:w="3195" w:type="dxa"/>
            <w:tcBorders>
              <w:top w:val="single" w:sz="2" w:space="0" w:color="000000"/>
            </w:tcBorders>
            <w:shd w:fill="auto" w:val="clear"/>
            <w:tcMar>
              <w:top w:w="28" w:type="dxa"/>
            </w:tcMar>
          </w:tcPr>
          <w:p>
            <w:pPr>
              <w:pStyle w:val="TableContents"/>
              <w:spacing w:before="0" w:after="283"/>
              <w:jc w:val="left"/>
              <w:rPr/>
            </w:pPr>
            <w:r>
              <w:rPr/>
              <w:t> </w:t>
            </w:r>
          </w:p>
        </w:tc>
        <w:tc>
          <w:tcPr>
            <w:tcW w:w="553" w:type="dxa"/>
            <w:tcBorders/>
            <w:shd w:fill="auto" w:val="clear"/>
            <w:vAlign w:val="center"/>
          </w:tcPr>
          <w:p>
            <w:pPr>
              <w:pStyle w:val="TableContents"/>
              <w:spacing w:before="0" w:after="283"/>
              <w:rPr/>
            </w:pPr>
            <w:r>
              <w:rPr/>
              <w:t> </w:t>
            </w:r>
          </w:p>
        </w:tc>
        <w:tc>
          <w:tcPr>
            <w:tcW w:w="980" w:type="dxa"/>
            <w:tcBorders/>
            <w:shd w:fill="auto" w:val="clear"/>
          </w:tcPr>
          <w:p>
            <w:pPr>
              <w:pStyle w:val="TableContents"/>
              <w:spacing w:before="0" w:after="283"/>
              <w:jc w:val="left"/>
              <w:rPr/>
            </w:pPr>
            <w:r>
              <w:rPr/>
              <w:t> </w:t>
            </w:r>
          </w:p>
        </w:tc>
      </w:tr>
      <w:tr>
        <w:trPr/>
        <w:tc>
          <w:tcPr>
            <w:tcW w:w="2932"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bottom"/>
          </w:tcPr>
          <w:p>
            <w:pPr>
              <w:pStyle w:val="TableContents"/>
              <w:spacing w:before="0" w:after="283"/>
              <w:rPr/>
            </w:pPr>
            <w:r>
              <w:rPr/>
              <w:t> </w:t>
            </w:r>
          </w:p>
        </w:tc>
        <w:tc>
          <w:tcPr>
            <w:tcW w:w="4728" w:type="dxa"/>
            <w:gridSpan w:val="3"/>
            <w:tcBorders/>
            <w:shd w:fill="auto" w:val="clear"/>
          </w:tcPr>
          <w:p>
            <w:pPr>
              <w:pStyle w:val="TableContents"/>
              <w:spacing w:before="0" w:after="283"/>
              <w:jc w:val="left"/>
              <w:rPr/>
            </w:pPr>
            <w:r>
              <w:rPr/>
              <w:t>Name: Phil Kramer</w:t>
            </w:r>
          </w:p>
        </w:tc>
      </w:tr>
      <w:tr>
        <w:trPr/>
        <w:tc>
          <w:tcPr>
            <w:tcW w:w="2932"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22"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1210" w:type="dxa"/>
            <w:tcBorders/>
            <w:shd w:fill="auto" w:val="clear"/>
          </w:tcPr>
          <w:p>
            <w:pPr>
              <w:pStyle w:val="TableContents"/>
              <w:spacing w:before="0" w:after="283"/>
              <w:jc w:val="left"/>
              <w:rPr/>
            </w:pPr>
            <w:r>
              <w:rPr/>
              <w:t> </w:t>
            </w:r>
          </w:p>
        </w:tc>
        <w:tc>
          <w:tcPr>
            <w:tcW w:w="190" w:type="dxa"/>
            <w:tcBorders/>
            <w:shd w:fill="auto" w:val="clear"/>
            <w:vAlign w:val="bottom"/>
          </w:tcPr>
          <w:p>
            <w:pPr>
              <w:pStyle w:val="TableContents"/>
              <w:spacing w:before="0" w:after="283"/>
              <w:rPr/>
            </w:pPr>
            <w:r>
              <w:rPr/>
              <w:t> </w:t>
            </w:r>
          </w:p>
        </w:tc>
        <w:tc>
          <w:tcPr>
            <w:tcW w:w="4728" w:type="dxa"/>
            <w:gridSpan w:val="3"/>
            <w:tcBorders/>
            <w:shd w:fill="auto" w:val="clear"/>
          </w:tcPr>
          <w:p>
            <w:pPr>
              <w:pStyle w:val="TableContents"/>
              <w:spacing w:before="0" w:after="283"/>
              <w:jc w:val="left"/>
              <w:rPr/>
            </w:pPr>
            <w:r>
              <w:rPr/>
              <w:t xml:space="preserve">Title:   Executive Vice President and Chief </w:t>
              <w:br/>
              <w:t>            Financial Officer</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454"/>
        <w:gridCol w:w="204"/>
        <w:gridCol w:w="519"/>
        <w:gridCol w:w="232"/>
        <w:gridCol w:w="533"/>
        <w:gridCol w:w="232"/>
        <w:gridCol w:w="3445"/>
        <w:gridCol w:w="512"/>
        <w:gridCol w:w="1074"/>
      </w:tblGrid>
      <w:tr>
        <w:trPr/>
        <w:tc>
          <w:tcPr>
            <w:tcW w:w="3454"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445"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rPr/>
            </w:pPr>
            <w:r>
              <w:rPr/>
              <w:t> </w:t>
            </w:r>
          </w:p>
        </w:tc>
      </w:tr>
      <w:tr>
        <w:trPr/>
        <w:tc>
          <w:tcPr>
            <w:tcW w:w="3454"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3445"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961" w:type="dxa"/>
            <w:gridSpan w:val="5"/>
            <w:tcBorders/>
            <w:shd w:fill="auto" w:val="clear"/>
          </w:tcPr>
          <w:p>
            <w:pPr>
              <w:pStyle w:val="TableContents"/>
              <w:spacing w:before="0" w:after="283"/>
              <w:jc w:val="left"/>
              <w:rPr/>
            </w:pPr>
            <w:r>
              <w:rPr/>
              <w:t>PLAINS ALL AMERICAN GP LLC</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3445"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By:</w:t>
            </w:r>
          </w:p>
        </w:tc>
        <w:tc>
          <w:tcPr>
            <w:tcW w:w="232" w:type="dxa"/>
            <w:tcBorders/>
            <w:shd w:fill="auto" w:val="clear"/>
            <w:vAlign w:val="bottom"/>
          </w:tcPr>
          <w:p>
            <w:pPr>
              <w:pStyle w:val="TableContents"/>
              <w:spacing w:before="0" w:after="283"/>
              <w:rPr/>
            </w:pPr>
            <w:r>
              <w:rPr/>
              <w:t> </w:t>
            </w:r>
          </w:p>
        </w:tc>
        <w:tc>
          <w:tcPr>
            <w:tcW w:w="3445"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center"/>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center"/>
          </w:tcPr>
          <w:p>
            <w:pPr>
              <w:pStyle w:val="TableContents"/>
              <w:spacing w:before="0" w:after="283"/>
              <w:rPr/>
            </w:pPr>
            <w:r>
              <w:rPr/>
              <w:t> </w:t>
            </w:r>
          </w:p>
        </w:tc>
        <w:tc>
          <w:tcPr>
            <w:tcW w:w="3445" w:type="dxa"/>
            <w:tcBorders>
              <w:top w:val="single" w:sz="2" w:space="0" w:color="000000"/>
            </w:tcBorders>
            <w:shd w:fill="auto" w:val="clear"/>
            <w:tcMar>
              <w:top w:w="28" w:type="dxa"/>
            </w:tcMar>
          </w:tcPr>
          <w:p>
            <w:pPr>
              <w:pStyle w:val="TableContents"/>
              <w:spacing w:before="0" w:after="283"/>
              <w:jc w:val="left"/>
              <w:rPr/>
            </w:pPr>
            <w:r>
              <w:rPr/>
              <w:t> </w:t>
            </w:r>
          </w:p>
        </w:tc>
        <w:tc>
          <w:tcPr>
            <w:tcW w:w="512" w:type="dxa"/>
            <w:tcBorders/>
            <w:shd w:fill="auto" w:val="clear"/>
            <w:vAlign w:val="center"/>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031" w:type="dxa"/>
            <w:gridSpan w:val="3"/>
            <w:tcBorders/>
            <w:shd w:fill="auto" w:val="clear"/>
          </w:tcPr>
          <w:p>
            <w:pPr>
              <w:pStyle w:val="TableContents"/>
              <w:spacing w:before="0" w:after="283"/>
              <w:jc w:val="left"/>
              <w:rPr/>
            </w:pPr>
            <w:r>
              <w:rPr/>
              <w:t>Name: Phil Kramer</w:t>
            </w:r>
          </w:p>
        </w:tc>
      </w:tr>
      <w:tr>
        <w:trPr/>
        <w:tc>
          <w:tcPr>
            <w:tcW w:w="345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031" w:type="dxa"/>
            <w:gridSpan w:val="3"/>
            <w:tcBorders/>
            <w:shd w:fill="auto" w:val="clear"/>
          </w:tcPr>
          <w:p>
            <w:pPr>
              <w:pStyle w:val="TableContents"/>
              <w:spacing w:before="0" w:after="283"/>
              <w:jc w:val="left"/>
              <w:rPr/>
            </w:pPr>
            <w:r>
              <w:rPr/>
              <w:t xml:space="preserve">Title:   Executive Vice President and Chief </w:t>
              <w:br/>
              <w:t>            Financial Officer</w:t>
            </w:r>
          </w:p>
        </w:tc>
      </w:tr>
      <w:tr>
        <w:trPr/>
        <w:tc>
          <w:tcPr>
            <w:tcW w:w="3454"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3445"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961" w:type="dxa"/>
            <w:gridSpan w:val="5"/>
            <w:tcBorders/>
            <w:shd w:fill="auto" w:val="clear"/>
          </w:tcPr>
          <w:p>
            <w:pPr>
              <w:pStyle w:val="TableContents"/>
              <w:spacing w:before="0" w:after="283"/>
              <w:jc w:val="left"/>
              <w:rPr/>
            </w:pPr>
            <w:r>
              <w:rPr/>
              <w:t>PLAINS MARKETING, L.P.</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3445"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By:</w:t>
            </w:r>
          </w:p>
        </w:tc>
        <w:tc>
          <w:tcPr>
            <w:tcW w:w="232" w:type="dxa"/>
            <w:tcBorders/>
            <w:shd w:fill="auto" w:val="clear"/>
            <w:vAlign w:val="bottom"/>
          </w:tcPr>
          <w:p>
            <w:pPr>
              <w:pStyle w:val="TableContents"/>
              <w:spacing w:before="0" w:after="283"/>
              <w:rPr/>
            </w:pPr>
            <w:r>
              <w:rPr/>
              <w:t> </w:t>
            </w:r>
          </w:p>
        </w:tc>
        <w:tc>
          <w:tcPr>
            <w:tcW w:w="4210" w:type="dxa"/>
            <w:gridSpan w:val="3"/>
            <w:tcBorders/>
            <w:shd w:fill="auto" w:val="clear"/>
          </w:tcPr>
          <w:p>
            <w:pPr>
              <w:pStyle w:val="TableContents"/>
              <w:spacing w:before="0" w:after="283"/>
              <w:jc w:val="left"/>
              <w:rPr/>
            </w:pPr>
            <w:r>
              <w:rPr/>
              <w:t>PLAINS MARKETING GP INC.</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4210" w:type="dxa"/>
            <w:gridSpan w:val="3"/>
            <w:tcBorders/>
            <w:shd w:fill="auto" w:val="clear"/>
          </w:tcPr>
          <w:p>
            <w:pPr>
              <w:pStyle w:val="TableContents"/>
              <w:spacing w:before="0" w:after="283"/>
              <w:jc w:val="left"/>
              <w:rPr/>
            </w:pPr>
            <w:r>
              <w:rPr/>
              <w:t>its General Partner</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3445"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By:</w:t>
            </w:r>
          </w:p>
        </w:tc>
        <w:tc>
          <w:tcPr>
            <w:tcW w:w="232" w:type="dxa"/>
            <w:tcBorders/>
            <w:shd w:fill="auto" w:val="clear"/>
            <w:vAlign w:val="bottom"/>
          </w:tcPr>
          <w:p>
            <w:pPr>
              <w:pStyle w:val="TableContents"/>
              <w:spacing w:before="0" w:after="283"/>
              <w:rPr/>
            </w:pPr>
            <w:r>
              <w:rPr/>
              <w:t> </w:t>
            </w:r>
          </w:p>
        </w:tc>
        <w:tc>
          <w:tcPr>
            <w:tcW w:w="3445"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center"/>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center"/>
          </w:tcPr>
          <w:p>
            <w:pPr>
              <w:pStyle w:val="TableContents"/>
              <w:spacing w:before="0" w:after="283"/>
              <w:rPr/>
            </w:pPr>
            <w:r>
              <w:rPr/>
              <w:t> </w:t>
            </w:r>
          </w:p>
        </w:tc>
        <w:tc>
          <w:tcPr>
            <w:tcW w:w="3445" w:type="dxa"/>
            <w:tcBorders>
              <w:top w:val="single" w:sz="2" w:space="0" w:color="000000"/>
            </w:tcBorders>
            <w:shd w:fill="auto" w:val="clear"/>
            <w:tcMar>
              <w:top w:w="28" w:type="dxa"/>
            </w:tcMar>
          </w:tcPr>
          <w:p>
            <w:pPr>
              <w:pStyle w:val="TableContents"/>
              <w:spacing w:before="0" w:after="283"/>
              <w:jc w:val="left"/>
              <w:rPr/>
            </w:pPr>
            <w:r>
              <w:rPr/>
              <w:t> </w:t>
            </w:r>
          </w:p>
        </w:tc>
        <w:tc>
          <w:tcPr>
            <w:tcW w:w="512" w:type="dxa"/>
            <w:tcBorders/>
            <w:shd w:fill="auto" w:val="clear"/>
            <w:vAlign w:val="center"/>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031" w:type="dxa"/>
            <w:gridSpan w:val="3"/>
            <w:tcBorders/>
            <w:shd w:fill="auto" w:val="clear"/>
          </w:tcPr>
          <w:p>
            <w:pPr>
              <w:pStyle w:val="TableContents"/>
              <w:spacing w:before="0" w:after="283"/>
              <w:jc w:val="left"/>
              <w:rPr/>
            </w:pPr>
            <w:r>
              <w:rPr/>
              <w:t>Name: Phil Kramer</w:t>
            </w:r>
          </w:p>
        </w:tc>
      </w:tr>
      <w:tr>
        <w:trPr/>
        <w:tc>
          <w:tcPr>
            <w:tcW w:w="345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031" w:type="dxa"/>
            <w:gridSpan w:val="3"/>
            <w:tcBorders/>
            <w:shd w:fill="auto" w:val="clear"/>
          </w:tcPr>
          <w:p>
            <w:pPr>
              <w:pStyle w:val="TableContents"/>
              <w:spacing w:before="0" w:after="283"/>
              <w:jc w:val="left"/>
              <w:rPr/>
            </w:pPr>
            <w:r>
              <w:rPr/>
              <w:t xml:space="preserve">Title:   Executive Vice President and Chief </w:t>
              <w:br/>
              <w:t>            Financial Officer</w:t>
            </w:r>
          </w:p>
        </w:tc>
      </w:tr>
      <w:tr>
        <w:trPr/>
        <w:tc>
          <w:tcPr>
            <w:tcW w:w="3454"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3445"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961" w:type="dxa"/>
            <w:gridSpan w:val="5"/>
            <w:tcBorders/>
            <w:shd w:fill="auto" w:val="clear"/>
          </w:tcPr>
          <w:p>
            <w:pPr>
              <w:pStyle w:val="TableContents"/>
              <w:spacing w:before="0" w:after="283"/>
              <w:jc w:val="left"/>
              <w:rPr/>
            </w:pPr>
            <w:r>
              <w:rPr/>
              <w:t>PLAINS PIPELINE, L.P.</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3445"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By:</w:t>
            </w:r>
          </w:p>
        </w:tc>
        <w:tc>
          <w:tcPr>
            <w:tcW w:w="232" w:type="dxa"/>
            <w:tcBorders/>
            <w:shd w:fill="auto" w:val="clear"/>
            <w:vAlign w:val="bottom"/>
          </w:tcPr>
          <w:p>
            <w:pPr>
              <w:pStyle w:val="TableContents"/>
              <w:spacing w:before="0" w:after="283"/>
              <w:rPr/>
            </w:pPr>
            <w:r>
              <w:rPr/>
              <w:t> </w:t>
            </w:r>
          </w:p>
        </w:tc>
        <w:tc>
          <w:tcPr>
            <w:tcW w:w="4210" w:type="dxa"/>
            <w:gridSpan w:val="3"/>
            <w:tcBorders/>
            <w:shd w:fill="auto" w:val="clear"/>
          </w:tcPr>
          <w:p>
            <w:pPr>
              <w:pStyle w:val="TableContents"/>
              <w:spacing w:before="0" w:after="283"/>
              <w:jc w:val="left"/>
              <w:rPr/>
            </w:pPr>
            <w:r>
              <w:rPr/>
              <w:t>PLAINS MARKETING GP INC.</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4210" w:type="dxa"/>
            <w:gridSpan w:val="3"/>
            <w:tcBorders/>
            <w:shd w:fill="auto" w:val="clear"/>
          </w:tcPr>
          <w:p>
            <w:pPr>
              <w:pStyle w:val="TableContents"/>
              <w:spacing w:before="0" w:after="283"/>
              <w:jc w:val="left"/>
              <w:rPr/>
            </w:pPr>
            <w:r>
              <w:rPr/>
              <w:t>its General Partner</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3445"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By:</w:t>
            </w:r>
          </w:p>
        </w:tc>
        <w:tc>
          <w:tcPr>
            <w:tcW w:w="232" w:type="dxa"/>
            <w:tcBorders/>
            <w:shd w:fill="auto" w:val="clear"/>
            <w:vAlign w:val="bottom"/>
          </w:tcPr>
          <w:p>
            <w:pPr>
              <w:pStyle w:val="TableContents"/>
              <w:spacing w:before="0" w:after="283"/>
              <w:rPr/>
            </w:pPr>
            <w:r>
              <w:rPr/>
              <w:t> </w:t>
            </w:r>
          </w:p>
        </w:tc>
        <w:tc>
          <w:tcPr>
            <w:tcW w:w="3445"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center"/>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center"/>
          </w:tcPr>
          <w:p>
            <w:pPr>
              <w:pStyle w:val="TableContents"/>
              <w:spacing w:before="0" w:after="283"/>
              <w:rPr/>
            </w:pPr>
            <w:r>
              <w:rPr/>
              <w:t> </w:t>
            </w:r>
          </w:p>
        </w:tc>
        <w:tc>
          <w:tcPr>
            <w:tcW w:w="3445" w:type="dxa"/>
            <w:tcBorders>
              <w:top w:val="single" w:sz="2" w:space="0" w:color="000000"/>
            </w:tcBorders>
            <w:shd w:fill="auto" w:val="clear"/>
            <w:tcMar>
              <w:top w:w="28" w:type="dxa"/>
            </w:tcMar>
          </w:tcPr>
          <w:p>
            <w:pPr>
              <w:pStyle w:val="TableContents"/>
              <w:spacing w:before="0" w:after="283"/>
              <w:jc w:val="left"/>
              <w:rPr/>
            </w:pPr>
            <w:r>
              <w:rPr/>
              <w:t> </w:t>
            </w:r>
          </w:p>
        </w:tc>
        <w:tc>
          <w:tcPr>
            <w:tcW w:w="512" w:type="dxa"/>
            <w:tcBorders/>
            <w:shd w:fill="auto" w:val="clear"/>
            <w:vAlign w:val="center"/>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031" w:type="dxa"/>
            <w:gridSpan w:val="3"/>
            <w:tcBorders/>
            <w:shd w:fill="auto" w:val="clear"/>
          </w:tcPr>
          <w:p>
            <w:pPr>
              <w:pStyle w:val="TableContents"/>
              <w:spacing w:before="0" w:after="283"/>
              <w:jc w:val="left"/>
              <w:rPr/>
            </w:pPr>
            <w:r>
              <w:rPr/>
              <w:t>Name: Phil Kramer</w:t>
            </w:r>
          </w:p>
        </w:tc>
      </w:tr>
      <w:tr>
        <w:trPr/>
        <w:tc>
          <w:tcPr>
            <w:tcW w:w="345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031" w:type="dxa"/>
            <w:gridSpan w:val="3"/>
            <w:tcBorders/>
            <w:shd w:fill="auto" w:val="clear"/>
          </w:tcPr>
          <w:p>
            <w:pPr>
              <w:pStyle w:val="TableContents"/>
              <w:spacing w:before="0" w:after="283"/>
              <w:jc w:val="left"/>
              <w:rPr/>
            </w:pPr>
            <w:r>
              <w:rPr/>
              <w:t xml:space="preserve">Title:   Executive Vice President and Chief </w:t>
              <w:br/>
              <w:t>            Financial Officer</w:t>
            </w:r>
          </w:p>
        </w:tc>
      </w:tr>
      <w:tr>
        <w:trPr/>
        <w:tc>
          <w:tcPr>
            <w:tcW w:w="3454"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3445"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961" w:type="dxa"/>
            <w:gridSpan w:val="5"/>
            <w:tcBorders/>
            <w:shd w:fill="auto" w:val="clear"/>
          </w:tcPr>
          <w:p>
            <w:pPr>
              <w:pStyle w:val="TableContents"/>
              <w:spacing w:before="0" w:after="283"/>
              <w:jc w:val="left"/>
              <w:rPr/>
            </w:pPr>
            <w:r>
              <w:rPr/>
              <w:t>PLAINS MARKETING GP INC.</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3445"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By:</w:t>
            </w:r>
          </w:p>
        </w:tc>
        <w:tc>
          <w:tcPr>
            <w:tcW w:w="232" w:type="dxa"/>
            <w:tcBorders/>
            <w:shd w:fill="auto" w:val="clear"/>
            <w:vAlign w:val="bottom"/>
          </w:tcPr>
          <w:p>
            <w:pPr>
              <w:pStyle w:val="TableContents"/>
              <w:spacing w:before="0" w:after="283"/>
              <w:rPr/>
            </w:pPr>
            <w:r>
              <w:rPr/>
              <w:t> </w:t>
            </w:r>
          </w:p>
        </w:tc>
        <w:tc>
          <w:tcPr>
            <w:tcW w:w="3445"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center"/>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center"/>
          </w:tcPr>
          <w:p>
            <w:pPr>
              <w:pStyle w:val="TableContents"/>
              <w:spacing w:before="0" w:after="283"/>
              <w:rPr/>
            </w:pPr>
            <w:r>
              <w:rPr/>
              <w:t> </w:t>
            </w:r>
          </w:p>
        </w:tc>
        <w:tc>
          <w:tcPr>
            <w:tcW w:w="3445" w:type="dxa"/>
            <w:tcBorders>
              <w:top w:val="single" w:sz="2" w:space="0" w:color="000000"/>
            </w:tcBorders>
            <w:shd w:fill="auto" w:val="clear"/>
            <w:tcMar>
              <w:top w:w="28" w:type="dxa"/>
            </w:tcMar>
          </w:tcPr>
          <w:p>
            <w:pPr>
              <w:pStyle w:val="TableContents"/>
              <w:spacing w:before="0" w:after="283"/>
              <w:jc w:val="left"/>
              <w:rPr/>
            </w:pPr>
            <w:r>
              <w:rPr/>
              <w:t> </w:t>
            </w:r>
          </w:p>
        </w:tc>
        <w:tc>
          <w:tcPr>
            <w:tcW w:w="512" w:type="dxa"/>
            <w:tcBorders/>
            <w:shd w:fill="auto" w:val="clear"/>
            <w:vAlign w:val="center"/>
          </w:tcPr>
          <w:p>
            <w:pPr>
              <w:pStyle w:val="TableContents"/>
              <w:spacing w:before="0" w:after="283"/>
              <w:rPr/>
            </w:pPr>
            <w:r>
              <w:rPr/>
              <w:t> </w:t>
            </w:r>
          </w:p>
        </w:tc>
        <w:tc>
          <w:tcPr>
            <w:tcW w:w="1074" w:type="dxa"/>
            <w:tcBorders/>
            <w:shd w:fill="auto" w:val="clear"/>
          </w:tcPr>
          <w:p>
            <w:pPr>
              <w:pStyle w:val="TableContents"/>
              <w:spacing w:before="0" w:after="283"/>
              <w:jc w:val="left"/>
              <w:rPr/>
            </w:pPr>
            <w:r>
              <w:rPr/>
              <w:t> </w:t>
            </w:r>
          </w:p>
        </w:tc>
      </w:tr>
      <w:tr>
        <w:trPr/>
        <w:tc>
          <w:tcPr>
            <w:tcW w:w="345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031" w:type="dxa"/>
            <w:gridSpan w:val="3"/>
            <w:tcBorders/>
            <w:shd w:fill="auto" w:val="clear"/>
          </w:tcPr>
          <w:p>
            <w:pPr>
              <w:pStyle w:val="TableContents"/>
              <w:spacing w:before="0" w:after="283"/>
              <w:jc w:val="left"/>
              <w:rPr/>
            </w:pPr>
            <w:r>
              <w:rPr/>
              <w:t>Name: Phil Kramer</w:t>
            </w:r>
          </w:p>
        </w:tc>
      </w:tr>
      <w:tr>
        <w:trPr/>
        <w:tc>
          <w:tcPr>
            <w:tcW w:w="345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19"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33" w:type="dxa"/>
            <w:tcBorders/>
            <w:shd w:fill="auto" w:val="clear"/>
          </w:tcPr>
          <w:p>
            <w:pPr>
              <w:pStyle w:val="TableContents"/>
              <w:spacing w:before="0" w:after="283"/>
              <w:jc w:val="left"/>
              <w:rPr/>
            </w:pPr>
            <w:r>
              <w:rPr/>
              <w:t> </w:t>
            </w:r>
          </w:p>
        </w:tc>
        <w:tc>
          <w:tcPr>
            <w:tcW w:w="232" w:type="dxa"/>
            <w:tcBorders/>
            <w:shd w:fill="auto" w:val="clear"/>
            <w:vAlign w:val="bottom"/>
          </w:tcPr>
          <w:p>
            <w:pPr>
              <w:pStyle w:val="TableContents"/>
              <w:spacing w:before="0" w:after="283"/>
              <w:rPr/>
            </w:pPr>
            <w:r>
              <w:rPr/>
              <w:t> </w:t>
            </w:r>
          </w:p>
        </w:tc>
        <w:tc>
          <w:tcPr>
            <w:tcW w:w="5031" w:type="dxa"/>
            <w:gridSpan w:val="3"/>
            <w:tcBorders/>
            <w:shd w:fill="auto" w:val="clear"/>
          </w:tcPr>
          <w:p>
            <w:pPr>
              <w:pStyle w:val="TableContents"/>
              <w:spacing w:before="0" w:after="283"/>
              <w:jc w:val="left"/>
              <w:rPr/>
            </w:pPr>
            <w:r>
              <w:rPr/>
              <w:t xml:space="preserve">Title:   Executive Vice President and Chief </w:t>
              <w:br/>
              <w:t>            Financial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861"/>
        <w:gridCol w:w="188"/>
        <w:gridCol w:w="658"/>
        <w:gridCol w:w="236"/>
        <w:gridCol w:w="1341"/>
        <w:gridCol w:w="236"/>
        <w:gridCol w:w="3282"/>
        <w:gridCol w:w="487"/>
        <w:gridCol w:w="916"/>
      </w:tblGrid>
      <w:tr>
        <w:trPr/>
        <w:tc>
          <w:tcPr>
            <w:tcW w:w="286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3282"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r>
      <w:tr>
        <w:trPr/>
        <w:tc>
          <w:tcPr>
            <w:tcW w:w="2861" w:type="dxa"/>
            <w:tcBorders/>
            <w:shd w:fill="auto" w:val="clear"/>
          </w:tcPr>
          <w:p>
            <w:pPr>
              <w:pStyle w:val="TableContents"/>
              <w:spacing w:before="0" w:after="0"/>
              <w:ind w:left="0" w:right="0" w:hanging="0"/>
              <w:rPr/>
            </w:pPr>
            <w:r>
              <w:rPr/>
              <w:t xml:space="preserve">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753" w:type="dxa"/>
            <w:gridSpan w:val="5"/>
            <w:tcBorders/>
            <w:shd w:fill="auto" w:val="clear"/>
          </w:tcPr>
          <w:p>
            <w:pPr>
              <w:pStyle w:val="TableContents"/>
              <w:spacing w:before="0" w:after="283"/>
              <w:jc w:val="left"/>
              <w:rPr/>
            </w:pPr>
            <w:r>
              <w:rPr/>
              <w:t>PLAINS MARKETING CANADA LLC</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By:</w:t>
            </w:r>
          </w:p>
        </w:tc>
        <w:tc>
          <w:tcPr>
            <w:tcW w:w="236" w:type="dxa"/>
            <w:tcBorders/>
            <w:shd w:fill="auto" w:val="clear"/>
            <w:vAlign w:val="bottom"/>
          </w:tcPr>
          <w:p>
            <w:pPr>
              <w:pStyle w:val="TableContents"/>
              <w:spacing w:before="0" w:after="283"/>
              <w:rPr/>
            </w:pPr>
            <w:r>
              <w:rPr/>
              <w:t> </w:t>
            </w:r>
          </w:p>
        </w:tc>
        <w:tc>
          <w:tcPr>
            <w:tcW w:w="4859" w:type="dxa"/>
            <w:gridSpan w:val="3"/>
            <w:tcBorders/>
            <w:shd w:fill="auto" w:val="clear"/>
          </w:tcPr>
          <w:p>
            <w:pPr>
              <w:pStyle w:val="TableContents"/>
              <w:spacing w:before="0" w:after="283"/>
              <w:jc w:val="left"/>
              <w:rPr/>
            </w:pPr>
            <w:r>
              <w:rPr/>
              <w:t>PLAINS MARKETING, L.P.</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4859" w:type="dxa"/>
            <w:gridSpan w:val="3"/>
            <w:tcBorders/>
            <w:shd w:fill="auto" w:val="clear"/>
          </w:tcPr>
          <w:p>
            <w:pPr>
              <w:pStyle w:val="TableContents"/>
              <w:spacing w:before="0" w:after="283"/>
              <w:jc w:val="left"/>
              <w:rPr/>
            </w:pPr>
            <w:r>
              <w:rPr/>
              <w:t>its Sole Member</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By:</w:t>
            </w:r>
          </w:p>
        </w:tc>
        <w:tc>
          <w:tcPr>
            <w:tcW w:w="236" w:type="dxa"/>
            <w:tcBorders/>
            <w:shd w:fill="auto" w:val="clear"/>
            <w:vAlign w:val="bottom"/>
          </w:tcPr>
          <w:p>
            <w:pPr>
              <w:pStyle w:val="TableContents"/>
              <w:spacing w:before="0" w:after="283"/>
              <w:rPr/>
            </w:pPr>
            <w:r>
              <w:rPr/>
              <w:t> </w:t>
            </w:r>
          </w:p>
        </w:tc>
        <w:tc>
          <w:tcPr>
            <w:tcW w:w="4859" w:type="dxa"/>
            <w:gridSpan w:val="3"/>
            <w:tcBorders/>
            <w:shd w:fill="auto" w:val="clear"/>
          </w:tcPr>
          <w:p>
            <w:pPr>
              <w:pStyle w:val="TableContents"/>
              <w:spacing w:before="0" w:after="283"/>
              <w:jc w:val="left"/>
              <w:rPr/>
            </w:pPr>
            <w:r>
              <w:rPr/>
              <w:t>PLAINS MARKETING GP INC.</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4859" w:type="dxa"/>
            <w:gridSpan w:val="3"/>
            <w:tcBorders/>
            <w:shd w:fill="auto" w:val="clear"/>
          </w:tcPr>
          <w:p>
            <w:pPr>
              <w:pStyle w:val="TableContents"/>
              <w:spacing w:before="0" w:after="283"/>
              <w:jc w:val="left"/>
              <w:rPr/>
            </w:pPr>
            <w:r>
              <w:rPr/>
              <w:t>its General Partner</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0"/>
              <w:ind w:left="0" w:right="0" w:hanging="0"/>
              <w:rPr/>
            </w:pPr>
            <w:r>
              <w:rPr/>
              <w:t xml:space="preserve">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By:</w:t>
            </w:r>
          </w:p>
        </w:tc>
        <w:tc>
          <w:tcPr>
            <w:tcW w:w="236"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0"/>
              <w:ind w:left="0" w:right="0" w:hanging="0"/>
              <w:rPr/>
            </w:pPr>
            <w:r>
              <w:rPr/>
              <w:t xml:space="preserve">  </w:t>
            </w:r>
          </w:p>
        </w:tc>
        <w:tc>
          <w:tcPr>
            <w:tcW w:w="188" w:type="dxa"/>
            <w:tcBorders/>
            <w:shd w:fill="auto" w:val="clear"/>
            <w:vAlign w:val="center"/>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center"/>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center"/>
          </w:tcPr>
          <w:p>
            <w:pPr>
              <w:pStyle w:val="TableContents"/>
              <w:spacing w:before="0" w:after="283"/>
              <w:rPr/>
            </w:pPr>
            <w:r>
              <w:rPr/>
              <w:t> </w:t>
            </w:r>
          </w:p>
        </w:tc>
        <w:tc>
          <w:tcPr>
            <w:tcW w:w="3282" w:type="dxa"/>
            <w:tcBorders>
              <w:top w:val="single" w:sz="2" w:space="0" w:color="000000"/>
            </w:tcBorders>
            <w:shd w:fill="auto" w:val="clear"/>
            <w:tcMar>
              <w:top w:w="28" w:type="dxa"/>
            </w:tcMar>
          </w:tcPr>
          <w:p>
            <w:pPr>
              <w:pStyle w:val="TableContents"/>
              <w:spacing w:before="0" w:after="283"/>
              <w:jc w:val="left"/>
              <w:rPr/>
            </w:pPr>
            <w:r>
              <w:rPr/>
              <w:t> </w:t>
            </w:r>
          </w:p>
        </w:tc>
        <w:tc>
          <w:tcPr>
            <w:tcW w:w="487" w:type="dxa"/>
            <w:tcBorders/>
            <w:shd w:fill="auto" w:val="clear"/>
            <w:vAlign w:val="center"/>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4685" w:type="dxa"/>
            <w:gridSpan w:val="3"/>
            <w:tcBorders/>
            <w:shd w:fill="auto" w:val="clear"/>
          </w:tcPr>
          <w:p>
            <w:pPr>
              <w:pStyle w:val="TableContents"/>
              <w:spacing w:before="0" w:after="283"/>
              <w:jc w:val="left"/>
              <w:rPr/>
            </w:pPr>
            <w:r>
              <w:rPr/>
              <w:t>Name: Phil Kramer</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4685" w:type="dxa"/>
            <w:gridSpan w:val="3"/>
            <w:tcBorders/>
            <w:shd w:fill="auto" w:val="clear"/>
          </w:tcPr>
          <w:p>
            <w:pPr>
              <w:pStyle w:val="TableContents"/>
              <w:spacing w:before="0" w:after="283"/>
              <w:jc w:val="left"/>
              <w:rPr/>
            </w:pPr>
            <w:r>
              <w:rPr/>
              <w:t xml:space="preserve">Title:   Executive Vice President and Chief </w:t>
              <w:br/>
              <w:t>            Financial Officer</w:t>
            </w:r>
          </w:p>
        </w:tc>
      </w:tr>
      <w:tr>
        <w:trPr/>
        <w:tc>
          <w:tcPr>
            <w:tcW w:w="2861" w:type="dxa"/>
            <w:tcBorders/>
            <w:shd w:fill="auto" w:val="clear"/>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753" w:type="dxa"/>
            <w:gridSpan w:val="5"/>
            <w:tcBorders/>
            <w:shd w:fill="auto" w:val="clear"/>
          </w:tcPr>
          <w:p>
            <w:pPr>
              <w:pStyle w:val="TableContents"/>
              <w:spacing w:before="0" w:after="283"/>
              <w:jc w:val="left"/>
              <w:rPr/>
            </w:pPr>
            <w:r>
              <w:rPr/>
              <w:t>PMC (NOVA SCOTIA) COMPANY</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0"/>
              <w:ind w:left="0" w:right="0" w:hanging="0"/>
              <w:rPr/>
            </w:pPr>
            <w:r>
              <w:rPr/>
              <w:t xml:space="preserve">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By:</w:t>
            </w:r>
          </w:p>
        </w:tc>
        <w:tc>
          <w:tcPr>
            <w:tcW w:w="236"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0"/>
              <w:ind w:left="0" w:right="0" w:hanging="0"/>
              <w:rPr/>
            </w:pPr>
            <w:r>
              <w:rPr/>
              <w:t xml:space="preserve">  </w:t>
            </w:r>
          </w:p>
        </w:tc>
        <w:tc>
          <w:tcPr>
            <w:tcW w:w="188" w:type="dxa"/>
            <w:tcBorders/>
            <w:shd w:fill="auto" w:val="clear"/>
            <w:vAlign w:val="center"/>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center"/>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center"/>
          </w:tcPr>
          <w:p>
            <w:pPr>
              <w:pStyle w:val="TableContents"/>
              <w:spacing w:before="0" w:after="283"/>
              <w:rPr/>
            </w:pPr>
            <w:r>
              <w:rPr/>
              <w:t> </w:t>
            </w:r>
          </w:p>
        </w:tc>
        <w:tc>
          <w:tcPr>
            <w:tcW w:w="3282" w:type="dxa"/>
            <w:tcBorders>
              <w:top w:val="single" w:sz="2" w:space="0" w:color="000000"/>
            </w:tcBorders>
            <w:shd w:fill="auto" w:val="clear"/>
            <w:tcMar>
              <w:top w:w="28" w:type="dxa"/>
            </w:tcMar>
          </w:tcPr>
          <w:p>
            <w:pPr>
              <w:pStyle w:val="TableContents"/>
              <w:spacing w:before="0" w:after="283"/>
              <w:jc w:val="left"/>
              <w:rPr/>
            </w:pPr>
            <w:r>
              <w:rPr/>
              <w:t> </w:t>
            </w:r>
          </w:p>
        </w:tc>
        <w:tc>
          <w:tcPr>
            <w:tcW w:w="487" w:type="dxa"/>
            <w:tcBorders/>
            <w:shd w:fill="auto" w:val="clear"/>
            <w:vAlign w:val="center"/>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4685" w:type="dxa"/>
            <w:gridSpan w:val="3"/>
            <w:tcBorders/>
            <w:shd w:fill="auto" w:val="clear"/>
          </w:tcPr>
          <w:p>
            <w:pPr>
              <w:pStyle w:val="TableContents"/>
              <w:spacing w:before="0" w:after="283"/>
              <w:jc w:val="left"/>
              <w:rPr/>
            </w:pPr>
            <w:r>
              <w:rPr/>
              <w:t>Name: Phil Kramer</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4685" w:type="dxa"/>
            <w:gridSpan w:val="3"/>
            <w:tcBorders/>
            <w:shd w:fill="auto" w:val="clear"/>
          </w:tcPr>
          <w:p>
            <w:pPr>
              <w:pStyle w:val="TableContents"/>
              <w:spacing w:before="0" w:after="283"/>
              <w:jc w:val="left"/>
              <w:rPr/>
            </w:pPr>
            <w:r>
              <w:rPr/>
              <w:t>Title:   Executive Vice President</w:t>
            </w:r>
          </w:p>
        </w:tc>
      </w:tr>
      <w:tr>
        <w:trPr/>
        <w:tc>
          <w:tcPr>
            <w:tcW w:w="2861" w:type="dxa"/>
            <w:tcBorders/>
            <w:shd w:fill="auto" w:val="clear"/>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753" w:type="dxa"/>
            <w:gridSpan w:val="5"/>
            <w:tcBorders/>
            <w:shd w:fill="auto" w:val="clear"/>
          </w:tcPr>
          <w:p>
            <w:pPr>
              <w:pStyle w:val="TableContents"/>
              <w:spacing w:before="0" w:after="283"/>
              <w:jc w:val="left"/>
              <w:rPr/>
            </w:pPr>
            <w:r>
              <w:rPr/>
              <w:t>PLAINS MARKETING CANADA, L.P.</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By:</w:t>
            </w:r>
          </w:p>
        </w:tc>
        <w:tc>
          <w:tcPr>
            <w:tcW w:w="236" w:type="dxa"/>
            <w:tcBorders/>
            <w:shd w:fill="auto" w:val="clear"/>
            <w:vAlign w:val="bottom"/>
          </w:tcPr>
          <w:p>
            <w:pPr>
              <w:pStyle w:val="TableContents"/>
              <w:spacing w:before="0" w:after="283"/>
              <w:rPr/>
            </w:pPr>
            <w:r>
              <w:rPr/>
              <w:t> </w:t>
            </w:r>
          </w:p>
        </w:tc>
        <w:tc>
          <w:tcPr>
            <w:tcW w:w="4859" w:type="dxa"/>
            <w:gridSpan w:val="3"/>
            <w:tcBorders/>
            <w:shd w:fill="auto" w:val="clear"/>
          </w:tcPr>
          <w:p>
            <w:pPr>
              <w:pStyle w:val="TableContents"/>
              <w:spacing w:before="0" w:after="283"/>
              <w:jc w:val="left"/>
              <w:rPr/>
            </w:pPr>
            <w:r>
              <w:rPr/>
              <w:t>PMC (NOVA SCOTIA) COMPANY</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4859" w:type="dxa"/>
            <w:gridSpan w:val="3"/>
            <w:tcBorders/>
            <w:shd w:fill="auto" w:val="clear"/>
          </w:tcPr>
          <w:p>
            <w:pPr>
              <w:pStyle w:val="TableContents"/>
              <w:spacing w:before="0" w:after="283"/>
              <w:jc w:val="left"/>
              <w:rPr/>
            </w:pPr>
            <w:r>
              <w:rPr/>
              <w:t>its General Partner</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0"/>
              <w:ind w:left="0" w:right="0" w:hanging="0"/>
              <w:rPr/>
            </w:pPr>
            <w:r>
              <w:rPr/>
              <w:t xml:space="preserve">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By:</w:t>
            </w:r>
          </w:p>
        </w:tc>
        <w:tc>
          <w:tcPr>
            <w:tcW w:w="236"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0"/>
              <w:ind w:left="0" w:right="0" w:hanging="0"/>
              <w:rPr/>
            </w:pPr>
            <w:r>
              <w:rPr/>
              <w:t xml:space="preserve">  </w:t>
            </w:r>
          </w:p>
        </w:tc>
        <w:tc>
          <w:tcPr>
            <w:tcW w:w="188" w:type="dxa"/>
            <w:tcBorders/>
            <w:shd w:fill="auto" w:val="clear"/>
            <w:vAlign w:val="center"/>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center"/>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center"/>
          </w:tcPr>
          <w:p>
            <w:pPr>
              <w:pStyle w:val="TableContents"/>
              <w:spacing w:before="0" w:after="283"/>
              <w:rPr/>
            </w:pPr>
            <w:r>
              <w:rPr/>
              <w:t> </w:t>
            </w:r>
          </w:p>
        </w:tc>
        <w:tc>
          <w:tcPr>
            <w:tcW w:w="3282" w:type="dxa"/>
            <w:tcBorders>
              <w:top w:val="single" w:sz="2" w:space="0" w:color="000000"/>
            </w:tcBorders>
            <w:shd w:fill="auto" w:val="clear"/>
            <w:tcMar>
              <w:top w:w="28" w:type="dxa"/>
            </w:tcMar>
          </w:tcPr>
          <w:p>
            <w:pPr>
              <w:pStyle w:val="TableContents"/>
              <w:spacing w:before="0" w:after="283"/>
              <w:jc w:val="left"/>
              <w:rPr/>
            </w:pPr>
            <w:r>
              <w:rPr/>
              <w:t> </w:t>
            </w:r>
          </w:p>
        </w:tc>
        <w:tc>
          <w:tcPr>
            <w:tcW w:w="487" w:type="dxa"/>
            <w:tcBorders/>
            <w:shd w:fill="auto" w:val="clear"/>
            <w:vAlign w:val="center"/>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4685" w:type="dxa"/>
            <w:gridSpan w:val="3"/>
            <w:tcBorders/>
            <w:shd w:fill="auto" w:val="clear"/>
          </w:tcPr>
          <w:p>
            <w:pPr>
              <w:pStyle w:val="TableContents"/>
              <w:spacing w:before="0" w:after="283"/>
              <w:jc w:val="left"/>
              <w:rPr/>
            </w:pPr>
            <w:r>
              <w:rPr/>
              <w:t>Name: Phil Kramer</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4685" w:type="dxa"/>
            <w:gridSpan w:val="3"/>
            <w:tcBorders/>
            <w:shd w:fill="auto" w:val="clear"/>
          </w:tcPr>
          <w:p>
            <w:pPr>
              <w:pStyle w:val="TableContents"/>
              <w:spacing w:before="0" w:after="283"/>
              <w:jc w:val="left"/>
              <w:rPr/>
            </w:pPr>
            <w:r>
              <w:rPr/>
              <w:t>Title:   Executive Vice President</w:t>
            </w:r>
          </w:p>
        </w:tc>
      </w:tr>
      <w:tr>
        <w:trPr/>
        <w:tc>
          <w:tcPr>
            <w:tcW w:w="2861" w:type="dxa"/>
            <w:tcBorders/>
            <w:shd w:fill="auto" w:val="clear"/>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753" w:type="dxa"/>
            <w:gridSpan w:val="5"/>
            <w:tcBorders/>
            <w:shd w:fill="auto" w:val="clear"/>
          </w:tcPr>
          <w:p>
            <w:pPr>
              <w:pStyle w:val="TableContents"/>
              <w:spacing w:before="0" w:after="283"/>
              <w:jc w:val="left"/>
              <w:rPr/>
            </w:pPr>
            <w:r>
              <w:rPr/>
              <w:t>BASIN HOLDINGS GP LLC</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By:</w:t>
            </w:r>
          </w:p>
        </w:tc>
        <w:tc>
          <w:tcPr>
            <w:tcW w:w="236" w:type="dxa"/>
            <w:tcBorders/>
            <w:shd w:fill="auto" w:val="clear"/>
            <w:vAlign w:val="bottom"/>
          </w:tcPr>
          <w:p>
            <w:pPr>
              <w:pStyle w:val="TableContents"/>
              <w:spacing w:before="0" w:after="283"/>
              <w:rPr/>
            </w:pPr>
            <w:r>
              <w:rPr/>
              <w:t> </w:t>
            </w:r>
          </w:p>
        </w:tc>
        <w:tc>
          <w:tcPr>
            <w:tcW w:w="4859" w:type="dxa"/>
            <w:gridSpan w:val="3"/>
            <w:tcBorders/>
            <w:shd w:fill="auto" w:val="clear"/>
          </w:tcPr>
          <w:p>
            <w:pPr>
              <w:pStyle w:val="TableContents"/>
              <w:spacing w:before="0" w:after="283"/>
              <w:jc w:val="left"/>
              <w:rPr/>
            </w:pPr>
            <w:r>
              <w:rPr/>
              <w:t>PLAINS PIPELINE, L.P.</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4859" w:type="dxa"/>
            <w:gridSpan w:val="3"/>
            <w:tcBorders/>
            <w:shd w:fill="auto" w:val="clear"/>
          </w:tcPr>
          <w:p>
            <w:pPr>
              <w:pStyle w:val="TableContents"/>
              <w:spacing w:before="0" w:after="283"/>
              <w:jc w:val="left"/>
              <w:rPr/>
            </w:pPr>
            <w:r>
              <w:rPr/>
              <w:t>its Sole Member</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By:</w:t>
            </w:r>
          </w:p>
        </w:tc>
        <w:tc>
          <w:tcPr>
            <w:tcW w:w="236" w:type="dxa"/>
            <w:tcBorders/>
            <w:shd w:fill="auto" w:val="clear"/>
            <w:vAlign w:val="bottom"/>
          </w:tcPr>
          <w:p>
            <w:pPr>
              <w:pStyle w:val="TableContents"/>
              <w:spacing w:before="0" w:after="283"/>
              <w:rPr/>
            </w:pPr>
            <w:r>
              <w:rPr/>
              <w:t> </w:t>
            </w:r>
          </w:p>
        </w:tc>
        <w:tc>
          <w:tcPr>
            <w:tcW w:w="4859" w:type="dxa"/>
            <w:gridSpan w:val="3"/>
            <w:tcBorders/>
            <w:shd w:fill="auto" w:val="clear"/>
          </w:tcPr>
          <w:p>
            <w:pPr>
              <w:pStyle w:val="TableContents"/>
              <w:spacing w:before="0" w:after="283"/>
              <w:jc w:val="left"/>
              <w:rPr/>
            </w:pPr>
            <w:r>
              <w:rPr/>
              <w:t>PLAINS MARKETING GP INC.</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4859" w:type="dxa"/>
            <w:gridSpan w:val="3"/>
            <w:tcBorders/>
            <w:shd w:fill="auto" w:val="clear"/>
          </w:tcPr>
          <w:p>
            <w:pPr>
              <w:pStyle w:val="TableContents"/>
              <w:spacing w:before="0" w:after="283"/>
              <w:jc w:val="left"/>
              <w:rPr/>
            </w:pPr>
            <w:r>
              <w:rPr/>
              <w:t>its General Partner</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0"/>
              <w:ind w:left="0" w:right="0" w:hanging="0"/>
              <w:rPr/>
            </w:pPr>
            <w:r>
              <w:rPr/>
              <w:t xml:space="preserve">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By:</w:t>
            </w:r>
          </w:p>
        </w:tc>
        <w:tc>
          <w:tcPr>
            <w:tcW w:w="236"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487" w:type="dxa"/>
            <w:tcBorders/>
            <w:shd w:fill="auto" w:val="clear"/>
            <w:vAlign w:val="bottom"/>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0"/>
              <w:ind w:left="0" w:right="0" w:hanging="0"/>
              <w:rPr/>
            </w:pPr>
            <w:r>
              <w:rPr/>
              <w:t xml:space="preserve">  </w:t>
            </w:r>
          </w:p>
        </w:tc>
        <w:tc>
          <w:tcPr>
            <w:tcW w:w="188" w:type="dxa"/>
            <w:tcBorders/>
            <w:shd w:fill="auto" w:val="clear"/>
            <w:vAlign w:val="center"/>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center"/>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center"/>
          </w:tcPr>
          <w:p>
            <w:pPr>
              <w:pStyle w:val="TableContents"/>
              <w:spacing w:before="0" w:after="283"/>
              <w:rPr/>
            </w:pPr>
            <w:r>
              <w:rPr/>
              <w:t> </w:t>
            </w:r>
          </w:p>
        </w:tc>
        <w:tc>
          <w:tcPr>
            <w:tcW w:w="3282" w:type="dxa"/>
            <w:tcBorders>
              <w:top w:val="single" w:sz="2" w:space="0" w:color="000000"/>
            </w:tcBorders>
            <w:shd w:fill="auto" w:val="clear"/>
            <w:tcMar>
              <w:top w:w="28" w:type="dxa"/>
            </w:tcMar>
          </w:tcPr>
          <w:p>
            <w:pPr>
              <w:pStyle w:val="TableContents"/>
              <w:spacing w:before="0" w:after="283"/>
              <w:jc w:val="left"/>
              <w:rPr/>
            </w:pPr>
            <w:r>
              <w:rPr/>
              <w:t> </w:t>
            </w:r>
          </w:p>
        </w:tc>
        <w:tc>
          <w:tcPr>
            <w:tcW w:w="487" w:type="dxa"/>
            <w:tcBorders/>
            <w:shd w:fill="auto" w:val="clear"/>
            <w:vAlign w:val="center"/>
          </w:tcPr>
          <w:p>
            <w:pPr>
              <w:pStyle w:val="TableContents"/>
              <w:spacing w:before="0" w:after="283"/>
              <w:rPr/>
            </w:pPr>
            <w:r>
              <w:rPr/>
              <w:t> </w:t>
            </w:r>
          </w:p>
        </w:tc>
        <w:tc>
          <w:tcPr>
            <w:tcW w:w="916" w:type="dxa"/>
            <w:tcBorders/>
            <w:shd w:fill="auto" w:val="clear"/>
          </w:tcPr>
          <w:p>
            <w:pPr>
              <w:pStyle w:val="TableContents"/>
              <w:spacing w:before="0" w:after="283"/>
              <w:jc w:val="left"/>
              <w:rPr/>
            </w:pPr>
            <w:r>
              <w:rPr/>
              <w:t> </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4685" w:type="dxa"/>
            <w:gridSpan w:val="3"/>
            <w:tcBorders/>
            <w:shd w:fill="auto" w:val="clear"/>
          </w:tcPr>
          <w:p>
            <w:pPr>
              <w:pStyle w:val="TableContents"/>
              <w:spacing w:before="0" w:after="283"/>
              <w:jc w:val="left"/>
              <w:rPr/>
            </w:pPr>
            <w:r>
              <w:rPr/>
              <w:t>Name: Phil Kramer</w:t>
            </w:r>
          </w:p>
        </w:tc>
      </w:tr>
      <w:tr>
        <w:trPr/>
        <w:tc>
          <w:tcPr>
            <w:tcW w:w="2861" w:type="dxa"/>
            <w:tcBorders/>
            <w:shd w:fill="auto" w:val="clea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1341" w:type="dxa"/>
            <w:tcBorders/>
            <w:shd w:fill="auto" w:val="clear"/>
          </w:tcPr>
          <w:p>
            <w:pPr>
              <w:pStyle w:val="TableContents"/>
              <w:spacing w:before="0" w:after="283"/>
              <w:jc w:val="left"/>
              <w:rPr/>
            </w:pPr>
            <w:r>
              <w:rPr/>
              <w:t> </w:t>
            </w:r>
          </w:p>
        </w:tc>
        <w:tc>
          <w:tcPr>
            <w:tcW w:w="236" w:type="dxa"/>
            <w:tcBorders/>
            <w:shd w:fill="auto" w:val="clear"/>
            <w:vAlign w:val="bottom"/>
          </w:tcPr>
          <w:p>
            <w:pPr>
              <w:pStyle w:val="TableContents"/>
              <w:spacing w:before="0" w:after="283"/>
              <w:rPr/>
            </w:pPr>
            <w:r>
              <w:rPr/>
              <w:t> </w:t>
            </w:r>
          </w:p>
        </w:tc>
        <w:tc>
          <w:tcPr>
            <w:tcW w:w="4685" w:type="dxa"/>
            <w:gridSpan w:val="3"/>
            <w:tcBorders/>
            <w:shd w:fill="auto" w:val="clear"/>
          </w:tcPr>
          <w:p>
            <w:pPr>
              <w:pStyle w:val="TableContents"/>
              <w:spacing w:before="0" w:after="283"/>
              <w:jc w:val="left"/>
              <w:rPr/>
            </w:pPr>
            <w:r>
              <w:rPr/>
              <w:t xml:space="preserve">Title:   Executive Vice President and Chief </w:t>
              <w:br/>
              <w:t>            Financial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914"/>
        <w:gridCol w:w="190"/>
        <w:gridCol w:w="606"/>
        <w:gridCol w:w="227"/>
        <w:gridCol w:w="1303"/>
        <w:gridCol w:w="227"/>
        <w:gridCol w:w="3307"/>
        <w:gridCol w:w="495"/>
        <w:gridCol w:w="936"/>
      </w:tblGrid>
      <w:tr>
        <w:trPr/>
        <w:tc>
          <w:tcPr>
            <w:tcW w:w="291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3307"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rPr/>
            </w:pPr>
            <w:r>
              <w:rPr/>
              <w:t> </w:t>
            </w:r>
          </w:p>
        </w:tc>
      </w:tr>
      <w:tr>
        <w:trPr/>
        <w:tc>
          <w:tcPr>
            <w:tcW w:w="2914" w:type="dxa"/>
            <w:tcBorders/>
            <w:shd w:fill="auto" w:val="clear"/>
          </w:tcPr>
          <w:p>
            <w:pPr>
              <w:pStyle w:val="TableContents"/>
              <w:spacing w:before="0" w:after="0"/>
              <w:ind w:left="0" w:right="0" w:hanging="0"/>
              <w:rPr/>
            </w:pPr>
            <w:r>
              <w:rPr/>
              <w:t xml:space="preserve">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670" w:type="dxa"/>
            <w:gridSpan w:val="5"/>
            <w:tcBorders/>
            <w:shd w:fill="auto" w:val="clear"/>
          </w:tcPr>
          <w:p>
            <w:pPr>
              <w:pStyle w:val="TableContents"/>
              <w:spacing w:before="0" w:after="283"/>
              <w:jc w:val="left"/>
              <w:rPr/>
            </w:pPr>
            <w:r>
              <w:rPr/>
              <w:t>BASIN PIPELINE HOLDINGS, L.P.</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BASIN HOLDINGS GP LLC</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its General Partner</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PLAINS PIPELINE, L.P.</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its Sole Member</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PLAINS MARKETING GP INC.</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its General Partner</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xml:space="preserve">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xml:space="preserve">  </w:t>
            </w:r>
          </w:p>
        </w:tc>
        <w:tc>
          <w:tcPr>
            <w:tcW w:w="190" w:type="dxa"/>
            <w:tcBorders/>
            <w:shd w:fill="auto" w:val="clear"/>
            <w:vAlign w:val="center"/>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center"/>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center"/>
          </w:tcPr>
          <w:p>
            <w:pPr>
              <w:pStyle w:val="TableContents"/>
              <w:spacing w:before="0" w:after="283"/>
              <w:rPr/>
            </w:pPr>
            <w:r>
              <w:rPr/>
              <w:t> </w:t>
            </w:r>
          </w:p>
        </w:tc>
        <w:tc>
          <w:tcPr>
            <w:tcW w:w="3307" w:type="dxa"/>
            <w:tcBorders>
              <w:top w:val="single" w:sz="2" w:space="0" w:color="000000"/>
            </w:tcBorders>
            <w:shd w:fill="auto" w:val="clear"/>
            <w:tcMar>
              <w:top w:w="28" w:type="dxa"/>
            </w:tcMar>
          </w:tcPr>
          <w:p>
            <w:pPr>
              <w:pStyle w:val="TableContents"/>
              <w:spacing w:before="0" w:after="283"/>
              <w:jc w:val="left"/>
              <w:rPr/>
            </w:pPr>
            <w:r>
              <w:rPr/>
              <w:t> </w:t>
            </w:r>
          </w:p>
        </w:tc>
        <w:tc>
          <w:tcPr>
            <w:tcW w:w="495" w:type="dxa"/>
            <w:tcBorders/>
            <w:shd w:fill="auto" w:val="clear"/>
            <w:vAlign w:val="center"/>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738" w:type="dxa"/>
            <w:gridSpan w:val="3"/>
            <w:tcBorders/>
            <w:shd w:fill="auto" w:val="clear"/>
          </w:tcPr>
          <w:p>
            <w:pPr>
              <w:pStyle w:val="TableContents"/>
              <w:spacing w:before="0" w:after="283"/>
              <w:jc w:val="left"/>
              <w:rPr/>
            </w:pPr>
            <w:r>
              <w:rPr/>
              <w:t>Name: Phil Kramer</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738" w:type="dxa"/>
            <w:gridSpan w:val="3"/>
            <w:tcBorders/>
            <w:shd w:fill="auto" w:val="clear"/>
          </w:tcPr>
          <w:p>
            <w:pPr>
              <w:pStyle w:val="TableContents"/>
              <w:spacing w:before="0" w:after="283"/>
              <w:jc w:val="left"/>
              <w:rPr/>
            </w:pPr>
            <w:r>
              <w:rPr/>
              <w:t xml:space="preserve">Title:   Executive Vice President and Chief </w:t>
              <w:br/>
              <w:t>            Financial Officer</w:t>
            </w:r>
          </w:p>
        </w:tc>
      </w:tr>
      <w:tr>
        <w:trPr/>
        <w:tc>
          <w:tcPr>
            <w:tcW w:w="2914"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670" w:type="dxa"/>
            <w:gridSpan w:val="5"/>
            <w:tcBorders/>
            <w:shd w:fill="auto" w:val="clear"/>
          </w:tcPr>
          <w:p>
            <w:pPr>
              <w:pStyle w:val="TableContents"/>
              <w:spacing w:before="0" w:after="283"/>
              <w:jc w:val="left"/>
              <w:rPr/>
            </w:pPr>
            <w:r>
              <w:rPr/>
              <w:t>RANCHO HOLDINGS GP LLC</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PLAINS PIPELINE, L.P.</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its Sole Member</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PLAINS MARKETING GP INC.</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its General Partner</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xml:space="preserve">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xml:space="preserve">  </w:t>
            </w:r>
          </w:p>
        </w:tc>
        <w:tc>
          <w:tcPr>
            <w:tcW w:w="190" w:type="dxa"/>
            <w:tcBorders/>
            <w:shd w:fill="auto" w:val="clear"/>
            <w:vAlign w:val="center"/>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center"/>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center"/>
          </w:tcPr>
          <w:p>
            <w:pPr>
              <w:pStyle w:val="TableContents"/>
              <w:spacing w:before="0" w:after="283"/>
              <w:rPr/>
            </w:pPr>
            <w:r>
              <w:rPr/>
              <w:t> </w:t>
            </w:r>
          </w:p>
        </w:tc>
        <w:tc>
          <w:tcPr>
            <w:tcW w:w="3307" w:type="dxa"/>
            <w:tcBorders>
              <w:top w:val="single" w:sz="2" w:space="0" w:color="000000"/>
            </w:tcBorders>
            <w:shd w:fill="auto" w:val="clear"/>
            <w:tcMar>
              <w:top w:w="28" w:type="dxa"/>
            </w:tcMar>
          </w:tcPr>
          <w:p>
            <w:pPr>
              <w:pStyle w:val="TableContents"/>
              <w:spacing w:before="0" w:after="283"/>
              <w:jc w:val="left"/>
              <w:rPr/>
            </w:pPr>
            <w:r>
              <w:rPr/>
              <w:t> </w:t>
            </w:r>
          </w:p>
        </w:tc>
        <w:tc>
          <w:tcPr>
            <w:tcW w:w="495" w:type="dxa"/>
            <w:tcBorders/>
            <w:shd w:fill="auto" w:val="clear"/>
            <w:vAlign w:val="center"/>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738" w:type="dxa"/>
            <w:gridSpan w:val="3"/>
            <w:tcBorders/>
            <w:shd w:fill="auto" w:val="clear"/>
          </w:tcPr>
          <w:p>
            <w:pPr>
              <w:pStyle w:val="TableContents"/>
              <w:spacing w:before="0" w:after="283"/>
              <w:jc w:val="left"/>
              <w:rPr/>
            </w:pPr>
            <w:r>
              <w:rPr/>
              <w:t>Name: Phil Kramer</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738" w:type="dxa"/>
            <w:gridSpan w:val="3"/>
            <w:tcBorders/>
            <w:shd w:fill="auto" w:val="clear"/>
          </w:tcPr>
          <w:p>
            <w:pPr>
              <w:pStyle w:val="TableContents"/>
              <w:spacing w:before="0" w:after="283"/>
              <w:jc w:val="left"/>
              <w:rPr/>
            </w:pPr>
            <w:r>
              <w:rPr/>
              <w:t xml:space="preserve">Title:   Executive Vice President and Chief </w:t>
              <w:br/>
              <w:t>            Financial Officer</w:t>
            </w:r>
          </w:p>
        </w:tc>
      </w:tr>
      <w:tr>
        <w:trPr/>
        <w:tc>
          <w:tcPr>
            <w:tcW w:w="2914"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670" w:type="dxa"/>
            <w:gridSpan w:val="5"/>
            <w:tcBorders/>
            <w:shd w:fill="auto" w:val="clear"/>
          </w:tcPr>
          <w:p>
            <w:pPr>
              <w:pStyle w:val="TableContents"/>
              <w:spacing w:before="0" w:after="283"/>
              <w:jc w:val="left"/>
              <w:rPr/>
            </w:pPr>
            <w:r>
              <w:rPr/>
              <w:t>RANCHO PIPELINE HOLDINGS, L.P.</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RANCHO HOLDINGS GP LLC</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its General Partner</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PLAINS PIPELINE, L.P.</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its Sole Member</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PLAINS MARKETING GP INC.</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its General Partner</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xml:space="preserve">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3307" w:type="dxa"/>
            <w:tcBorders/>
            <w:shd w:fill="auto" w:val="clear"/>
          </w:tcPr>
          <w:p>
            <w:pPr>
              <w:pStyle w:val="TableContents"/>
              <w:spacing w:before="0" w:after="283"/>
              <w:jc w:val="left"/>
              <w:rPr/>
            </w:pPr>
            <w:r>
              <w:rPr/>
              <w:t> </w:t>
            </w:r>
          </w:p>
        </w:tc>
        <w:tc>
          <w:tcPr>
            <w:tcW w:w="495" w:type="dxa"/>
            <w:tcBorders/>
            <w:shd w:fill="auto" w:val="clear"/>
            <w:vAlign w:val="bottom"/>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0"/>
              <w:ind w:left="0" w:right="0" w:hanging="0"/>
              <w:rPr/>
            </w:pPr>
            <w:r>
              <w:rPr/>
              <w:t xml:space="preserve">  </w:t>
            </w:r>
          </w:p>
        </w:tc>
        <w:tc>
          <w:tcPr>
            <w:tcW w:w="190" w:type="dxa"/>
            <w:tcBorders/>
            <w:shd w:fill="auto" w:val="clear"/>
            <w:vAlign w:val="center"/>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center"/>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center"/>
          </w:tcPr>
          <w:p>
            <w:pPr>
              <w:pStyle w:val="TableContents"/>
              <w:spacing w:before="0" w:after="283"/>
              <w:rPr/>
            </w:pPr>
            <w:r>
              <w:rPr/>
              <w:t> </w:t>
            </w:r>
          </w:p>
        </w:tc>
        <w:tc>
          <w:tcPr>
            <w:tcW w:w="3307" w:type="dxa"/>
            <w:tcBorders>
              <w:top w:val="single" w:sz="2" w:space="0" w:color="000000"/>
            </w:tcBorders>
            <w:shd w:fill="auto" w:val="clear"/>
            <w:tcMar>
              <w:top w:w="28" w:type="dxa"/>
            </w:tcMar>
          </w:tcPr>
          <w:p>
            <w:pPr>
              <w:pStyle w:val="TableContents"/>
              <w:spacing w:before="0" w:after="283"/>
              <w:jc w:val="left"/>
              <w:rPr/>
            </w:pPr>
            <w:r>
              <w:rPr/>
              <w:t> </w:t>
            </w:r>
          </w:p>
        </w:tc>
        <w:tc>
          <w:tcPr>
            <w:tcW w:w="495" w:type="dxa"/>
            <w:tcBorders/>
            <w:shd w:fill="auto" w:val="clear"/>
            <w:vAlign w:val="center"/>
          </w:tcPr>
          <w:p>
            <w:pPr>
              <w:pStyle w:val="TableContents"/>
              <w:spacing w:before="0" w:after="283"/>
              <w:rPr/>
            </w:pPr>
            <w:r>
              <w:rPr/>
              <w:t> </w:t>
            </w:r>
          </w:p>
        </w:tc>
        <w:tc>
          <w:tcPr>
            <w:tcW w:w="936" w:type="dxa"/>
            <w:tcBorders/>
            <w:shd w:fill="auto" w:val="clear"/>
          </w:tcPr>
          <w:p>
            <w:pPr>
              <w:pStyle w:val="TableContents"/>
              <w:spacing w:before="0" w:after="283"/>
              <w:jc w:val="left"/>
              <w:rPr/>
            </w:pPr>
            <w:r>
              <w:rPr/>
              <w:t> </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738" w:type="dxa"/>
            <w:gridSpan w:val="3"/>
            <w:tcBorders/>
            <w:shd w:fill="auto" w:val="clear"/>
          </w:tcPr>
          <w:p>
            <w:pPr>
              <w:pStyle w:val="TableContents"/>
              <w:spacing w:before="0" w:after="283"/>
              <w:jc w:val="left"/>
              <w:rPr/>
            </w:pPr>
            <w:r>
              <w:rPr/>
              <w:t>Name: Phil Kramer</w:t>
            </w:r>
          </w:p>
        </w:tc>
      </w:tr>
      <w:tr>
        <w:trPr/>
        <w:tc>
          <w:tcPr>
            <w:tcW w:w="2914"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03"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738" w:type="dxa"/>
            <w:gridSpan w:val="3"/>
            <w:tcBorders/>
            <w:shd w:fill="auto" w:val="clear"/>
          </w:tcPr>
          <w:p>
            <w:pPr>
              <w:pStyle w:val="TableContents"/>
              <w:spacing w:before="0" w:after="283"/>
              <w:jc w:val="left"/>
              <w:rPr/>
            </w:pPr>
            <w:r>
              <w:rPr/>
              <w:t xml:space="preserve">Title:   Executive Vice President and Chief </w:t>
              <w:br/>
              <w:t>            Financial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915"/>
        <w:gridCol w:w="190"/>
        <w:gridCol w:w="547"/>
        <w:gridCol w:w="217"/>
        <w:gridCol w:w="1367"/>
        <w:gridCol w:w="230"/>
        <w:gridCol w:w="3284"/>
        <w:gridCol w:w="507"/>
        <w:gridCol w:w="948"/>
      </w:tblGrid>
      <w:tr>
        <w:trPr/>
        <w:tc>
          <w:tcPr>
            <w:tcW w:w="291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36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3284"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rPr/>
            </w:pPr>
            <w:r>
              <w:rPr/>
              <w:t> </w:t>
            </w:r>
          </w:p>
        </w:tc>
      </w:tr>
      <w:tr>
        <w:trPr/>
        <w:tc>
          <w:tcPr>
            <w:tcW w:w="2915" w:type="dxa"/>
            <w:tcBorders/>
            <w:shd w:fill="auto" w:val="clear"/>
          </w:tcPr>
          <w:p>
            <w:pPr>
              <w:pStyle w:val="TableContents"/>
              <w:spacing w:before="0" w:after="0"/>
              <w:ind w:left="0" w:right="0" w:hanging="0"/>
              <w:rPr/>
            </w:pPr>
            <w:r>
              <w:rPr/>
              <w:t xml:space="preserve">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7" w:type="dxa"/>
            <w:tcBorders/>
            <w:shd w:fill="auto" w:val="clear"/>
          </w:tcPr>
          <w:p>
            <w:pPr>
              <w:pStyle w:val="TableContents"/>
              <w:spacing w:before="0" w:after="283"/>
              <w:jc w:val="left"/>
              <w:rPr/>
            </w:pPr>
            <w:r>
              <w:rPr/>
              <w:t> </w:t>
            </w:r>
          </w:p>
        </w:tc>
        <w:tc>
          <w:tcPr>
            <w:tcW w:w="230" w:type="dxa"/>
            <w:tcBorders/>
            <w:shd w:fill="auto" w:val="clear"/>
            <w:vAlign w:val="bottom"/>
          </w:tcPr>
          <w:p>
            <w:pPr>
              <w:pStyle w:val="TableContents"/>
              <w:spacing w:before="0" w:after="283"/>
              <w:rPr/>
            </w:pPr>
            <w:r>
              <w:rPr/>
              <w:t> </w:t>
            </w:r>
          </w:p>
        </w:tc>
        <w:tc>
          <w:tcPr>
            <w:tcW w:w="3284" w:type="dxa"/>
            <w:tcBorders/>
            <w:shd w:fill="auto" w:val="clear"/>
          </w:tcPr>
          <w:p>
            <w:pPr>
              <w:pStyle w:val="TableContents"/>
              <w:spacing w:before="0" w:after="283"/>
              <w:jc w:val="left"/>
              <w:rPr/>
            </w:pPr>
            <w:r>
              <w:rPr/>
              <w:t> </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645" w:type="dxa"/>
            <w:gridSpan w:val="5"/>
            <w:tcBorders/>
            <w:shd w:fill="auto" w:val="clear"/>
          </w:tcPr>
          <w:p>
            <w:pPr>
              <w:pStyle w:val="TableContents"/>
              <w:spacing w:before="0" w:after="283"/>
              <w:jc w:val="left"/>
              <w:rPr/>
            </w:pPr>
            <w:r>
              <w:rPr/>
              <w:t>PLAINS LPG SERVICES GP LLC</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7" w:type="dxa"/>
            <w:tcBorders/>
            <w:shd w:fill="auto" w:val="clear"/>
          </w:tcPr>
          <w:p>
            <w:pPr>
              <w:pStyle w:val="TableContents"/>
              <w:spacing w:before="0" w:after="283"/>
              <w:jc w:val="left"/>
              <w:rPr/>
            </w:pPr>
            <w:r>
              <w:rPr/>
              <w:t> </w:t>
            </w:r>
          </w:p>
        </w:tc>
        <w:tc>
          <w:tcPr>
            <w:tcW w:w="230" w:type="dxa"/>
            <w:tcBorders/>
            <w:shd w:fill="auto" w:val="clear"/>
            <w:vAlign w:val="bottom"/>
          </w:tcPr>
          <w:p>
            <w:pPr>
              <w:pStyle w:val="TableContents"/>
              <w:spacing w:before="0" w:after="283"/>
              <w:rPr/>
            </w:pPr>
            <w:r>
              <w:rPr/>
              <w:t> </w:t>
            </w:r>
          </w:p>
        </w:tc>
        <w:tc>
          <w:tcPr>
            <w:tcW w:w="3284" w:type="dxa"/>
            <w:tcBorders/>
            <w:shd w:fill="auto" w:val="clear"/>
          </w:tcPr>
          <w:p>
            <w:pPr>
              <w:pStyle w:val="TableContents"/>
              <w:spacing w:before="0" w:after="283"/>
              <w:jc w:val="left"/>
              <w:rPr/>
            </w:pPr>
            <w:r>
              <w:rPr/>
              <w:t> </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By:</w:t>
            </w:r>
          </w:p>
        </w:tc>
        <w:tc>
          <w:tcPr>
            <w:tcW w:w="217" w:type="dxa"/>
            <w:tcBorders/>
            <w:shd w:fill="auto" w:val="clear"/>
            <w:vAlign w:val="bottom"/>
          </w:tcPr>
          <w:p>
            <w:pPr>
              <w:pStyle w:val="TableContents"/>
              <w:spacing w:before="0" w:after="283"/>
              <w:rPr/>
            </w:pPr>
            <w:r>
              <w:rPr/>
              <w:t> </w:t>
            </w:r>
          </w:p>
        </w:tc>
        <w:tc>
          <w:tcPr>
            <w:tcW w:w="4881" w:type="dxa"/>
            <w:gridSpan w:val="3"/>
            <w:tcBorders/>
            <w:shd w:fill="auto" w:val="clear"/>
          </w:tcPr>
          <w:p>
            <w:pPr>
              <w:pStyle w:val="TableContents"/>
              <w:spacing w:before="0" w:after="283"/>
              <w:jc w:val="left"/>
              <w:rPr/>
            </w:pPr>
            <w:r>
              <w:rPr/>
              <w:t>PLAINS MARKETING, L.P.</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4881" w:type="dxa"/>
            <w:gridSpan w:val="3"/>
            <w:tcBorders/>
            <w:shd w:fill="auto" w:val="clear"/>
          </w:tcPr>
          <w:p>
            <w:pPr>
              <w:pStyle w:val="TableContents"/>
              <w:spacing w:before="0" w:after="283"/>
              <w:jc w:val="left"/>
              <w:rPr/>
            </w:pPr>
            <w:r>
              <w:rPr/>
              <w:t>its Sole Member</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7" w:type="dxa"/>
            <w:tcBorders/>
            <w:shd w:fill="auto" w:val="clear"/>
          </w:tcPr>
          <w:p>
            <w:pPr>
              <w:pStyle w:val="TableContents"/>
              <w:spacing w:before="0" w:after="283"/>
              <w:jc w:val="left"/>
              <w:rPr/>
            </w:pPr>
            <w:r>
              <w:rPr/>
              <w:t> </w:t>
            </w:r>
          </w:p>
        </w:tc>
        <w:tc>
          <w:tcPr>
            <w:tcW w:w="230" w:type="dxa"/>
            <w:tcBorders/>
            <w:shd w:fill="auto" w:val="clear"/>
            <w:vAlign w:val="bottom"/>
          </w:tcPr>
          <w:p>
            <w:pPr>
              <w:pStyle w:val="TableContents"/>
              <w:spacing w:before="0" w:after="283"/>
              <w:rPr/>
            </w:pPr>
            <w:r>
              <w:rPr/>
              <w:t> </w:t>
            </w:r>
          </w:p>
        </w:tc>
        <w:tc>
          <w:tcPr>
            <w:tcW w:w="3284" w:type="dxa"/>
            <w:tcBorders/>
            <w:shd w:fill="auto" w:val="clear"/>
          </w:tcPr>
          <w:p>
            <w:pPr>
              <w:pStyle w:val="TableContents"/>
              <w:spacing w:before="0" w:after="283"/>
              <w:jc w:val="left"/>
              <w:rPr/>
            </w:pPr>
            <w:r>
              <w:rPr/>
              <w:t> </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By:</w:t>
            </w:r>
          </w:p>
        </w:tc>
        <w:tc>
          <w:tcPr>
            <w:tcW w:w="217" w:type="dxa"/>
            <w:tcBorders/>
            <w:shd w:fill="auto" w:val="clear"/>
            <w:vAlign w:val="bottom"/>
          </w:tcPr>
          <w:p>
            <w:pPr>
              <w:pStyle w:val="TableContents"/>
              <w:spacing w:before="0" w:after="283"/>
              <w:rPr/>
            </w:pPr>
            <w:r>
              <w:rPr/>
              <w:t> </w:t>
            </w:r>
          </w:p>
        </w:tc>
        <w:tc>
          <w:tcPr>
            <w:tcW w:w="4881" w:type="dxa"/>
            <w:gridSpan w:val="3"/>
            <w:tcBorders/>
            <w:shd w:fill="auto" w:val="clear"/>
          </w:tcPr>
          <w:p>
            <w:pPr>
              <w:pStyle w:val="TableContents"/>
              <w:spacing w:before="0" w:after="283"/>
              <w:jc w:val="left"/>
              <w:rPr/>
            </w:pPr>
            <w:r>
              <w:rPr/>
              <w:t>PLAINS MARKETING GP INC.</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4881" w:type="dxa"/>
            <w:gridSpan w:val="3"/>
            <w:tcBorders/>
            <w:shd w:fill="auto" w:val="clear"/>
          </w:tcPr>
          <w:p>
            <w:pPr>
              <w:pStyle w:val="TableContents"/>
              <w:spacing w:before="0" w:after="283"/>
              <w:jc w:val="left"/>
              <w:rPr/>
            </w:pPr>
            <w:r>
              <w:rPr/>
              <w:t>its General Partner</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7" w:type="dxa"/>
            <w:tcBorders/>
            <w:shd w:fill="auto" w:val="clear"/>
          </w:tcPr>
          <w:p>
            <w:pPr>
              <w:pStyle w:val="TableContents"/>
              <w:spacing w:before="0" w:after="283"/>
              <w:jc w:val="left"/>
              <w:rPr/>
            </w:pPr>
            <w:r>
              <w:rPr/>
              <w:t> </w:t>
            </w:r>
          </w:p>
        </w:tc>
        <w:tc>
          <w:tcPr>
            <w:tcW w:w="230" w:type="dxa"/>
            <w:tcBorders/>
            <w:shd w:fill="auto" w:val="clear"/>
            <w:vAlign w:val="bottom"/>
          </w:tcPr>
          <w:p>
            <w:pPr>
              <w:pStyle w:val="TableContents"/>
              <w:spacing w:before="0" w:after="283"/>
              <w:rPr/>
            </w:pPr>
            <w:r>
              <w:rPr/>
              <w:t> </w:t>
            </w:r>
          </w:p>
        </w:tc>
        <w:tc>
          <w:tcPr>
            <w:tcW w:w="3284" w:type="dxa"/>
            <w:tcBorders/>
            <w:shd w:fill="auto" w:val="clear"/>
          </w:tcPr>
          <w:p>
            <w:pPr>
              <w:pStyle w:val="TableContents"/>
              <w:spacing w:before="0" w:after="283"/>
              <w:jc w:val="left"/>
              <w:rPr/>
            </w:pPr>
            <w:r>
              <w:rPr/>
              <w:t> </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0"/>
              <w:ind w:left="0" w:right="0" w:hanging="0"/>
              <w:rPr/>
            </w:pPr>
            <w:r>
              <w:rPr/>
              <w:t xml:space="preserve">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7" w:type="dxa"/>
            <w:tcBorders/>
            <w:shd w:fill="auto" w:val="clear"/>
          </w:tcPr>
          <w:p>
            <w:pPr>
              <w:pStyle w:val="TableContents"/>
              <w:spacing w:before="0" w:after="283"/>
              <w:jc w:val="left"/>
              <w:rPr/>
            </w:pPr>
            <w:r>
              <w:rPr/>
              <w:t>By:</w:t>
            </w:r>
          </w:p>
        </w:tc>
        <w:tc>
          <w:tcPr>
            <w:tcW w:w="230" w:type="dxa"/>
            <w:tcBorders/>
            <w:shd w:fill="auto" w:val="clear"/>
            <w:vAlign w:val="bottom"/>
          </w:tcPr>
          <w:p>
            <w:pPr>
              <w:pStyle w:val="TableContents"/>
              <w:spacing w:before="0" w:after="283"/>
              <w:rPr/>
            </w:pPr>
            <w:r>
              <w:rPr/>
              <w:t> </w:t>
            </w:r>
          </w:p>
        </w:tc>
        <w:tc>
          <w:tcPr>
            <w:tcW w:w="3284" w:type="dxa"/>
            <w:tcBorders/>
            <w:shd w:fill="auto" w:val="clear"/>
          </w:tcPr>
          <w:p>
            <w:pPr>
              <w:pStyle w:val="TableContents"/>
              <w:spacing w:before="0" w:after="283"/>
              <w:jc w:val="left"/>
              <w:rPr/>
            </w:pPr>
            <w:r>
              <w:rPr/>
              <w:t> </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0"/>
              <w:ind w:left="0" w:right="0" w:hanging="0"/>
              <w:rPr/>
            </w:pPr>
            <w:r>
              <w:rPr/>
              <w:t xml:space="preserve">  </w:t>
            </w:r>
          </w:p>
        </w:tc>
        <w:tc>
          <w:tcPr>
            <w:tcW w:w="190" w:type="dxa"/>
            <w:tcBorders/>
            <w:shd w:fill="auto" w:val="clear"/>
            <w:vAlign w:val="center"/>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center"/>
          </w:tcPr>
          <w:p>
            <w:pPr>
              <w:pStyle w:val="TableContents"/>
              <w:spacing w:before="0" w:after="283"/>
              <w:rPr/>
            </w:pPr>
            <w:r>
              <w:rPr/>
              <w:t> </w:t>
            </w:r>
          </w:p>
        </w:tc>
        <w:tc>
          <w:tcPr>
            <w:tcW w:w="1367" w:type="dxa"/>
            <w:tcBorders/>
            <w:shd w:fill="auto" w:val="clear"/>
          </w:tcPr>
          <w:p>
            <w:pPr>
              <w:pStyle w:val="TableContents"/>
              <w:spacing w:before="0" w:after="283"/>
              <w:jc w:val="left"/>
              <w:rPr/>
            </w:pPr>
            <w:r>
              <w:rPr/>
              <w:t> </w:t>
            </w:r>
          </w:p>
        </w:tc>
        <w:tc>
          <w:tcPr>
            <w:tcW w:w="230" w:type="dxa"/>
            <w:tcBorders/>
            <w:shd w:fill="auto" w:val="clear"/>
            <w:vAlign w:val="center"/>
          </w:tcPr>
          <w:p>
            <w:pPr>
              <w:pStyle w:val="TableContents"/>
              <w:spacing w:before="0" w:after="283"/>
              <w:rPr/>
            </w:pPr>
            <w:r>
              <w:rPr/>
              <w:t> </w:t>
            </w:r>
          </w:p>
        </w:tc>
        <w:tc>
          <w:tcPr>
            <w:tcW w:w="3284" w:type="dxa"/>
            <w:tcBorders>
              <w:top w:val="single" w:sz="2" w:space="0" w:color="000000"/>
            </w:tcBorders>
            <w:shd w:fill="auto" w:val="clear"/>
            <w:tcMar>
              <w:top w:w="28" w:type="dxa"/>
            </w:tcMar>
          </w:tcPr>
          <w:p>
            <w:pPr>
              <w:pStyle w:val="TableContents"/>
              <w:spacing w:before="0" w:after="283"/>
              <w:jc w:val="left"/>
              <w:rPr/>
            </w:pPr>
            <w:r>
              <w:rPr/>
              <w:t> </w:t>
            </w:r>
          </w:p>
        </w:tc>
        <w:tc>
          <w:tcPr>
            <w:tcW w:w="507" w:type="dxa"/>
            <w:tcBorders/>
            <w:shd w:fill="auto" w:val="clear"/>
            <w:vAlign w:val="center"/>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7" w:type="dxa"/>
            <w:tcBorders/>
            <w:shd w:fill="auto" w:val="clear"/>
          </w:tcPr>
          <w:p>
            <w:pPr>
              <w:pStyle w:val="TableContents"/>
              <w:spacing w:before="0" w:after="283"/>
              <w:jc w:val="left"/>
              <w:rPr/>
            </w:pPr>
            <w:r>
              <w:rPr/>
              <w:t> </w:t>
            </w:r>
          </w:p>
        </w:tc>
        <w:tc>
          <w:tcPr>
            <w:tcW w:w="230" w:type="dxa"/>
            <w:tcBorders/>
            <w:shd w:fill="auto" w:val="clear"/>
            <w:vAlign w:val="bottom"/>
          </w:tcPr>
          <w:p>
            <w:pPr>
              <w:pStyle w:val="TableContents"/>
              <w:spacing w:before="0" w:after="283"/>
              <w:rPr/>
            </w:pPr>
            <w:r>
              <w:rPr/>
              <w:t> </w:t>
            </w:r>
          </w:p>
        </w:tc>
        <w:tc>
          <w:tcPr>
            <w:tcW w:w="4739" w:type="dxa"/>
            <w:gridSpan w:val="3"/>
            <w:tcBorders/>
            <w:shd w:fill="auto" w:val="clear"/>
          </w:tcPr>
          <w:p>
            <w:pPr>
              <w:pStyle w:val="TableContents"/>
              <w:spacing w:before="0" w:after="283"/>
              <w:jc w:val="left"/>
              <w:rPr/>
            </w:pPr>
            <w:r>
              <w:rPr/>
              <w:t>Name: Phil Kramer</w:t>
            </w:r>
          </w:p>
        </w:tc>
      </w:tr>
      <w:tr>
        <w:trPr/>
        <w:tc>
          <w:tcPr>
            <w:tcW w:w="2915"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7" w:type="dxa"/>
            <w:tcBorders/>
            <w:shd w:fill="auto" w:val="clear"/>
          </w:tcPr>
          <w:p>
            <w:pPr>
              <w:pStyle w:val="TableContents"/>
              <w:spacing w:before="0" w:after="283"/>
              <w:jc w:val="left"/>
              <w:rPr/>
            </w:pPr>
            <w:r>
              <w:rPr/>
              <w:t> </w:t>
            </w:r>
          </w:p>
        </w:tc>
        <w:tc>
          <w:tcPr>
            <w:tcW w:w="230" w:type="dxa"/>
            <w:tcBorders/>
            <w:shd w:fill="auto" w:val="clear"/>
            <w:vAlign w:val="bottom"/>
          </w:tcPr>
          <w:p>
            <w:pPr>
              <w:pStyle w:val="TableContents"/>
              <w:spacing w:before="0" w:after="283"/>
              <w:rPr/>
            </w:pPr>
            <w:r>
              <w:rPr/>
              <w:t> </w:t>
            </w:r>
          </w:p>
        </w:tc>
        <w:tc>
          <w:tcPr>
            <w:tcW w:w="4739" w:type="dxa"/>
            <w:gridSpan w:val="3"/>
            <w:tcBorders/>
            <w:shd w:fill="auto" w:val="clear"/>
          </w:tcPr>
          <w:p>
            <w:pPr>
              <w:pStyle w:val="TableContents"/>
              <w:spacing w:before="0" w:after="283"/>
              <w:jc w:val="left"/>
              <w:rPr/>
            </w:pPr>
            <w:r>
              <w:rPr/>
              <w:t xml:space="preserve">Title:   Executive Vice President and Chief </w:t>
              <w:br/>
              <w:t>            Financial Officer</w:t>
            </w:r>
          </w:p>
        </w:tc>
      </w:tr>
      <w:tr>
        <w:trPr/>
        <w:tc>
          <w:tcPr>
            <w:tcW w:w="2915"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7" w:type="dxa"/>
            <w:tcBorders/>
            <w:shd w:fill="auto" w:val="clear"/>
          </w:tcPr>
          <w:p>
            <w:pPr>
              <w:pStyle w:val="TableContents"/>
              <w:spacing w:before="0" w:after="283"/>
              <w:jc w:val="left"/>
              <w:rPr/>
            </w:pPr>
            <w:r>
              <w:rPr/>
              <w:t> </w:t>
            </w:r>
          </w:p>
        </w:tc>
        <w:tc>
          <w:tcPr>
            <w:tcW w:w="230" w:type="dxa"/>
            <w:tcBorders/>
            <w:shd w:fill="auto" w:val="clear"/>
            <w:vAlign w:val="bottom"/>
          </w:tcPr>
          <w:p>
            <w:pPr>
              <w:pStyle w:val="TableContents"/>
              <w:spacing w:before="0" w:after="283"/>
              <w:rPr/>
            </w:pPr>
            <w:r>
              <w:rPr/>
              <w:t> </w:t>
            </w:r>
          </w:p>
        </w:tc>
        <w:tc>
          <w:tcPr>
            <w:tcW w:w="3284" w:type="dxa"/>
            <w:tcBorders/>
            <w:shd w:fill="auto" w:val="clear"/>
          </w:tcPr>
          <w:p>
            <w:pPr>
              <w:pStyle w:val="TableContents"/>
              <w:spacing w:before="0" w:after="283"/>
              <w:jc w:val="left"/>
              <w:rPr/>
            </w:pPr>
            <w:r>
              <w:rPr/>
              <w:t> </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645" w:type="dxa"/>
            <w:gridSpan w:val="5"/>
            <w:tcBorders/>
            <w:shd w:fill="auto" w:val="clear"/>
          </w:tcPr>
          <w:p>
            <w:pPr>
              <w:pStyle w:val="TableContents"/>
              <w:spacing w:before="0" w:after="283"/>
              <w:jc w:val="left"/>
              <w:rPr/>
            </w:pPr>
            <w:r>
              <w:rPr/>
              <w:t>PLAINS LPG SERVICES, L.P.</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7" w:type="dxa"/>
            <w:tcBorders/>
            <w:shd w:fill="auto" w:val="clear"/>
          </w:tcPr>
          <w:p>
            <w:pPr>
              <w:pStyle w:val="TableContents"/>
              <w:spacing w:before="0" w:after="283"/>
              <w:jc w:val="left"/>
              <w:rPr/>
            </w:pPr>
            <w:r>
              <w:rPr/>
              <w:t> </w:t>
            </w:r>
          </w:p>
        </w:tc>
        <w:tc>
          <w:tcPr>
            <w:tcW w:w="230" w:type="dxa"/>
            <w:tcBorders/>
            <w:shd w:fill="auto" w:val="clear"/>
            <w:vAlign w:val="bottom"/>
          </w:tcPr>
          <w:p>
            <w:pPr>
              <w:pStyle w:val="TableContents"/>
              <w:spacing w:before="0" w:after="283"/>
              <w:rPr/>
            </w:pPr>
            <w:r>
              <w:rPr/>
              <w:t> </w:t>
            </w:r>
          </w:p>
        </w:tc>
        <w:tc>
          <w:tcPr>
            <w:tcW w:w="3284" w:type="dxa"/>
            <w:tcBorders/>
            <w:shd w:fill="auto" w:val="clear"/>
          </w:tcPr>
          <w:p>
            <w:pPr>
              <w:pStyle w:val="TableContents"/>
              <w:spacing w:before="0" w:after="283"/>
              <w:jc w:val="left"/>
              <w:rPr/>
            </w:pPr>
            <w:r>
              <w:rPr/>
              <w:t> </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By:</w:t>
            </w:r>
          </w:p>
        </w:tc>
        <w:tc>
          <w:tcPr>
            <w:tcW w:w="217" w:type="dxa"/>
            <w:tcBorders/>
            <w:shd w:fill="auto" w:val="clear"/>
            <w:vAlign w:val="bottom"/>
          </w:tcPr>
          <w:p>
            <w:pPr>
              <w:pStyle w:val="TableContents"/>
              <w:spacing w:before="0" w:after="283"/>
              <w:rPr/>
            </w:pPr>
            <w:r>
              <w:rPr/>
              <w:t> </w:t>
            </w:r>
          </w:p>
        </w:tc>
        <w:tc>
          <w:tcPr>
            <w:tcW w:w="4881" w:type="dxa"/>
            <w:gridSpan w:val="3"/>
            <w:tcBorders/>
            <w:shd w:fill="auto" w:val="clear"/>
          </w:tcPr>
          <w:p>
            <w:pPr>
              <w:pStyle w:val="TableContents"/>
              <w:spacing w:before="0" w:after="283"/>
              <w:jc w:val="left"/>
              <w:rPr/>
            </w:pPr>
            <w:r>
              <w:rPr/>
              <w:t>PLAINS LPG SERVICES GP LLC</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4881" w:type="dxa"/>
            <w:gridSpan w:val="3"/>
            <w:tcBorders/>
            <w:shd w:fill="auto" w:val="clear"/>
          </w:tcPr>
          <w:p>
            <w:pPr>
              <w:pStyle w:val="TableContents"/>
              <w:spacing w:before="0" w:after="283"/>
              <w:jc w:val="left"/>
              <w:rPr/>
            </w:pPr>
            <w:r>
              <w:rPr/>
              <w:t>its General Partner</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7" w:type="dxa"/>
            <w:tcBorders/>
            <w:shd w:fill="auto" w:val="clear"/>
          </w:tcPr>
          <w:p>
            <w:pPr>
              <w:pStyle w:val="TableContents"/>
              <w:spacing w:before="0" w:after="283"/>
              <w:jc w:val="left"/>
              <w:rPr/>
            </w:pPr>
            <w:r>
              <w:rPr/>
              <w:t> </w:t>
            </w:r>
          </w:p>
        </w:tc>
        <w:tc>
          <w:tcPr>
            <w:tcW w:w="230" w:type="dxa"/>
            <w:tcBorders/>
            <w:shd w:fill="auto" w:val="clear"/>
            <w:vAlign w:val="bottom"/>
          </w:tcPr>
          <w:p>
            <w:pPr>
              <w:pStyle w:val="TableContents"/>
              <w:spacing w:before="0" w:after="283"/>
              <w:rPr/>
            </w:pPr>
            <w:r>
              <w:rPr/>
              <w:t> </w:t>
            </w:r>
          </w:p>
        </w:tc>
        <w:tc>
          <w:tcPr>
            <w:tcW w:w="3284" w:type="dxa"/>
            <w:tcBorders/>
            <w:shd w:fill="auto" w:val="clear"/>
          </w:tcPr>
          <w:p>
            <w:pPr>
              <w:pStyle w:val="TableContents"/>
              <w:spacing w:before="0" w:after="283"/>
              <w:jc w:val="left"/>
              <w:rPr/>
            </w:pPr>
            <w:r>
              <w:rPr/>
              <w:t> </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By:</w:t>
            </w:r>
          </w:p>
        </w:tc>
        <w:tc>
          <w:tcPr>
            <w:tcW w:w="217" w:type="dxa"/>
            <w:tcBorders/>
            <w:shd w:fill="auto" w:val="clear"/>
            <w:vAlign w:val="bottom"/>
          </w:tcPr>
          <w:p>
            <w:pPr>
              <w:pStyle w:val="TableContents"/>
              <w:spacing w:before="0" w:after="283"/>
              <w:rPr/>
            </w:pPr>
            <w:r>
              <w:rPr/>
              <w:t> </w:t>
            </w:r>
          </w:p>
        </w:tc>
        <w:tc>
          <w:tcPr>
            <w:tcW w:w="4881" w:type="dxa"/>
            <w:gridSpan w:val="3"/>
            <w:tcBorders/>
            <w:shd w:fill="auto" w:val="clear"/>
          </w:tcPr>
          <w:p>
            <w:pPr>
              <w:pStyle w:val="TableContents"/>
              <w:spacing w:before="0" w:after="283"/>
              <w:jc w:val="left"/>
              <w:rPr/>
            </w:pPr>
            <w:r>
              <w:rPr/>
              <w:t>PLAINS MARKETING, L.P.</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4881" w:type="dxa"/>
            <w:gridSpan w:val="3"/>
            <w:tcBorders/>
            <w:shd w:fill="auto" w:val="clear"/>
          </w:tcPr>
          <w:p>
            <w:pPr>
              <w:pStyle w:val="TableContents"/>
              <w:spacing w:before="0" w:after="283"/>
              <w:jc w:val="left"/>
              <w:rPr/>
            </w:pPr>
            <w:r>
              <w:rPr/>
              <w:t>its Sole Member</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7" w:type="dxa"/>
            <w:tcBorders/>
            <w:shd w:fill="auto" w:val="clear"/>
          </w:tcPr>
          <w:p>
            <w:pPr>
              <w:pStyle w:val="TableContents"/>
              <w:spacing w:before="0" w:after="283"/>
              <w:jc w:val="left"/>
              <w:rPr/>
            </w:pPr>
            <w:r>
              <w:rPr/>
              <w:t> </w:t>
            </w:r>
          </w:p>
        </w:tc>
        <w:tc>
          <w:tcPr>
            <w:tcW w:w="230" w:type="dxa"/>
            <w:tcBorders/>
            <w:shd w:fill="auto" w:val="clear"/>
            <w:vAlign w:val="bottom"/>
          </w:tcPr>
          <w:p>
            <w:pPr>
              <w:pStyle w:val="TableContents"/>
              <w:spacing w:before="0" w:after="283"/>
              <w:rPr/>
            </w:pPr>
            <w:r>
              <w:rPr/>
              <w:t> </w:t>
            </w:r>
          </w:p>
        </w:tc>
        <w:tc>
          <w:tcPr>
            <w:tcW w:w="3284" w:type="dxa"/>
            <w:tcBorders/>
            <w:shd w:fill="auto" w:val="clear"/>
          </w:tcPr>
          <w:p>
            <w:pPr>
              <w:pStyle w:val="TableContents"/>
              <w:spacing w:before="0" w:after="283"/>
              <w:jc w:val="left"/>
              <w:rPr/>
            </w:pPr>
            <w:r>
              <w:rPr/>
              <w:t> </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By:</w:t>
            </w:r>
          </w:p>
        </w:tc>
        <w:tc>
          <w:tcPr>
            <w:tcW w:w="217" w:type="dxa"/>
            <w:tcBorders/>
            <w:shd w:fill="auto" w:val="clear"/>
            <w:vAlign w:val="bottom"/>
          </w:tcPr>
          <w:p>
            <w:pPr>
              <w:pStyle w:val="TableContents"/>
              <w:spacing w:before="0" w:after="283"/>
              <w:rPr/>
            </w:pPr>
            <w:r>
              <w:rPr/>
              <w:t> </w:t>
            </w:r>
          </w:p>
        </w:tc>
        <w:tc>
          <w:tcPr>
            <w:tcW w:w="4881" w:type="dxa"/>
            <w:gridSpan w:val="3"/>
            <w:tcBorders/>
            <w:shd w:fill="auto" w:val="clear"/>
          </w:tcPr>
          <w:p>
            <w:pPr>
              <w:pStyle w:val="TableContents"/>
              <w:spacing w:before="0" w:after="283"/>
              <w:jc w:val="left"/>
              <w:rPr/>
            </w:pPr>
            <w:r>
              <w:rPr/>
              <w:t>PLAINS MARKETING GP INC.</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4881" w:type="dxa"/>
            <w:gridSpan w:val="3"/>
            <w:tcBorders/>
            <w:shd w:fill="auto" w:val="clear"/>
          </w:tcPr>
          <w:p>
            <w:pPr>
              <w:pStyle w:val="TableContents"/>
              <w:spacing w:before="0" w:after="283"/>
              <w:jc w:val="left"/>
              <w:rPr/>
            </w:pPr>
            <w:r>
              <w:rPr/>
              <w:t>its General Partner</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7" w:type="dxa"/>
            <w:tcBorders/>
            <w:shd w:fill="auto" w:val="clear"/>
          </w:tcPr>
          <w:p>
            <w:pPr>
              <w:pStyle w:val="TableContents"/>
              <w:spacing w:before="0" w:after="283"/>
              <w:jc w:val="left"/>
              <w:rPr/>
            </w:pPr>
            <w:r>
              <w:rPr/>
              <w:t> </w:t>
            </w:r>
          </w:p>
        </w:tc>
        <w:tc>
          <w:tcPr>
            <w:tcW w:w="230" w:type="dxa"/>
            <w:tcBorders/>
            <w:shd w:fill="auto" w:val="clear"/>
            <w:vAlign w:val="bottom"/>
          </w:tcPr>
          <w:p>
            <w:pPr>
              <w:pStyle w:val="TableContents"/>
              <w:spacing w:before="0" w:after="283"/>
              <w:rPr/>
            </w:pPr>
            <w:r>
              <w:rPr/>
              <w:t> </w:t>
            </w:r>
          </w:p>
        </w:tc>
        <w:tc>
          <w:tcPr>
            <w:tcW w:w="3284" w:type="dxa"/>
            <w:tcBorders/>
            <w:shd w:fill="auto" w:val="clear"/>
          </w:tcPr>
          <w:p>
            <w:pPr>
              <w:pStyle w:val="TableContents"/>
              <w:spacing w:before="0" w:after="283"/>
              <w:jc w:val="left"/>
              <w:rPr/>
            </w:pPr>
            <w:r>
              <w:rPr/>
              <w:t> </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0"/>
              <w:ind w:left="0" w:right="0" w:hanging="0"/>
              <w:rPr/>
            </w:pPr>
            <w:r>
              <w:rPr/>
              <w:t xml:space="preserve">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7" w:type="dxa"/>
            <w:tcBorders/>
            <w:shd w:fill="auto" w:val="clear"/>
          </w:tcPr>
          <w:p>
            <w:pPr>
              <w:pStyle w:val="TableContents"/>
              <w:spacing w:before="0" w:after="283"/>
              <w:jc w:val="left"/>
              <w:rPr/>
            </w:pPr>
            <w:r>
              <w:rPr/>
              <w:t>By:</w:t>
            </w:r>
          </w:p>
        </w:tc>
        <w:tc>
          <w:tcPr>
            <w:tcW w:w="230" w:type="dxa"/>
            <w:tcBorders/>
            <w:shd w:fill="auto" w:val="clear"/>
            <w:vAlign w:val="bottom"/>
          </w:tcPr>
          <w:p>
            <w:pPr>
              <w:pStyle w:val="TableContents"/>
              <w:spacing w:before="0" w:after="283"/>
              <w:rPr/>
            </w:pPr>
            <w:r>
              <w:rPr/>
              <w:t> </w:t>
            </w:r>
          </w:p>
        </w:tc>
        <w:tc>
          <w:tcPr>
            <w:tcW w:w="3284" w:type="dxa"/>
            <w:tcBorders/>
            <w:shd w:fill="auto" w:val="clear"/>
          </w:tcPr>
          <w:p>
            <w:pPr>
              <w:pStyle w:val="TableContents"/>
              <w:spacing w:before="0" w:after="283"/>
              <w:jc w:val="left"/>
              <w:rPr/>
            </w:pPr>
            <w:r>
              <w:rPr/>
              <w:t> </w:t>
            </w:r>
          </w:p>
        </w:tc>
        <w:tc>
          <w:tcPr>
            <w:tcW w:w="507" w:type="dxa"/>
            <w:tcBorders/>
            <w:shd w:fill="auto" w:val="clear"/>
            <w:vAlign w:val="bottom"/>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0"/>
              <w:ind w:left="0" w:right="0" w:hanging="0"/>
              <w:rPr/>
            </w:pPr>
            <w:r>
              <w:rPr/>
              <w:t xml:space="preserve">  </w:t>
            </w:r>
          </w:p>
        </w:tc>
        <w:tc>
          <w:tcPr>
            <w:tcW w:w="190" w:type="dxa"/>
            <w:tcBorders/>
            <w:shd w:fill="auto" w:val="clear"/>
            <w:vAlign w:val="center"/>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center"/>
          </w:tcPr>
          <w:p>
            <w:pPr>
              <w:pStyle w:val="TableContents"/>
              <w:spacing w:before="0" w:after="283"/>
              <w:rPr/>
            </w:pPr>
            <w:r>
              <w:rPr/>
              <w:t> </w:t>
            </w:r>
          </w:p>
        </w:tc>
        <w:tc>
          <w:tcPr>
            <w:tcW w:w="1367" w:type="dxa"/>
            <w:tcBorders/>
            <w:shd w:fill="auto" w:val="clear"/>
          </w:tcPr>
          <w:p>
            <w:pPr>
              <w:pStyle w:val="TableContents"/>
              <w:spacing w:before="0" w:after="283"/>
              <w:jc w:val="left"/>
              <w:rPr/>
            </w:pPr>
            <w:r>
              <w:rPr/>
              <w:t> </w:t>
            </w:r>
          </w:p>
        </w:tc>
        <w:tc>
          <w:tcPr>
            <w:tcW w:w="230" w:type="dxa"/>
            <w:tcBorders/>
            <w:shd w:fill="auto" w:val="clear"/>
            <w:vAlign w:val="center"/>
          </w:tcPr>
          <w:p>
            <w:pPr>
              <w:pStyle w:val="TableContents"/>
              <w:spacing w:before="0" w:after="283"/>
              <w:rPr/>
            </w:pPr>
            <w:r>
              <w:rPr/>
              <w:t> </w:t>
            </w:r>
          </w:p>
        </w:tc>
        <w:tc>
          <w:tcPr>
            <w:tcW w:w="3284" w:type="dxa"/>
            <w:tcBorders>
              <w:top w:val="single" w:sz="2" w:space="0" w:color="000000"/>
            </w:tcBorders>
            <w:shd w:fill="auto" w:val="clear"/>
            <w:tcMar>
              <w:top w:w="28" w:type="dxa"/>
            </w:tcMar>
          </w:tcPr>
          <w:p>
            <w:pPr>
              <w:pStyle w:val="TableContents"/>
              <w:spacing w:before="0" w:after="283"/>
              <w:jc w:val="left"/>
              <w:rPr/>
            </w:pPr>
            <w:r>
              <w:rPr/>
              <w:t> </w:t>
            </w:r>
          </w:p>
        </w:tc>
        <w:tc>
          <w:tcPr>
            <w:tcW w:w="507" w:type="dxa"/>
            <w:tcBorders/>
            <w:shd w:fill="auto" w:val="clear"/>
            <w:vAlign w:val="center"/>
          </w:tcPr>
          <w:p>
            <w:pPr>
              <w:pStyle w:val="TableContents"/>
              <w:spacing w:before="0" w:after="283"/>
              <w:rPr/>
            </w:pPr>
            <w:r>
              <w:rPr/>
              <w:t> </w:t>
            </w:r>
          </w:p>
        </w:tc>
        <w:tc>
          <w:tcPr>
            <w:tcW w:w="948" w:type="dxa"/>
            <w:tcBorders/>
            <w:shd w:fill="auto" w:val="clear"/>
          </w:tcPr>
          <w:p>
            <w:pPr>
              <w:pStyle w:val="TableContents"/>
              <w:spacing w:before="0" w:after="283"/>
              <w:jc w:val="left"/>
              <w:rPr/>
            </w:pPr>
            <w:r>
              <w:rPr/>
              <w:t> </w:t>
            </w:r>
          </w:p>
        </w:tc>
      </w:tr>
      <w:tr>
        <w:trPr/>
        <w:tc>
          <w:tcPr>
            <w:tcW w:w="2915"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7" w:type="dxa"/>
            <w:tcBorders/>
            <w:shd w:fill="auto" w:val="clear"/>
          </w:tcPr>
          <w:p>
            <w:pPr>
              <w:pStyle w:val="TableContents"/>
              <w:spacing w:before="0" w:after="283"/>
              <w:jc w:val="left"/>
              <w:rPr/>
            </w:pPr>
            <w:r>
              <w:rPr/>
              <w:t> </w:t>
            </w:r>
          </w:p>
        </w:tc>
        <w:tc>
          <w:tcPr>
            <w:tcW w:w="230" w:type="dxa"/>
            <w:tcBorders/>
            <w:shd w:fill="auto" w:val="clear"/>
            <w:vAlign w:val="bottom"/>
          </w:tcPr>
          <w:p>
            <w:pPr>
              <w:pStyle w:val="TableContents"/>
              <w:spacing w:before="0" w:after="283"/>
              <w:rPr/>
            </w:pPr>
            <w:r>
              <w:rPr/>
              <w:t> </w:t>
            </w:r>
          </w:p>
        </w:tc>
        <w:tc>
          <w:tcPr>
            <w:tcW w:w="4739" w:type="dxa"/>
            <w:gridSpan w:val="3"/>
            <w:tcBorders/>
            <w:shd w:fill="auto" w:val="clear"/>
          </w:tcPr>
          <w:p>
            <w:pPr>
              <w:pStyle w:val="TableContents"/>
              <w:spacing w:before="0" w:after="283"/>
              <w:jc w:val="left"/>
              <w:rPr/>
            </w:pPr>
            <w:r>
              <w:rPr/>
              <w:t>Name: Phil Kramer</w:t>
            </w:r>
          </w:p>
        </w:tc>
      </w:tr>
      <w:tr>
        <w:trPr/>
        <w:tc>
          <w:tcPr>
            <w:tcW w:w="2915"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47"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7" w:type="dxa"/>
            <w:tcBorders/>
            <w:shd w:fill="auto" w:val="clear"/>
          </w:tcPr>
          <w:p>
            <w:pPr>
              <w:pStyle w:val="TableContents"/>
              <w:spacing w:before="0" w:after="283"/>
              <w:jc w:val="left"/>
              <w:rPr/>
            </w:pPr>
            <w:r>
              <w:rPr/>
              <w:t> </w:t>
            </w:r>
          </w:p>
        </w:tc>
        <w:tc>
          <w:tcPr>
            <w:tcW w:w="230" w:type="dxa"/>
            <w:tcBorders/>
            <w:shd w:fill="auto" w:val="clear"/>
            <w:vAlign w:val="bottom"/>
          </w:tcPr>
          <w:p>
            <w:pPr>
              <w:pStyle w:val="TableContents"/>
              <w:spacing w:before="0" w:after="283"/>
              <w:rPr/>
            </w:pPr>
            <w:r>
              <w:rPr/>
              <w:t> </w:t>
            </w:r>
          </w:p>
        </w:tc>
        <w:tc>
          <w:tcPr>
            <w:tcW w:w="4739" w:type="dxa"/>
            <w:gridSpan w:val="3"/>
            <w:tcBorders/>
            <w:shd w:fill="auto" w:val="clear"/>
          </w:tcPr>
          <w:p>
            <w:pPr>
              <w:pStyle w:val="TableContents"/>
              <w:spacing w:before="0" w:after="283"/>
              <w:jc w:val="left"/>
              <w:rPr/>
            </w:pPr>
            <w:r>
              <w:rPr/>
              <w:t xml:space="preserve">Title:   Executive Vice President and Chief </w:t>
              <w:br/>
              <w:t>            Financial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885"/>
        <w:gridCol w:w="189"/>
        <w:gridCol w:w="611"/>
        <w:gridCol w:w="227"/>
        <w:gridCol w:w="1358"/>
        <w:gridCol w:w="227"/>
        <w:gridCol w:w="3287"/>
        <w:gridCol w:w="493"/>
        <w:gridCol w:w="928"/>
      </w:tblGrid>
      <w:tr>
        <w:trPr/>
        <w:tc>
          <w:tcPr>
            <w:tcW w:w="2885"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3287"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r>
      <w:tr>
        <w:trPr/>
        <w:tc>
          <w:tcPr>
            <w:tcW w:w="2885" w:type="dxa"/>
            <w:tcBorders/>
            <w:shd w:fill="auto" w:val="clear"/>
          </w:tcPr>
          <w:p>
            <w:pPr>
              <w:pStyle w:val="TableContents"/>
              <w:spacing w:before="0" w:after="0"/>
              <w:ind w:left="0" w:right="0" w:hanging="0"/>
              <w:rPr/>
            </w:pPr>
            <w:r>
              <w:rPr/>
              <w:t xml:space="preserve">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287" w:type="dxa"/>
            <w:tcBorders/>
            <w:shd w:fill="auto" w:val="clear"/>
          </w:tcPr>
          <w:p>
            <w:pPr>
              <w:pStyle w:val="TableContents"/>
              <w:spacing w:before="0" w:after="283"/>
              <w:jc w:val="left"/>
              <w:rPr/>
            </w:pPr>
            <w:r>
              <w:rPr/>
              <w:t> </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5710" w:type="dxa"/>
            <w:gridSpan w:val="5"/>
            <w:tcBorders/>
            <w:shd w:fill="auto" w:val="clear"/>
          </w:tcPr>
          <w:p>
            <w:pPr>
              <w:pStyle w:val="TableContents"/>
              <w:spacing w:before="0" w:after="283"/>
              <w:jc w:val="left"/>
              <w:rPr/>
            </w:pPr>
            <w:r>
              <w:rPr/>
              <w:t>LONE STAR TRUCKING, LLC</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287" w:type="dxa"/>
            <w:tcBorders/>
            <w:shd w:fill="auto" w:val="clear"/>
          </w:tcPr>
          <w:p>
            <w:pPr>
              <w:pStyle w:val="TableContents"/>
              <w:spacing w:before="0" w:after="283"/>
              <w:jc w:val="left"/>
              <w:rPr/>
            </w:pPr>
            <w:r>
              <w:rPr/>
              <w:t> </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4872" w:type="dxa"/>
            <w:gridSpan w:val="3"/>
            <w:tcBorders/>
            <w:shd w:fill="auto" w:val="clear"/>
          </w:tcPr>
          <w:p>
            <w:pPr>
              <w:pStyle w:val="TableContents"/>
              <w:spacing w:before="0" w:after="283"/>
              <w:jc w:val="left"/>
              <w:rPr/>
            </w:pPr>
            <w:r>
              <w:rPr/>
              <w:t>PLAINS LPG Services, L.P.</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872" w:type="dxa"/>
            <w:gridSpan w:val="3"/>
            <w:tcBorders/>
            <w:shd w:fill="auto" w:val="clear"/>
          </w:tcPr>
          <w:p>
            <w:pPr>
              <w:pStyle w:val="TableContents"/>
              <w:spacing w:before="0" w:after="283"/>
              <w:jc w:val="left"/>
              <w:rPr/>
            </w:pPr>
            <w:r>
              <w:rPr/>
              <w:t>its Sole Member</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287" w:type="dxa"/>
            <w:tcBorders/>
            <w:shd w:fill="auto" w:val="clear"/>
          </w:tcPr>
          <w:p>
            <w:pPr>
              <w:pStyle w:val="TableContents"/>
              <w:spacing w:before="0" w:after="283"/>
              <w:jc w:val="left"/>
              <w:rPr/>
            </w:pPr>
            <w:r>
              <w:rPr/>
              <w:t> </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4872" w:type="dxa"/>
            <w:gridSpan w:val="3"/>
            <w:tcBorders/>
            <w:shd w:fill="auto" w:val="clear"/>
          </w:tcPr>
          <w:p>
            <w:pPr>
              <w:pStyle w:val="TableContents"/>
              <w:spacing w:before="0" w:after="283"/>
              <w:jc w:val="left"/>
              <w:rPr/>
            </w:pPr>
            <w:r>
              <w:rPr/>
              <w:t>PLAINS LPG Services GP LLC</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872" w:type="dxa"/>
            <w:gridSpan w:val="3"/>
            <w:tcBorders/>
            <w:shd w:fill="auto" w:val="clear"/>
          </w:tcPr>
          <w:p>
            <w:pPr>
              <w:pStyle w:val="TableContents"/>
              <w:spacing w:before="0" w:after="283"/>
              <w:jc w:val="left"/>
              <w:rPr/>
            </w:pPr>
            <w:r>
              <w:rPr/>
              <w:t>its General Partner</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287" w:type="dxa"/>
            <w:tcBorders/>
            <w:shd w:fill="auto" w:val="clear"/>
          </w:tcPr>
          <w:p>
            <w:pPr>
              <w:pStyle w:val="TableContents"/>
              <w:spacing w:before="0" w:after="283"/>
              <w:jc w:val="left"/>
              <w:rPr/>
            </w:pPr>
            <w:r>
              <w:rPr/>
              <w:t> </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4872" w:type="dxa"/>
            <w:gridSpan w:val="3"/>
            <w:tcBorders/>
            <w:shd w:fill="auto" w:val="clear"/>
          </w:tcPr>
          <w:p>
            <w:pPr>
              <w:pStyle w:val="TableContents"/>
              <w:spacing w:before="0" w:after="283"/>
              <w:jc w:val="left"/>
              <w:rPr/>
            </w:pPr>
            <w:r>
              <w:rPr/>
              <w:t>PLAINS MARKETING, L.P.</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872" w:type="dxa"/>
            <w:gridSpan w:val="3"/>
            <w:tcBorders/>
            <w:shd w:fill="auto" w:val="clear"/>
          </w:tcPr>
          <w:p>
            <w:pPr>
              <w:pStyle w:val="TableContents"/>
              <w:spacing w:before="0" w:after="283"/>
              <w:jc w:val="left"/>
              <w:rPr/>
            </w:pPr>
            <w:r>
              <w:rPr/>
              <w:t>its Sole Member</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287" w:type="dxa"/>
            <w:tcBorders/>
            <w:shd w:fill="auto" w:val="clear"/>
          </w:tcPr>
          <w:p>
            <w:pPr>
              <w:pStyle w:val="TableContents"/>
              <w:spacing w:before="0" w:after="283"/>
              <w:jc w:val="left"/>
              <w:rPr/>
            </w:pPr>
            <w:r>
              <w:rPr/>
              <w:t> </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4872" w:type="dxa"/>
            <w:gridSpan w:val="3"/>
            <w:tcBorders/>
            <w:shd w:fill="auto" w:val="clear"/>
          </w:tcPr>
          <w:p>
            <w:pPr>
              <w:pStyle w:val="TableContents"/>
              <w:spacing w:before="0" w:after="283"/>
              <w:jc w:val="left"/>
              <w:rPr/>
            </w:pPr>
            <w:r>
              <w:rPr/>
              <w:t>PLAINS MARKETING GP INC.</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872" w:type="dxa"/>
            <w:gridSpan w:val="3"/>
            <w:tcBorders/>
            <w:shd w:fill="auto" w:val="clear"/>
          </w:tcPr>
          <w:p>
            <w:pPr>
              <w:pStyle w:val="TableContents"/>
              <w:spacing w:before="0" w:after="283"/>
              <w:jc w:val="left"/>
              <w:rPr/>
            </w:pPr>
            <w:r>
              <w:rPr/>
              <w:t>its General Partner</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287" w:type="dxa"/>
            <w:tcBorders/>
            <w:shd w:fill="auto" w:val="clear"/>
          </w:tcPr>
          <w:p>
            <w:pPr>
              <w:pStyle w:val="TableContents"/>
              <w:spacing w:before="0" w:after="283"/>
              <w:jc w:val="left"/>
              <w:rPr/>
            </w:pPr>
            <w:r>
              <w:rPr/>
              <w:t> </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0"/>
              <w:ind w:left="0" w:right="0" w:hanging="0"/>
              <w:rPr/>
            </w:pPr>
            <w:r>
              <w:rPr/>
              <w:t xml:space="preserve">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3287" w:type="dxa"/>
            <w:tcBorders/>
            <w:shd w:fill="auto" w:val="clear"/>
          </w:tcPr>
          <w:p>
            <w:pPr>
              <w:pStyle w:val="TableContents"/>
              <w:spacing w:before="0" w:after="283"/>
              <w:jc w:val="left"/>
              <w:rPr/>
            </w:pPr>
            <w:r>
              <w:rPr/>
              <w:t> </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0"/>
              <w:ind w:left="0" w:right="0" w:hanging="0"/>
              <w:rPr/>
            </w:pPr>
            <w:r>
              <w:rPr/>
              <w:t xml:space="preserve">  </w:t>
            </w:r>
          </w:p>
        </w:tc>
        <w:tc>
          <w:tcPr>
            <w:tcW w:w="189"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center"/>
          </w:tcPr>
          <w:p>
            <w:pPr>
              <w:pStyle w:val="TableContents"/>
              <w:spacing w:before="0" w:after="283"/>
              <w:rPr/>
            </w:pPr>
            <w:r>
              <w:rPr/>
              <w:t> </w:t>
            </w:r>
          </w:p>
        </w:tc>
        <w:tc>
          <w:tcPr>
            <w:tcW w:w="1358" w:type="dxa"/>
            <w:tcBorders/>
            <w:shd w:fill="auto" w:val="clear"/>
          </w:tcPr>
          <w:p>
            <w:pPr>
              <w:pStyle w:val="TableContents"/>
              <w:spacing w:before="0" w:after="283"/>
              <w:jc w:val="left"/>
              <w:rPr/>
            </w:pPr>
            <w:r>
              <w:rPr/>
              <w:t> </w:t>
            </w:r>
          </w:p>
        </w:tc>
        <w:tc>
          <w:tcPr>
            <w:tcW w:w="227" w:type="dxa"/>
            <w:tcBorders/>
            <w:shd w:fill="auto" w:val="clear"/>
            <w:vAlign w:val="center"/>
          </w:tcPr>
          <w:p>
            <w:pPr>
              <w:pStyle w:val="TableContents"/>
              <w:spacing w:before="0" w:after="283"/>
              <w:rPr/>
            </w:pPr>
            <w:r>
              <w:rPr/>
              <w:t> </w:t>
            </w:r>
          </w:p>
        </w:tc>
        <w:tc>
          <w:tcPr>
            <w:tcW w:w="3287" w:type="dxa"/>
            <w:tcBorders>
              <w:top w:val="single" w:sz="2" w:space="0" w:color="000000"/>
            </w:tcBorders>
            <w:shd w:fill="auto" w:val="clear"/>
            <w:tcMar>
              <w:top w:w="28" w:type="dxa"/>
            </w:tcMar>
          </w:tcPr>
          <w:p>
            <w:pPr>
              <w:pStyle w:val="TableContents"/>
              <w:spacing w:before="0" w:after="283"/>
              <w:jc w:val="left"/>
              <w:rPr/>
            </w:pPr>
            <w:r>
              <w:rPr/>
              <w:t> </w:t>
            </w:r>
          </w:p>
        </w:tc>
        <w:tc>
          <w:tcPr>
            <w:tcW w:w="493" w:type="dxa"/>
            <w:tcBorders/>
            <w:shd w:fill="auto" w:val="clear"/>
            <w:vAlign w:val="center"/>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708" w:type="dxa"/>
            <w:gridSpan w:val="3"/>
            <w:tcBorders/>
            <w:shd w:fill="auto" w:val="clear"/>
          </w:tcPr>
          <w:p>
            <w:pPr>
              <w:pStyle w:val="TableContents"/>
              <w:spacing w:before="0" w:after="283"/>
              <w:jc w:val="left"/>
              <w:rPr/>
            </w:pPr>
            <w:r>
              <w:rPr/>
              <w:t>Name: Phil Kramer</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708" w:type="dxa"/>
            <w:gridSpan w:val="3"/>
            <w:tcBorders/>
            <w:shd w:fill="auto" w:val="clear"/>
          </w:tcPr>
          <w:p>
            <w:pPr>
              <w:pStyle w:val="TableContents"/>
              <w:spacing w:before="0" w:after="283"/>
              <w:jc w:val="left"/>
              <w:rPr/>
            </w:pPr>
            <w:r>
              <w:rPr/>
              <w:t xml:space="preserve">Title:   Executive Vice President and Chief </w:t>
              <w:br/>
              <w:t>            Financial Officer</w:t>
            </w:r>
          </w:p>
        </w:tc>
      </w:tr>
      <w:tr>
        <w:trPr/>
        <w:tc>
          <w:tcPr>
            <w:tcW w:w="2885" w:type="dxa"/>
            <w:tcBorders/>
            <w:shd w:fill="auto" w:val="clear"/>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287" w:type="dxa"/>
            <w:tcBorders/>
            <w:shd w:fill="auto" w:val="clear"/>
          </w:tcPr>
          <w:p>
            <w:pPr>
              <w:pStyle w:val="TableContents"/>
              <w:spacing w:before="0" w:after="283"/>
              <w:jc w:val="left"/>
              <w:rPr/>
            </w:pPr>
            <w:r>
              <w:rPr/>
              <w:t> </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5710" w:type="dxa"/>
            <w:gridSpan w:val="5"/>
            <w:tcBorders/>
            <w:shd w:fill="auto" w:val="clear"/>
          </w:tcPr>
          <w:p>
            <w:pPr>
              <w:pStyle w:val="TableContents"/>
              <w:spacing w:before="0" w:after="283"/>
              <w:jc w:val="left"/>
              <w:rPr/>
            </w:pPr>
            <w:r>
              <w:rPr/>
              <w:t>PLAINS MARKETING INTERNATIONAL GP LLC</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287" w:type="dxa"/>
            <w:tcBorders/>
            <w:shd w:fill="auto" w:val="clear"/>
          </w:tcPr>
          <w:p>
            <w:pPr>
              <w:pStyle w:val="TableContents"/>
              <w:spacing w:before="0" w:after="283"/>
              <w:jc w:val="left"/>
              <w:rPr/>
            </w:pPr>
            <w:r>
              <w:rPr/>
              <w:t> </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4872" w:type="dxa"/>
            <w:gridSpan w:val="3"/>
            <w:tcBorders/>
            <w:shd w:fill="auto" w:val="clear"/>
          </w:tcPr>
          <w:p>
            <w:pPr>
              <w:pStyle w:val="TableContents"/>
              <w:spacing w:before="0" w:after="283"/>
              <w:jc w:val="left"/>
              <w:rPr/>
            </w:pPr>
            <w:r>
              <w:rPr/>
              <w:t>PLAINS MARKETING, L.P.</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872" w:type="dxa"/>
            <w:gridSpan w:val="3"/>
            <w:tcBorders/>
            <w:shd w:fill="auto" w:val="clear"/>
          </w:tcPr>
          <w:p>
            <w:pPr>
              <w:pStyle w:val="TableContents"/>
              <w:spacing w:before="0" w:after="283"/>
              <w:jc w:val="left"/>
              <w:rPr/>
            </w:pPr>
            <w:r>
              <w:rPr/>
              <w:t>its Sole Member</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287" w:type="dxa"/>
            <w:tcBorders/>
            <w:shd w:fill="auto" w:val="clear"/>
          </w:tcPr>
          <w:p>
            <w:pPr>
              <w:pStyle w:val="TableContents"/>
              <w:spacing w:before="0" w:after="283"/>
              <w:jc w:val="left"/>
              <w:rPr/>
            </w:pPr>
            <w:r>
              <w:rPr/>
              <w:t> </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4872" w:type="dxa"/>
            <w:gridSpan w:val="3"/>
            <w:tcBorders/>
            <w:shd w:fill="auto" w:val="clear"/>
          </w:tcPr>
          <w:p>
            <w:pPr>
              <w:pStyle w:val="TableContents"/>
              <w:spacing w:before="0" w:after="283"/>
              <w:jc w:val="left"/>
              <w:rPr/>
            </w:pPr>
            <w:r>
              <w:rPr/>
              <w:t>PLAINS MARKETING GP INC.</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872" w:type="dxa"/>
            <w:gridSpan w:val="3"/>
            <w:tcBorders/>
            <w:shd w:fill="auto" w:val="clear"/>
          </w:tcPr>
          <w:p>
            <w:pPr>
              <w:pStyle w:val="TableContents"/>
              <w:spacing w:before="0" w:after="283"/>
              <w:jc w:val="left"/>
              <w:rPr/>
            </w:pPr>
            <w:r>
              <w:rPr/>
              <w:t>its General Partner</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3287" w:type="dxa"/>
            <w:tcBorders/>
            <w:shd w:fill="auto" w:val="clear"/>
          </w:tcPr>
          <w:p>
            <w:pPr>
              <w:pStyle w:val="TableContents"/>
              <w:spacing w:before="0" w:after="283"/>
              <w:jc w:val="left"/>
              <w:rPr/>
            </w:pPr>
            <w:r>
              <w:rPr/>
              <w:t> </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0"/>
              <w:ind w:left="0" w:right="0" w:hanging="0"/>
              <w:rPr/>
            </w:pPr>
            <w:r>
              <w:rPr/>
              <w:t xml:space="preserve">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tcPr>
          <w:p>
            <w:pPr>
              <w:pStyle w:val="TableContents"/>
              <w:spacing w:before="0" w:after="283"/>
              <w:jc w:val="left"/>
              <w:rPr/>
            </w:pPr>
            <w:r>
              <w:rPr/>
              <w:t>By:</w:t>
            </w:r>
          </w:p>
        </w:tc>
        <w:tc>
          <w:tcPr>
            <w:tcW w:w="227" w:type="dxa"/>
            <w:tcBorders/>
            <w:shd w:fill="auto" w:val="clear"/>
            <w:vAlign w:val="bottom"/>
          </w:tcPr>
          <w:p>
            <w:pPr>
              <w:pStyle w:val="TableContents"/>
              <w:spacing w:before="0" w:after="283"/>
              <w:rPr/>
            </w:pPr>
            <w:r>
              <w:rPr/>
              <w:t> </w:t>
            </w:r>
          </w:p>
        </w:tc>
        <w:tc>
          <w:tcPr>
            <w:tcW w:w="3287" w:type="dxa"/>
            <w:tcBorders/>
            <w:shd w:fill="auto" w:val="clear"/>
          </w:tcPr>
          <w:p>
            <w:pPr>
              <w:pStyle w:val="TableContents"/>
              <w:spacing w:before="0" w:after="283"/>
              <w:jc w:val="left"/>
              <w:rPr/>
            </w:pPr>
            <w:r>
              <w:rPr/>
              <w:t> </w:t>
            </w:r>
          </w:p>
        </w:tc>
        <w:tc>
          <w:tcPr>
            <w:tcW w:w="493" w:type="dxa"/>
            <w:tcBorders/>
            <w:shd w:fill="auto" w:val="clear"/>
            <w:vAlign w:val="bottom"/>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0"/>
              <w:ind w:left="0" w:right="0" w:hanging="0"/>
              <w:rPr/>
            </w:pPr>
            <w:r>
              <w:rPr/>
              <w:t xml:space="preserve">  </w:t>
            </w:r>
          </w:p>
        </w:tc>
        <w:tc>
          <w:tcPr>
            <w:tcW w:w="189"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center"/>
          </w:tcPr>
          <w:p>
            <w:pPr>
              <w:pStyle w:val="TableContents"/>
              <w:spacing w:before="0" w:after="283"/>
              <w:rPr/>
            </w:pPr>
            <w:r>
              <w:rPr/>
              <w:t> </w:t>
            </w:r>
          </w:p>
        </w:tc>
        <w:tc>
          <w:tcPr>
            <w:tcW w:w="1358" w:type="dxa"/>
            <w:tcBorders/>
            <w:shd w:fill="auto" w:val="clear"/>
          </w:tcPr>
          <w:p>
            <w:pPr>
              <w:pStyle w:val="TableContents"/>
              <w:spacing w:before="0" w:after="283"/>
              <w:jc w:val="left"/>
              <w:rPr/>
            </w:pPr>
            <w:r>
              <w:rPr/>
              <w:t> </w:t>
            </w:r>
          </w:p>
        </w:tc>
        <w:tc>
          <w:tcPr>
            <w:tcW w:w="227" w:type="dxa"/>
            <w:tcBorders/>
            <w:shd w:fill="auto" w:val="clear"/>
            <w:vAlign w:val="center"/>
          </w:tcPr>
          <w:p>
            <w:pPr>
              <w:pStyle w:val="TableContents"/>
              <w:spacing w:before="0" w:after="283"/>
              <w:rPr/>
            </w:pPr>
            <w:r>
              <w:rPr/>
              <w:t> </w:t>
            </w:r>
          </w:p>
        </w:tc>
        <w:tc>
          <w:tcPr>
            <w:tcW w:w="3287" w:type="dxa"/>
            <w:tcBorders>
              <w:top w:val="single" w:sz="2" w:space="0" w:color="000000"/>
            </w:tcBorders>
            <w:shd w:fill="auto" w:val="clear"/>
            <w:tcMar>
              <w:top w:w="28" w:type="dxa"/>
            </w:tcMar>
          </w:tcPr>
          <w:p>
            <w:pPr>
              <w:pStyle w:val="TableContents"/>
              <w:spacing w:before="0" w:after="283"/>
              <w:jc w:val="left"/>
              <w:rPr/>
            </w:pPr>
            <w:r>
              <w:rPr/>
              <w:t> </w:t>
            </w:r>
          </w:p>
        </w:tc>
        <w:tc>
          <w:tcPr>
            <w:tcW w:w="493" w:type="dxa"/>
            <w:tcBorders/>
            <w:shd w:fill="auto" w:val="clear"/>
            <w:vAlign w:val="center"/>
          </w:tcPr>
          <w:p>
            <w:pPr>
              <w:pStyle w:val="TableContents"/>
              <w:spacing w:before="0" w:after="283"/>
              <w:rPr/>
            </w:pPr>
            <w:r>
              <w:rPr/>
              <w:t> </w:t>
            </w:r>
          </w:p>
        </w:tc>
        <w:tc>
          <w:tcPr>
            <w:tcW w:w="928" w:type="dxa"/>
            <w:tcBorders/>
            <w:shd w:fill="auto" w:val="clear"/>
          </w:tcPr>
          <w:p>
            <w:pPr>
              <w:pStyle w:val="TableContents"/>
              <w:spacing w:before="0" w:after="283"/>
              <w:jc w:val="left"/>
              <w:rPr/>
            </w:pPr>
            <w:r>
              <w:rPr/>
              <w:t> </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708" w:type="dxa"/>
            <w:gridSpan w:val="3"/>
            <w:tcBorders/>
            <w:shd w:fill="auto" w:val="clear"/>
          </w:tcPr>
          <w:p>
            <w:pPr>
              <w:pStyle w:val="TableContents"/>
              <w:spacing w:before="0" w:after="283"/>
              <w:jc w:val="left"/>
              <w:rPr/>
            </w:pPr>
            <w:r>
              <w:rPr/>
              <w:t>Name: Phil Kramer</w:t>
            </w:r>
          </w:p>
        </w:tc>
      </w:tr>
      <w:tr>
        <w:trPr/>
        <w:tc>
          <w:tcPr>
            <w:tcW w:w="2885" w:type="dxa"/>
            <w:tcBorders/>
            <w:shd w:fill="auto" w:val="clea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1358" w:type="dxa"/>
            <w:tcBorders/>
            <w:shd w:fill="auto" w:val="clear"/>
          </w:tcPr>
          <w:p>
            <w:pPr>
              <w:pStyle w:val="TableContents"/>
              <w:spacing w:before="0" w:after="283"/>
              <w:jc w:val="left"/>
              <w:rPr/>
            </w:pPr>
            <w:r>
              <w:rPr/>
              <w:t> </w:t>
            </w:r>
          </w:p>
        </w:tc>
        <w:tc>
          <w:tcPr>
            <w:tcW w:w="227" w:type="dxa"/>
            <w:tcBorders/>
            <w:shd w:fill="auto" w:val="clear"/>
            <w:vAlign w:val="bottom"/>
          </w:tcPr>
          <w:p>
            <w:pPr>
              <w:pStyle w:val="TableContents"/>
              <w:spacing w:before="0" w:after="283"/>
              <w:rPr/>
            </w:pPr>
            <w:r>
              <w:rPr/>
              <w:t> </w:t>
            </w:r>
          </w:p>
        </w:tc>
        <w:tc>
          <w:tcPr>
            <w:tcW w:w="4708" w:type="dxa"/>
            <w:gridSpan w:val="3"/>
            <w:tcBorders/>
            <w:shd w:fill="auto" w:val="clear"/>
          </w:tcPr>
          <w:p>
            <w:pPr>
              <w:pStyle w:val="TableContents"/>
              <w:spacing w:before="0" w:after="283"/>
              <w:jc w:val="left"/>
              <w:rPr/>
            </w:pPr>
            <w:r>
              <w:rPr/>
              <w:t xml:space="preserve">Title:   Executive Vice President and Chief </w:t>
              <w:br/>
              <w:t>            Financial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557"/>
        <w:gridCol w:w="175"/>
        <w:gridCol w:w="867"/>
        <w:gridCol w:w="265"/>
        <w:gridCol w:w="1706"/>
        <w:gridCol w:w="265"/>
        <w:gridCol w:w="3478"/>
        <w:gridCol w:w="175"/>
        <w:gridCol w:w="717"/>
      </w:tblGrid>
      <w:tr>
        <w:trPr/>
        <w:tc>
          <w:tcPr>
            <w:tcW w:w="255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478"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rPr/>
            </w:pPr>
            <w:r>
              <w:rPr/>
              <w:t> </w:t>
            </w:r>
          </w:p>
        </w:tc>
      </w:tr>
      <w:tr>
        <w:trPr/>
        <w:tc>
          <w:tcPr>
            <w:tcW w:w="2557" w:type="dxa"/>
            <w:tcBorders/>
            <w:shd w:fill="auto" w:val="clear"/>
          </w:tcPr>
          <w:p>
            <w:pPr>
              <w:pStyle w:val="TableContents"/>
              <w:spacing w:before="0" w:after="0"/>
              <w:ind w:left="0" w:right="0" w:hanging="0"/>
              <w:rPr/>
            </w:pPr>
            <w:r>
              <w:rPr/>
              <w:t xml:space="preserve">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3478" w:type="dxa"/>
            <w:tcBorders/>
            <w:shd w:fill="auto" w:val="clear"/>
          </w:tcPr>
          <w:p>
            <w:pPr>
              <w:pStyle w:val="TableContents"/>
              <w:spacing w:before="0" w:after="283"/>
              <w:jc w:val="left"/>
              <w:rPr/>
            </w:pPr>
            <w:r>
              <w:rPr/>
              <w:t> </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6581" w:type="dxa"/>
            <w:gridSpan w:val="5"/>
            <w:tcBorders/>
            <w:shd w:fill="auto" w:val="clear"/>
          </w:tcPr>
          <w:p>
            <w:pPr>
              <w:pStyle w:val="TableContents"/>
              <w:spacing w:before="0" w:after="283"/>
              <w:jc w:val="left"/>
              <w:rPr/>
            </w:pPr>
            <w:r>
              <w:rPr/>
              <w:t>PLAINS MARKETING INTERNATIONAL, L.P.</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3478" w:type="dxa"/>
            <w:tcBorders/>
            <w:shd w:fill="auto" w:val="clear"/>
          </w:tcPr>
          <w:p>
            <w:pPr>
              <w:pStyle w:val="TableContents"/>
              <w:spacing w:before="0" w:after="283"/>
              <w:jc w:val="left"/>
              <w:rPr/>
            </w:pPr>
            <w:r>
              <w:rPr/>
              <w:t> </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By:</w:t>
            </w:r>
          </w:p>
        </w:tc>
        <w:tc>
          <w:tcPr>
            <w:tcW w:w="265" w:type="dxa"/>
            <w:tcBorders/>
            <w:shd w:fill="auto" w:val="clear"/>
            <w:vAlign w:val="bottom"/>
          </w:tcPr>
          <w:p>
            <w:pPr>
              <w:pStyle w:val="TableContents"/>
              <w:spacing w:before="0" w:after="283"/>
              <w:rPr/>
            </w:pPr>
            <w:r>
              <w:rPr/>
              <w:t> </w:t>
            </w:r>
          </w:p>
        </w:tc>
        <w:tc>
          <w:tcPr>
            <w:tcW w:w="5449" w:type="dxa"/>
            <w:gridSpan w:val="3"/>
            <w:tcBorders/>
            <w:shd w:fill="auto" w:val="clear"/>
          </w:tcPr>
          <w:p>
            <w:pPr>
              <w:pStyle w:val="TableContents"/>
              <w:spacing w:before="0" w:after="283"/>
              <w:jc w:val="left"/>
              <w:rPr/>
            </w:pPr>
            <w:r>
              <w:rPr/>
              <w:t>PLAINS MARKETING INTERNATIONAL GP LLC</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5449" w:type="dxa"/>
            <w:gridSpan w:val="3"/>
            <w:tcBorders/>
            <w:shd w:fill="auto" w:val="clear"/>
          </w:tcPr>
          <w:p>
            <w:pPr>
              <w:pStyle w:val="TableContents"/>
              <w:spacing w:before="0" w:after="283"/>
              <w:jc w:val="left"/>
              <w:rPr/>
            </w:pPr>
            <w:r>
              <w:rPr/>
              <w:t>its General Partner</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3478" w:type="dxa"/>
            <w:tcBorders/>
            <w:shd w:fill="auto" w:val="clear"/>
          </w:tcPr>
          <w:p>
            <w:pPr>
              <w:pStyle w:val="TableContents"/>
              <w:spacing w:before="0" w:after="283"/>
              <w:jc w:val="left"/>
              <w:rPr/>
            </w:pPr>
            <w:r>
              <w:rPr/>
              <w:t> </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By:</w:t>
            </w:r>
          </w:p>
        </w:tc>
        <w:tc>
          <w:tcPr>
            <w:tcW w:w="265" w:type="dxa"/>
            <w:tcBorders/>
            <w:shd w:fill="auto" w:val="clear"/>
            <w:vAlign w:val="bottom"/>
          </w:tcPr>
          <w:p>
            <w:pPr>
              <w:pStyle w:val="TableContents"/>
              <w:spacing w:before="0" w:after="283"/>
              <w:rPr/>
            </w:pPr>
            <w:r>
              <w:rPr/>
              <w:t> </w:t>
            </w:r>
          </w:p>
        </w:tc>
        <w:tc>
          <w:tcPr>
            <w:tcW w:w="5449" w:type="dxa"/>
            <w:gridSpan w:val="3"/>
            <w:tcBorders/>
            <w:shd w:fill="auto" w:val="clear"/>
          </w:tcPr>
          <w:p>
            <w:pPr>
              <w:pStyle w:val="TableContents"/>
              <w:spacing w:before="0" w:after="283"/>
              <w:jc w:val="left"/>
              <w:rPr/>
            </w:pPr>
            <w:r>
              <w:rPr/>
              <w:t>PLAINS MARKETING, L.P.</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5449" w:type="dxa"/>
            <w:gridSpan w:val="3"/>
            <w:tcBorders/>
            <w:shd w:fill="auto" w:val="clear"/>
          </w:tcPr>
          <w:p>
            <w:pPr>
              <w:pStyle w:val="TableContents"/>
              <w:spacing w:before="0" w:after="283"/>
              <w:jc w:val="left"/>
              <w:rPr/>
            </w:pPr>
            <w:r>
              <w:rPr/>
              <w:t>its Sole Member</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3478" w:type="dxa"/>
            <w:tcBorders/>
            <w:shd w:fill="auto" w:val="clear"/>
          </w:tcPr>
          <w:p>
            <w:pPr>
              <w:pStyle w:val="TableContents"/>
              <w:spacing w:before="0" w:after="283"/>
              <w:jc w:val="left"/>
              <w:rPr/>
            </w:pPr>
            <w:r>
              <w:rPr/>
              <w:t> </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By:</w:t>
            </w:r>
          </w:p>
        </w:tc>
        <w:tc>
          <w:tcPr>
            <w:tcW w:w="265" w:type="dxa"/>
            <w:tcBorders/>
            <w:shd w:fill="auto" w:val="clear"/>
            <w:vAlign w:val="bottom"/>
          </w:tcPr>
          <w:p>
            <w:pPr>
              <w:pStyle w:val="TableContents"/>
              <w:spacing w:before="0" w:after="283"/>
              <w:rPr/>
            </w:pPr>
            <w:r>
              <w:rPr/>
              <w:t> </w:t>
            </w:r>
          </w:p>
        </w:tc>
        <w:tc>
          <w:tcPr>
            <w:tcW w:w="5449" w:type="dxa"/>
            <w:gridSpan w:val="3"/>
            <w:tcBorders/>
            <w:shd w:fill="auto" w:val="clear"/>
          </w:tcPr>
          <w:p>
            <w:pPr>
              <w:pStyle w:val="TableContents"/>
              <w:spacing w:before="0" w:after="283"/>
              <w:jc w:val="left"/>
              <w:rPr/>
            </w:pPr>
            <w:r>
              <w:rPr/>
              <w:t>PLAINS MARKETING GP INC.</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5449" w:type="dxa"/>
            <w:gridSpan w:val="3"/>
            <w:tcBorders/>
            <w:shd w:fill="auto" w:val="clear"/>
          </w:tcPr>
          <w:p>
            <w:pPr>
              <w:pStyle w:val="TableContents"/>
              <w:spacing w:before="0" w:after="283"/>
              <w:jc w:val="left"/>
              <w:rPr/>
            </w:pPr>
            <w:r>
              <w:rPr/>
              <w:t>its General Partner</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3478" w:type="dxa"/>
            <w:tcBorders/>
            <w:shd w:fill="auto" w:val="clear"/>
          </w:tcPr>
          <w:p>
            <w:pPr>
              <w:pStyle w:val="TableContents"/>
              <w:spacing w:before="0" w:after="283"/>
              <w:jc w:val="left"/>
              <w:rPr/>
            </w:pPr>
            <w:r>
              <w:rPr/>
              <w:t> </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0"/>
              <w:ind w:left="0" w:right="0" w:hanging="0"/>
              <w:rPr/>
            </w:pPr>
            <w:r>
              <w:rPr/>
              <w:t xml:space="preserve">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left"/>
              <w:rPr/>
            </w:pPr>
            <w:r>
              <w:rPr/>
              <w:t>By:</w:t>
            </w:r>
          </w:p>
        </w:tc>
        <w:tc>
          <w:tcPr>
            <w:tcW w:w="265" w:type="dxa"/>
            <w:tcBorders/>
            <w:shd w:fill="auto" w:val="clear"/>
            <w:vAlign w:val="bottom"/>
          </w:tcPr>
          <w:p>
            <w:pPr>
              <w:pStyle w:val="TableContents"/>
              <w:spacing w:before="0" w:after="283"/>
              <w:rPr/>
            </w:pPr>
            <w:r>
              <w:rPr/>
              <w:t> </w:t>
            </w:r>
          </w:p>
        </w:tc>
        <w:tc>
          <w:tcPr>
            <w:tcW w:w="3478" w:type="dxa"/>
            <w:tcBorders/>
            <w:shd w:fill="auto" w:val="clear"/>
          </w:tcPr>
          <w:p>
            <w:pPr>
              <w:pStyle w:val="TableContents"/>
              <w:spacing w:before="0" w:after="283"/>
              <w:jc w:val="left"/>
              <w:rPr/>
            </w:pPr>
            <w:r>
              <w:rPr/>
              <w:t> </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0"/>
              <w:ind w:left="0" w:right="0" w:hanging="0"/>
              <w:rPr/>
            </w:pPr>
            <w:r>
              <w:rPr/>
              <w:t xml:space="preserve">  </w:t>
            </w:r>
          </w:p>
        </w:tc>
        <w:tc>
          <w:tcPr>
            <w:tcW w:w="175" w:type="dxa"/>
            <w:tcBorders/>
            <w:shd w:fill="auto" w:val="clear"/>
            <w:vAlign w:val="center"/>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center"/>
          </w:tcPr>
          <w:p>
            <w:pPr>
              <w:pStyle w:val="TableContents"/>
              <w:spacing w:before="0" w:after="283"/>
              <w:rPr/>
            </w:pPr>
            <w:r>
              <w:rPr/>
              <w:t> </w:t>
            </w:r>
          </w:p>
        </w:tc>
        <w:tc>
          <w:tcPr>
            <w:tcW w:w="1706" w:type="dxa"/>
            <w:tcBorders/>
            <w:shd w:fill="auto" w:val="clear"/>
          </w:tcPr>
          <w:p>
            <w:pPr>
              <w:pStyle w:val="TableContents"/>
              <w:spacing w:before="0" w:after="283"/>
              <w:jc w:val="left"/>
              <w:rPr/>
            </w:pPr>
            <w:r>
              <w:rPr/>
              <w:t> </w:t>
            </w:r>
          </w:p>
        </w:tc>
        <w:tc>
          <w:tcPr>
            <w:tcW w:w="265" w:type="dxa"/>
            <w:tcBorders/>
            <w:shd w:fill="auto" w:val="clear"/>
            <w:vAlign w:val="center"/>
          </w:tcPr>
          <w:p>
            <w:pPr>
              <w:pStyle w:val="TableContents"/>
              <w:spacing w:before="0" w:after="283"/>
              <w:rPr/>
            </w:pPr>
            <w:r>
              <w:rPr/>
              <w:t> </w:t>
            </w:r>
          </w:p>
        </w:tc>
        <w:tc>
          <w:tcPr>
            <w:tcW w:w="3478" w:type="dxa"/>
            <w:tcBorders>
              <w:top w:val="single" w:sz="2" w:space="0" w:color="000000"/>
            </w:tcBorders>
            <w:shd w:fill="auto" w:val="clear"/>
            <w:tcMar>
              <w:top w:w="28" w:type="dxa"/>
            </w:tcMar>
          </w:tcPr>
          <w:p>
            <w:pPr>
              <w:pStyle w:val="TableContents"/>
              <w:spacing w:before="0" w:after="283"/>
              <w:jc w:val="left"/>
              <w:rPr/>
            </w:pPr>
            <w:r>
              <w:rPr/>
              <w:t> </w:t>
            </w:r>
          </w:p>
        </w:tc>
        <w:tc>
          <w:tcPr>
            <w:tcW w:w="175" w:type="dxa"/>
            <w:tcBorders/>
            <w:shd w:fill="auto" w:val="clear"/>
            <w:vAlign w:val="center"/>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4370" w:type="dxa"/>
            <w:gridSpan w:val="3"/>
            <w:tcBorders/>
            <w:shd w:fill="auto" w:val="clear"/>
          </w:tcPr>
          <w:p>
            <w:pPr>
              <w:pStyle w:val="TableContents"/>
              <w:spacing w:before="0" w:after="283"/>
              <w:jc w:val="left"/>
              <w:rPr/>
            </w:pPr>
            <w:r>
              <w:rPr/>
              <w:t>Name: Phil Kramer</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4370" w:type="dxa"/>
            <w:gridSpan w:val="3"/>
            <w:tcBorders/>
            <w:shd w:fill="auto" w:val="clear"/>
          </w:tcPr>
          <w:p>
            <w:pPr>
              <w:pStyle w:val="TableContents"/>
              <w:spacing w:before="0" w:after="283"/>
              <w:jc w:val="left"/>
              <w:rPr/>
            </w:pPr>
            <w:r>
              <w:rPr/>
              <w:t xml:space="preserve">Title:   Executive Vice President and Chief </w:t>
              <w:br/>
              <w:t>            Financial Officer</w:t>
            </w:r>
          </w:p>
        </w:tc>
      </w:tr>
      <w:tr>
        <w:trPr/>
        <w:tc>
          <w:tcPr>
            <w:tcW w:w="2557" w:type="dxa"/>
            <w:tcBorders/>
            <w:shd w:fill="auto" w:val="clear"/>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3478" w:type="dxa"/>
            <w:tcBorders/>
            <w:shd w:fill="auto" w:val="clear"/>
          </w:tcPr>
          <w:p>
            <w:pPr>
              <w:pStyle w:val="TableContents"/>
              <w:spacing w:before="0" w:after="283"/>
              <w:jc w:val="left"/>
              <w:rPr/>
            </w:pPr>
            <w:r>
              <w:rPr/>
              <w:t> </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6581" w:type="dxa"/>
            <w:gridSpan w:val="5"/>
            <w:tcBorders/>
            <w:shd w:fill="auto" w:val="clear"/>
          </w:tcPr>
          <w:p>
            <w:pPr>
              <w:pStyle w:val="TableContents"/>
              <w:spacing w:before="0" w:after="283"/>
              <w:jc w:val="left"/>
              <w:rPr/>
            </w:pPr>
            <w:r>
              <w:rPr/>
              <w:t>PLAINS LPG MARKETING, L.P.</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3478" w:type="dxa"/>
            <w:tcBorders/>
            <w:shd w:fill="auto" w:val="clear"/>
          </w:tcPr>
          <w:p>
            <w:pPr>
              <w:pStyle w:val="TableContents"/>
              <w:spacing w:before="0" w:after="283"/>
              <w:jc w:val="left"/>
              <w:rPr/>
            </w:pPr>
            <w:r>
              <w:rPr/>
              <w:t> </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By:</w:t>
            </w:r>
          </w:p>
        </w:tc>
        <w:tc>
          <w:tcPr>
            <w:tcW w:w="265" w:type="dxa"/>
            <w:tcBorders/>
            <w:shd w:fill="auto" w:val="clear"/>
            <w:vAlign w:val="bottom"/>
          </w:tcPr>
          <w:p>
            <w:pPr>
              <w:pStyle w:val="TableContents"/>
              <w:spacing w:before="0" w:after="283"/>
              <w:rPr/>
            </w:pPr>
            <w:r>
              <w:rPr/>
              <w:t> </w:t>
            </w:r>
          </w:p>
        </w:tc>
        <w:tc>
          <w:tcPr>
            <w:tcW w:w="5449" w:type="dxa"/>
            <w:gridSpan w:val="3"/>
            <w:tcBorders/>
            <w:shd w:fill="auto" w:val="clear"/>
          </w:tcPr>
          <w:p>
            <w:pPr>
              <w:pStyle w:val="TableContents"/>
              <w:spacing w:before="0" w:after="283"/>
              <w:jc w:val="left"/>
              <w:rPr/>
            </w:pPr>
            <w:r>
              <w:rPr/>
              <w:t>PLAINS LPG SERVICES GP LLC</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5449" w:type="dxa"/>
            <w:gridSpan w:val="3"/>
            <w:tcBorders/>
            <w:shd w:fill="auto" w:val="clear"/>
          </w:tcPr>
          <w:p>
            <w:pPr>
              <w:pStyle w:val="TableContents"/>
              <w:spacing w:before="0" w:after="283"/>
              <w:jc w:val="left"/>
              <w:rPr/>
            </w:pPr>
            <w:r>
              <w:rPr/>
              <w:t>its General Partner</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3478" w:type="dxa"/>
            <w:tcBorders/>
            <w:shd w:fill="auto" w:val="clear"/>
          </w:tcPr>
          <w:p>
            <w:pPr>
              <w:pStyle w:val="TableContents"/>
              <w:spacing w:before="0" w:after="283"/>
              <w:jc w:val="left"/>
              <w:rPr/>
            </w:pPr>
            <w:r>
              <w:rPr/>
              <w:t> </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By:</w:t>
            </w:r>
          </w:p>
        </w:tc>
        <w:tc>
          <w:tcPr>
            <w:tcW w:w="265" w:type="dxa"/>
            <w:tcBorders/>
            <w:shd w:fill="auto" w:val="clear"/>
            <w:vAlign w:val="bottom"/>
          </w:tcPr>
          <w:p>
            <w:pPr>
              <w:pStyle w:val="TableContents"/>
              <w:spacing w:before="0" w:after="283"/>
              <w:rPr/>
            </w:pPr>
            <w:r>
              <w:rPr/>
              <w:t> </w:t>
            </w:r>
          </w:p>
        </w:tc>
        <w:tc>
          <w:tcPr>
            <w:tcW w:w="5449" w:type="dxa"/>
            <w:gridSpan w:val="3"/>
            <w:tcBorders/>
            <w:shd w:fill="auto" w:val="clear"/>
          </w:tcPr>
          <w:p>
            <w:pPr>
              <w:pStyle w:val="TableContents"/>
              <w:spacing w:before="0" w:after="283"/>
              <w:jc w:val="left"/>
              <w:rPr/>
            </w:pPr>
            <w:r>
              <w:rPr/>
              <w:t>PLAINS MARKETING, L.P.</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5449" w:type="dxa"/>
            <w:gridSpan w:val="3"/>
            <w:tcBorders/>
            <w:shd w:fill="auto" w:val="clear"/>
          </w:tcPr>
          <w:p>
            <w:pPr>
              <w:pStyle w:val="TableContents"/>
              <w:spacing w:before="0" w:after="283"/>
              <w:jc w:val="left"/>
              <w:rPr/>
            </w:pPr>
            <w:r>
              <w:rPr/>
              <w:t>its Sole Member</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3478" w:type="dxa"/>
            <w:tcBorders/>
            <w:shd w:fill="auto" w:val="clear"/>
          </w:tcPr>
          <w:p>
            <w:pPr>
              <w:pStyle w:val="TableContents"/>
              <w:spacing w:before="0" w:after="283"/>
              <w:jc w:val="left"/>
              <w:rPr/>
            </w:pPr>
            <w:r>
              <w:rPr/>
              <w:t> </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By:</w:t>
            </w:r>
          </w:p>
        </w:tc>
        <w:tc>
          <w:tcPr>
            <w:tcW w:w="265" w:type="dxa"/>
            <w:tcBorders/>
            <w:shd w:fill="auto" w:val="clear"/>
            <w:vAlign w:val="bottom"/>
          </w:tcPr>
          <w:p>
            <w:pPr>
              <w:pStyle w:val="TableContents"/>
              <w:spacing w:before="0" w:after="283"/>
              <w:rPr/>
            </w:pPr>
            <w:r>
              <w:rPr/>
              <w:t> </w:t>
            </w:r>
          </w:p>
        </w:tc>
        <w:tc>
          <w:tcPr>
            <w:tcW w:w="5449" w:type="dxa"/>
            <w:gridSpan w:val="3"/>
            <w:tcBorders/>
            <w:shd w:fill="auto" w:val="clear"/>
          </w:tcPr>
          <w:p>
            <w:pPr>
              <w:pStyle w:val="TableContents"/>
              <w:spacing w:before="0" w:after="283"/>
              <w:jc w:val="left"/>
              <w:rPr/>
            </w:pPr>
            <w:r>
              <w:rPr/>
              <w:t>PLAINS MARKETING GP INC.</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5449" w:type="dxa"/>
            <w:gridSpan w:val="3"/>
            <w:tcBorders/>
            <w:shd w:fill="auto" w:val="clear"/>
          </w:tcPr>
          <w:p>
            <w:pPr>
              <w:pStyle w:val="TableContents"/>
              <w:spacing w:before="0" w:after="283"/>
              <w:jc w:val="left"/>
              <w:rPr/>
            </w:pPr>
            <w:r>
              <w:rPr/>
              <w:t>its General Partner</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3478" w:type="dxa"/>
            <w:tcBorders/>
            <w:shd w:fill="auto" w:val="clear"/>
          </w:tcPr>
          <w:p>
            <w:pPr>
              <w:pStyle w:val="TableContents"/>
              <w:spacing w:before="0" w:after="283"/>
              <w:jc w:val="left"/>
              <w:rPr/>
            </w:pPr>
            <w:r>
              <w:rPr/>
              <w:t> </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0"/>
              <w:ind w:left="0" w:right="0" w:hanging="0"/>
              <w:rPr/>
            </w:pPr>
            <w:r>
              <w:rPr/>
              <w:t xml:space="preserve">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left"/>
              <w:rPr/>
            </w:pPr>
            <w:r>
              <w:rPr/>
              <w:t>By:</w:t>
            </w:r>
          </w:p>
        </w:tc>
        <w:tc>
          <w:tcPr>
            <w:tcW w:w="265" w:type="dxa"/>
            <w:tcBorders/>
            <w:shd w:fill="auto" w:val="clear"/>
            <w:vAlign w:val="bottom"/>
          </w:tcPr>
          <w:p>
            <w:pPr>
              <w:pStyle w:val="TableContents"/>
              <w:spacing w:before="0" w:after="283"/>
              <w:rPr/>
            </w:pPr>
            <w:r>
              <w:rPr/>
              <w:t> </w:t>
            </w:r>
          </w:p>
        </w:tc>
        <w:tc>
          <w:tcPr>
            <w:tcW w:w="3478" w:type="dxa"/>
            <w:tcBorders/>
            <w:shd w:fill="auto" w:val="clear"/>
          </w:tcPr>
          <w:p>
            <w:pPr>
              <w:pStyle w:val="TableContents"/>
              <w:spacing w:before="0" w:after="283"/>
              <w:jc w:val="left"/>
              <w:rPr/>
            </w:pPr>
            <w:r>
              <w:rPr/>
              <w:t> </w:t>
            </w:r>
          </w:p>
        </w:tc>
        <w:tc>
          <w:tcPr>
            <w:tcW w:w="175" w:type="dxa"/>
            <w:tcBorders/>
            <w:shd w:fill="auto" w:val="clear"/>
            <w:vAlign w:val="bottom"/>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0"/>
              <w:ind w:left="0" w:right="0" w:hanging="0"/>
              <w:rPr/>
            </w:pPr>
            <w:r>
              <w:rPr/>
              <w:t xml:space="preserve">  </w:t>
            </w:r>
          </w:p>
        </w:tc>
        <w:tc>
          <w:tcPr>
            <w:tcW w:w="175" w:type="dxa"/>
            <w:tcBorders/>
            <w:shd w:fill="auto" w:val="clear"/>
            <w:vAlign w:val="center"/>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center"/>
          </w:tcPr>
          <w:p>
            <w:pPr>
              <w:pStyle w:val="TableContents"/>
              <w:spacing w:before="0" w:after="283"/>
              <w:rPr/>
            </w:pPr>
            <w:r>
              <w:rPr/>
              <w:t> </w:t>
            </w:r>
          </w:p>
        </w:tc>
        <w:tc>
          <w:tcPr>
            <w:tcW w:w="1706" w:type="dxa"/>
            <w:tcBorders/>
            <w:shd w:fill="auto" w:val="clear"/>
          </w:tcPr>
          <w:p>
            <w:pPr>
              <w:pStyle w:val="TableContents"/>
              <w:spacing w:before="0" w:after="283"/>
              <w:jc w:val="left"/>
              <w:rPr/>
            </w:pPr>
            <w:r>
              <w:rPr/>
              <w:t> </w:t>
            </w:r>
          </w:p>
        </w:tc>
        <w:tc>
          <w:tcPr>
            <w:tcW w:w="265" w:type="dxa"/>
            <w:tcBorders/>
            <w:shd w:fill="auto" w:val="clear"/>
            <w:vAlign w:val="center"/>
          </w:tcPr>
          <w:p>
            <w:pPr>
              <w:pStyle w:val="TableContents"/>
              <w:spacing w:before="0" w:after="283"/>
              <w:rPr/>
            </w:pPr>
            <w:r>
              <w:rPr/>
              <w:t> </w:t>
            </w:r>
          </w:p>
        </w:tc>
        <w:tc>
          <w:tcPr>
            <w:tcW w:w="3478" w:type="dxa"/>
            <w:tcBorders>
              <w:top w:val="single" w:sz="2" w:space="0" w:color="000000"/>
            </w:tcBorders>
            <w:shd w:fill="auto" w:val="clear"/>
            <w:tcMar>
              <w:top w:w="28" w:type="dxa"/>
            </w:tcMar>
          </w:tcPr>
          <w:p>
            <w:pPr>
              <w:pStyle w:val="TableContents"/>
              <w:spacing w:before="0" w:after="283"/>
              <w:jc w:val="left"/>
              <w:rPr/>
            </w:pPr>
            <w:r>
              <w:rPr/>
              <w:t> </w:t>
            </w:r>
          </w:p>
        </w:tc>
        <w:tc>
          <w:tcPr>
            <w:tcW w:w="175" w:type="dxa"/>
            <w:tcBorders/>
            <w:shd w:fill="auto" w:val="clear"/>
            <w:vAlign w:val="center"/>
          </w:tcPr>
          <w:p>
            <w:pPr>
              <w:pStyle w:val="TableContents"/>
              <w:spacing w:before="0" w:after="283"/>
              <w:rPr/>
            </w:pPr>
            <w:r>
              <w:rPr/>
              <w:t> </w:t>
            </w:r>
          </w:p>
        </w:tc>
        <w:tc>
          <w:tcPr>
            <w:tcW w:w="717" w:type="dxa"/>
            <w:tcBorders/>
            <w:shd w:fill="auto" w:val="clear"/>
          </w:tcPr>
          <w:p>
            <w:pPr>
              <w:pStyle w:val="TableContents"/>
              <w:spacing w:before="0" w:after="283"/>
              <w:jc w:val="left"/>
              <w:rPr/>
            </w:pPr>
            <w:r>
              <w:rPr/>
              <w:t> </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4370" w:type="dxa"/>
            <w:gridSpan w:val="3"/>
            <w:tcBorders/>
            <w:shd w:fill="auto" w:val="clear"/>
          </w:tcPr>
          <w:p>
            <w:pPr>
              <w:pStyle w:val="TableContents"/>
              <w:spacing w:before="0" w:after="283"/>
              <w:jc w:val="left"/>
              <w:rPr/>
            </w:pPr>
            <w:r>
              <w:rPr/>
              <w:t>Name: Phil Kramer</w:t>
            </w:r>
          </w:p>
        </w:tc>
      </w:tr>
      <w:tr>
        <w:trPr/>
        <w:tc>
          <w:tcPr>
            <w:tcW w:w="2557" w:type="dxa"/>
            <w:tcBorders/>
            <w:shd w:fill="auto" w:val="clear"/>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7"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left"/>
              <w:rPr/>
            </w:pPr>
            <w:r>
              <w:rPr/>
              <w:t> </w:t>
            </w:r>
          </w:p>
        </w:tc>
        <w:tc>
          <w:tcPr>
            <w:tcW w:w="265" w:type="dxa"/>
            <w:tcBorders/>
            <w:shd w:fill="auto" w:val="clear"/>
            <w:vAlign w:val="bottom"/>
          </w:tcPr>
          <w:p>
            <w:pPr>
              <w:pStyle w:val="TableContents"/>
              <w:spacing w:before="0" w:after="283"/>
              <w:rPr/>
            </w:pPr>
            <w:r>
              <w:rPr/>
              <w:t> </w:t>
            </w:r>
          </w:p>
        </w:tc>
        <w:tc>
          <w:tcPr>
            <w:tcW w:w="4370" w:type="dxa"/>
            <w:gridSpan w:val="3"/>
            <w:tcBorders/>
            <w:shd w:fill="auto" w:val="clear"/>
          </w:tcPr>
          <w:p>
            <w:pPr>
              <w:pStyle w:val="TableContents"/>
              <w:spacing w:before="0" w:after="283"/>
              <w:jc w:val="left"/>
              <w:rPr/>
            </w:pPr>
            <w:r>
              <w:rPr/>
              <w:t xml:space="preserve">Title:   Executive Vice President and Chief </w:t>
              <w:br/>
              <w:t>            Financial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The foregoing Agreement is hereby</w:t>
        <w:br/>
        <w:t>confirmed and accepted by the Initial</w:t>
        <w:br/>
        <w:t xml:space="preserve">Purchasers as of the date first above written. </w:t>
      </w:r>
    </w:p>
    <w:p>
      <w:pPr>
        <w:pStyle w:val="TextBody"/>
        <w:spacing w:before="120" w:after="283"/>
        <w:jc w:val="left"/>
        <w:rPr>
          <w:rFonts w:ascii="Times New Roman;Times;serif" w:hAnsi="Times New Roman;Times;serif"/>
          <w:sz w:val="17"/>
        </w:rPr>
      </w:pPr>
      <w:r>
        <w:rPr>
          <w:rFonts w:ascii="Times New Roman;Times;serif" w:hAnsi="Times New Roman;Times;serif"/>
          <w:sz w:val="17"/>
        </w:rPr>
        <w:t>Citigroup Global Markets Inc.</w:t>
        <w:br/>
        <w:t>UBS Securities LLC</w:t>
        <w:br/>
        <w:t>Banc of America Securities LLC</w:t>
        <w:br/>
        <w:t>J.P. Morgan Securities Inc.</w:t>
        <w:br/>
        <w:t>Wachovia Capital Markets, LLC</w:t>
        <w:br/>
        <w:t>BNP Paribas Securities Corp.</w:t>
        <w:br/>
        <w:t>SunTrust Capital Markets, Inc.</w:t>
        <w:br/>
        <w:t>Comerica Securities, Inc.</w:t>
        <w:br/>
        <w:t>Commerzbank Capital Markets Corp.</w:t>
        <w:br/>
        <w:t>DnB NOR Markets, Inc.</w:t>
        <w:br/>
        <w:t>Fortis Securities LLC</w:t>
        <w:br/>
        <w:t>HSBC Securities (USA) Inc.</w:t>
        <w:br/>
        <w:t>ING Financial Markets LLC</w:t>
        <w:br/>
        <w:t>Mitsubishi UFJ Securities International plc</w:t>
        <w:br/>
        <w:t>Piper Jaffray &amp; Co.</w:t>
        <w:br/>
        <w:t>RBC Capital Markets Corporation</w:t>
        <w:br/>
        <w:t>Scotia Capital (USA) Inc.</w:t>
        <w:br/>
        <w:t>Daiwa Securities America Inc.</w:t>
        <w:br/>
        <w:t>SG Americas Securities, LLC</w:t>
        <w:br/>
        <w:t>Wedbush Morgan Securities Inc.</w:t>
        <w:br/>
        <w:t xml:space="preserve">Wells Fargo Securities, LLC </w:t>
      </w:r>
    </w:p>
    <w:tbl>
      <w:tblPr>
        <w:tblW w:w="5000" w:type="pct"/>
        <w:jc w:val="center"/>
        <w:tblInd w:w="0" w:type="dxa"/>
        <w:tblCellMar>
          <w:top w:w="0" w:type="dxa"/>
          <w:left w:w="0" w:type="dxa"/>
          <w:bottom w:w="0" w:type="dxa"/>
          <w:right w:w="0" w:type="dxa"/>
        </w:tblCellMar>
      </w:tblPr>
      <w:tblGrid>
        <w:gridCol w:w="550"/>
        <w:gridCol w:w="275"/>
        <w:gridCol w:w="2758"/>
        <w:gridCol w:w="276"/>
        <w:gridCol w:w="6346"/>
      </w:tblGrid>
      <w:tr>
        <w:trPr/>
        <w:tc>
          <w:tcPr>
            <w:tcW w:w="55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2758"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6346" w:type="dxa"/>
            <w:tcBorders/>
            <w:shd w:fill="auto" w:val="clear"/>
            <w:vAlign w:val="bottom"/>
          </w:tcPr>
          <w:p>
            <w:pPr>
              <w:pStyle w:val="TableContents"/>
              <w:spacing w:before="0" w:after="283"/>
              <w:rPr/>
            </w:pPr>
            <w:r>
              <w:rPr/>
              <w:t> </w:t>
            </w:r>
          </w:p>
        </w:tc>
      </w:tr>
      <w:tr>
        <w:trPr/>
        <w:tc>
          <w:tcPr>
            <w:tcW w:w="550" w:type="dxa"/>
            <w:tcBorders/>
            <w:shd w:fill="auto" w:val="clear"/>
          </w:tcPr>
          <w:p>
            <w:pPr>
              <w:pStyle w:val="TableContents"/>
              <w:spacing w:before="0" w:after="0"/>
              <w:ind w:left="0" w:right="0" w:hanging="0"/>
              <w:rPr/>
            </w:pPr>
            <w:r>
              <w:rPr/>
              <w:t xml:space="preserve">  </w:t>
            </w:r>
          </w:p>
        </w:tc>
        <w:tc>
          <w:tcPr>
            <w:tcW w:w="275" w:type="dxa"/>
            <w:tcBorders/>
            <w:shd w:fill="auto" w:val="clear"/>
            <w:vAlign w:val="bottom"/>
          </w:tcPr>
          <w:p>
            <w:pPr>
              <w:pStyle w:val="TableContents"/>
              <w:spacing w:before="0" w:after="283"/>
              <w:rPr/>
            </w:pPr>
            <w:r>
              <w:rPr/>
              <w:t> </w:t>
            </w:r>
          </w:p>
        </w:tc>
        <w:tc>
          <w:tcPr>
            <w:tcW w:w="2758" w:type="dxa"/>
            <w:tcBorders/>
            <w:shd w:fill="auto" w:val="clear"/>
          </w:tcPr>
          <w:p>
            <w:pPr>
              <w:pStyle w:val="TableContents"/>
              <w:spacing w:before="0" w:after="283"/>
              <w:jc w:val="left"/>
              <w:rPr/>
            </w:pPr>
            <w:r>
              <w:rPr/>
              <w:t> </w:t>
            </w:r>
          </w:p>
        </w:tc>
        <w:tc>
          <w:tcPr>
            <w:tcW w:w="276" w:type="dxa"/>
            <w:tcBorders/>
            <w:shd w:fill="auto" w:val="clear"/>
            <w:vAlign w:val="bottom"/>
          </w:tcPr>
          <w:p>
            <w:pPr>
              <w:pStyle w:val="TableContents"/>
              <w:spacing w:before="0" w:after="283"/>
              <w:rPr/>
            </w:pPr>
            <w:r>
              <w:rPr/>
              <w:t> </w:t>
            </w:r>
          </w:p>
        </w:tc>
        <w:tc>
          <w:tcPr>
            <w:tcW w:w="6346" w:type="dxa"/>
            <w:tcBorders/>
            <w:shd w:fill="auto" w:val="clear"/>
          </w:tcPr>
          <w:p>
            <w:pPr>
              <w:pStyle w:val="TableContents"/>
              <w:spacing w:before="0" w:after="283"/>
              <w:jc w:val="left"/>
              <w:rPr/>
            </w:pPr>
            <w:r>
              <w:rPr/>
              <w:t> </w:t>
            </w:r>
          </w:p>
        </w:tc>
      </w:tr>
      <w:tr>
        <w:trPr/>
        <w:tc>
          <w:tcPr>
            <w:tcW w:w="550" w:type="dxa"/>
            <w:tcBorders/>
            <w:shd w:fill="auto" w:val="clear"/>
          </w:tcPr>
          <w:p>
            <w:pPr>
              <w:pStyle w:val="TableContents"/>
              <w:spacing w:before="0" w:after="0"/>
              <w:ind w:left="0" w:right="0" w:hanging="0"/>
              <w:rPr/>
            </w:pPr>
            <w:r>
              <w:rPr>
                <w:b/>
              </w:rPr>
              <w:t>By:</w:t>
            </w:r>
            <w:r>
              <w:rPr/>
              <w:t xml:space="preserve"> </w:t>
            </w:r>
          </w:p>
        </w:tc>
        <w:tc>
          <w:tcPr>
            <w:tcW w:w="275" w:type="dxa"/>
            <w:tcBorders/>
            <w:shd w:fill="auto" w:val="clear"/>
            <w:vAlign w:val="bottom"/>
          </w:tcPr>
          <w:p>
            <w:pPr>
              <w:pStyle w:val="TableContents"/>
              <w:spacing w:before="0" w:after="283"/>
              <w:rPr/>
            </w:pPr>
            <w:r>
              <w:rPr/>
              <w:t> </w:t>
            </w:r>
          </w:p>
        </w:tc>
        <w:tc>
          <w:tcPr>
            <w:tcW w:w="2758" w:type="dxa"/>
            <w:tcBorders/>
            <w:shd w:fill="auto" w:val="clear"/>
          </w:tcPr>
          <w:p>
            <w:pPr>
              <w:pStyle w:val="TableContents"/>
              <w:spacing w:before="0" w:after="283"/>
              <w:jc w:val="left"/>
              <w:rPr>
                <w:b/>
              </w:rPr>
            </w:pPr>
            <w:r>
              <w:rPr>
                <w:b/>
              </w:rPr>
              <w:t>Citigroup Global Markets Inc.</w:t>
            </w:r>
          </w:p>
        </w:tc>
        <w:tc>
          <w:tcPr>
            <w:tcW w:w="276" w:type="dxa"/>
            <w:tcBorders/>
            <w:shd w:fill="auto" w:val="clear"/>
            <w:vAlign w:val="bottom"/>
          </w:tcPr>
          <w:p>
            <w:pPr>
              <w:pStyle w:val="TableContents"/>
              <w:spacing w:before="0" w:after="283"/>
              <w:rPr/>
            </w:pPr>
            <w:r>
              <w:rPr/>
              <w:t> </w:t>
            </w:r>
          </w:p>
        </w:tc>
        <w:tc>
          <w:tcPr>
            <w:tcW w:w="6346" w:type="dxa"/>
            <w:tcBorders/>
            <w:shd w:fill="auto" w:val="clear"/>
          </w:tcPr>
          <w:p>
            <w:pPr>
              <w:pStyle w:val="TableContents"/>
              <w:spacing w:before="0" w:after="283"/>
              <w:jc w:val="left"/>
              <w:rPr/>
            </w:pPr>
            <w:r>
              <w:rPr/>
              <w:t> </w:t>
            </w:r>
          </w:p>
        </w:tc>
      </w:tr>
      <w:tr>
        <w:trPr/>
        <w:tc>
          <w:tcPr>
            <w:tcW w:w="550" w:type="dxa"/>
            <w:tcBorders/>
            <w:shd w:fill="auto" w:val="clear"/>
          </w:tcPr>
          <w:p>
            <w:pPr>
              <w:pStyle w:val="TableContents"/>
              <w:spacing w:before="0" w:after="0"/>
              <w:ind w:left="0" w:right="0" w:hanging="0"/>
              <w:rPr/>
            </w:pPr>
            <w:r>
              <w:rPr/>
              <w:t> </w:t>
            </w:r>
          </w:p>
        </w:tc>
        <w:tc>
          <w:tcPr>
            <w:tcW w:w="275" w:type="dxa"/>
            <w:tcBorders/>
            <w:shd w:fill="auto" w:val="clear"/>
            <w:vAlign w:val="bottom"/>
          </w:tcPr>
          <w:p>
            <w:pPr>
              <w:pStyle w:val="TableContents"/>
              <w:spacing w:before="0" w:after="283"/>
              <w:rPr/>
            </w:pPr>
            <w:r>
              <w:rPr/>
              <w:t> </w:t>
            </w:r>
          </w:p>
        </w:tc>
        <w:tc>
          <w:tcPr>
            <w:tcW w:w="2758" w:type="dxa"/>
            <w:tcBorders/>
            <w:shd w:fill="auto" w:val="clear"/>
          </w:tcPr>
          <w:p>
            <w:pPr>
              <w:pStyle w:val="TableContents"/>
              <w:spacing w:before="0" w:after="283"/>
              <w:jc w:val="left"/>
              <w:rPr/>
            </w:pPr>
            <w:r>
              <w:rPr/>
              <w:t> </w:t>
            </w:r>
          </w:p>
        </w:tc>
        <w:tc>
          <w:tcPr>
            <w:tcW w:w="276" w:type="dxa"/>
            <w:tcBorders/>
            <w:shd w:fill="auto" w:val="clear"/>
            <w:vAlign w:val="bottom"/>
          </w:tcPr>
          <w:p>
            <w:pPr>
              <w:pStyle w:val="TableContents"/>
              <w:spacing w:before="0" w:after="283"/>
              <w:rPr/>
            </w:pPr>
            <w:r>
              <w:rPr/>
              <w:t> </w:t>
            </w:r>
          </w:p>
        </w:tc>
        <w:tc>
          <w:tcPr>
            <w:tcW w:w="6346" w:type="dxa"/>
            <w:tcBorders/>
            <w:shd w:fill="auto" w:val="clear"/>
          </w:tcPr>
          <w:p>
            <w:pPr>
              <w:pStyle w:val="TableContents"/>
              <w:spacing w:before="0" w:after="283"/>
              <w:jc w:val="left"/>
              <w:rPr/>
            </w:pPr>
            <w:r>
              <w:rPr/>
              <w:t> </w:t>
            </w:r>
          </w:p>
        </w:tc>
      </w:tr>
      <w:tr>
        <w:trPr/>
        <w:tc>
          <w:tcPr>
            <w:tcW w:w="550" w:type="dxa"/>
            <w:tcBorders/>
            <w:shd w:fill="auto" w:val="clear"/>
          </w:tcPr>
          <w:p>
            <w:pPr>
              <w:pStyle w:val="TableContents"/>
              <w:spacing w:before="0" w:after="0"/>
              <w:ind w:left="0" w:right="0" w:hanging="0"/>
              <w:rPr/>
            </w:pPr>
            <w:r>
              <w:rPr/>
              <w:t>By:</w:t>
            </w:r>
          </w:p>
        </w:tc>
        <w:tc>
          <w:tcPr>
            <w:tcW w:w="275" w:type="dxa"/>
            <w:tcBorders/>
            <w:shd w:fill="auto" w:val="clear"/>
            <w:vAlign w:val="bottom"/>
          </w:tcPr>
          <w:p>
            <w:pPr>
              <w:pStyle w:val="TableContents"/>
              <w:spacing w:before="0" w:after="283"/>
              <w:rPr/>
            </w:pPr>
            <w:r>
              <w:rPr/>
              <w:t> </w:t>
            </w:r>
          </w:p>
        </w:tc>
        <w:tc>
          <w:tcPr>
            <w:tcW w:w="2758" w:type="dxa"/>
            <w:tcBorders/>
            <w:shd w:fill="auto" w:val="clear"/>
          </w:tcPr>
          <w:p>
            <w:pPr>
              <w:pStyle w:val="TableContents"/>
              <w:spacing w:before="0" w:after="283"/>
              <w:jc w:val="left"/>
              <w:rPr/>
            </w:pPr>
            <w:r>
              <w:rPr/>
              <w:t> </w:t>
            </w:r>
          </w:p>
        </w:tc>
        <w:tc>
          <w:tcPr>
            <w:tcW w:w="276" w:type="dxa"/>
            <w:tcBorders/>
            <w:shd w:fill="auto" w:val="clear"/>
            <w:vAlign w:val="bottom"/>
          </w:tcPr>
          <w:p>
            <w:pPr>
              <w:pStyle w:val="TableContents"/>
              <w:spacing w:before="0" w:after="283"/>
              <w:rPr/>
            </w:pPr>
            <w:r>
              <w:rPr/>
              <w:t> </w:t>
            </w:r>
          </w:p>
        </w:tc>
        <w:tc>
          <w:tcPr>
            <w:tcW w:w="6346" w:type="dxa"/>
            <w:tcBorders/>
            <w:shd w:fill="auto" w:val="clear"/>
          </w:tcPr>
          <w:p>
            <w:pPr>
              <w:pStyle w:val="TableContents"/>
              <w:spacing w:before="0" w:after="283"/>
              <w:jc w:val="left"/>
              <w:rPr/>
            </w:pPr>
            <w:r>
              <w:rPr/>
              <w:t> </w:t>
            </w:r>
          </w:p>
        </w:tc>
      </w:tr>
      <w:tr>
        <w:trPr/>
        <w:tc>
          <w:tcPr>
            <w:tcW w:w="550" w:type="dxa"/>
            <w:tcBorders/>
            <w:shd w:fill="auto" w:val="clear"/>
          </w:tcPr>
          <w:p>
            <w:pPr>
              <w:pStyle w:val="TableContents"/>
              <w:spacing w:before="0" w:after="0"/>
              <w:ind w:left="0" w:right="0" w:hanging="0"/>
              <w:rPr/>
            </w:pPr>
            <w:r>
              <w:rPr/>
              <w:t xml:space="preserve">  </w:t>
            </w:r>
          </w:p>
        </w:tc>
        <w:tc>
          <w:tcPr>
            <w:tcW w:w="275" w:type="dxa"/>
            <w:tcBorders/>
            <w:shd w:fill="auto" w:val="clear"/>
            <w:vAlign w:val="center"/>
          </w:tcPr>
          <w:p>
            <w:pPr>
              <w:pStyle w:val="TableContents"/>
              <w:spacing w:before="0" w:after="283"/>
              <w:rPr/>
            </w:pPr>
            <w:r>
              <w:rPr/>
              <w:t> </w:t>
            </w:r>
          </w:p>
        </w:tc>
        <w:tc>
          <w:tcPr>
            <w:tcW w:w="2758" w:type="dxa"/>
            <w:tcBorders>
              <w:top w:val="single" w:sz="2" w:space="0" w:color="000000"/>
            </w:tcBorders>
            <w:shd w:fill="auto" w:val="clear"/>
            <w:tcMar>
              <w:top w:w="28" w:type="dxa"/>
            </w:tcMar>
          </w:tcPr>
          <w:p>
            <w:pPr>
              <w:pStyle w:val="TableContents"/>
              <w:spacing w:before="0" w:after="283"/>
              <w:jc w:val="left"/>
              <w:rPr/>
            </w:pPr>
            <w:r>
              <w:rPr/>
              <w:t> </w:t>
            </w:r>
          </w:p>
        </w:tc>
        <w:tc>
          <w:tcPr>
            <w:tcW w:w="276" w:type="dxa"/>
            <w:tcBorders/>
            <w:shd w:fill="auto" w:val="clear"/>
            <w:vAlign w:val="center"/>
          </w:tcPr>
          <w:p>
            <w:pPr>
              <w:pStyle w:val="TableContents"/>
              <w:spacing w:before="0" w:after="283"/>
              <w:rPr/>
            </w:pPr>
            <w:r>
              <w:rPr/>
              <w:t> </w:t>
            </w:r>
          </w:p>
        </w:tc>
        <w:tc>
          <w:tcPr>
            <w:tcW w:w="6346" w:type="dxa"/>
            <w:tcBorders/>
            <w:shd w:fill="auto" w:val="clear"/>
          </w:tcPr>
          <w:p>
            <w:pPr>
              <w:pStyle w:val="TableContents"/>
              <w:spacing w:before="0" w:after="283"/>
              <w:jc w:val="left"/>
              <w:rPr/>
            </w:pPr>
            <w:r>
              <w:rPr/>
              <w:t> </w:t>
            </w:r>
          </w:p>
        </w:tc>
      </w:tr>
      <w:tr>
        <w:trPr/>
        <w:tc>
          <w:tcPr>
            <w:tcW w:w="550" w:type="dxa"/>
            <w:tcBorders/>
            <w:shd w:fill="auto" w:val="clear"/>
          </w:tcPr>
          <w:p>
            <w:pPr>
              <w:pStyle w:val="TableContents"/>
              <w:spacing w:before="0" w:after="0"/>
              <w:ind w:left="0" w:right="0" w:hanging="0"/>
              <w:rPr/>
            </w:pPr>
            <w:r>
              <w:rPr/>
              <w:t xml:space="preserve">  </w:t>
            </w:r>
          </w:p>
        </w:tc>
        <w:tc>
          <w:tcPr>
            <w:tcW w:w="275" w:type="dxa"/>
            <w:tcBorders/>
            <w:shd w:fill="auto" w:val="clear"/>
            <w:vAlign w:val="bottom"/>
          </w:tcPr>
          <w:p>
            <w:pPr>
              <w:pStyle w:val="TableContents"/>
              <w:spacing w:before="0" w:after="283"/>
              <w:rPr/>
            </w:pPr>
            <w:r>
              <w:rPr/>
              <w:t> </w:t>
            </w:r>
          </w:p>
        </w:tc>
        <w:tc>
          <w:tcPr>
            <w:tcW w:w="2758" w:type="dxa"/>
            <w:tcBorders/>
            <w:shd w:fill="auto" w:val="clear"/>
          </w:tcPr>
          <w:p>
            <w:pPr>
              <w:pStyle w:val="TableContents"/>
              <w:spacing w:before="0" w:after="283"/>
              <w:jc w:val="left"/>
              <w:rPr/>
            </w:pPr>
            <w:r>
              <w:rPr/>
              <w:t>Name: Brian Bednarski</w:t>
              <w:br/>
              <w:t>Title:   Director</w:t>
            </w:r>
          </w:p>
        </w:tc>
        <w:tc>
          <w:tcPr>
            <w:tcW w:w="276" w:type="dxa"/>
            <w:tcBorders/>
            <w:shd w:fill="auto" w:val="clear"/>
            <w:vAlign w:val="bottom"/>
          </w:tcPr>
          <w:p>
            <w:pPr>
              <w:pStyle w:val="TableContents"/>
              <w:spacing w:before="0" w:after="283"/>
              <w:rPr/>
            </w:pPr>
            <w:r>
              <w:rPr/>
              <w:t> </w:t>
            </w:r>
          </w:p>
        </w:tc>
        <w:tc>
          <w:tcPr>
            <w:tcW w:w="6346" w:type="dxa"/>
            <w:tcBorders/>
            <w:shd w:fill="auto" w:val="clear"/>
          </w:tcPr>
          <w:p>
            <w:pPr>
              <w:pStyle w:val="TableContents"/>
              <w:spacing w:before="0" w:after="283"/>
              <w:jc w:val="left"/>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u w:val="single"/>
        </w:rPr>
        <w:t>Schedule 1</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162"/>
        <w:gridCol w:w="287"/>
        <w:gridCol w:w="236"/>
        <w:gridCol w:w="1897"/>
        <w:gridCol w:w="99"/>
        <w:gridCol w:w="287"/>
        <w:gridCol w:w="236"/>
        <w:gridCol w:w="1897"/>
        <w:gridCol w:w="104"/>
      </w:tblGrid>
      <w:tr>
        <w:trPr/>
        <w:tc>
          <w:tcPr>
            <w:tcW w:w="5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133" w:type="dxa"/>
            <w:gridSpan w:val="2"/>
            <w:tcBorders/>
            <w:shd w:fill="auto" w:val="clear"/>
            <w:vAlign w:val="bottom"/>
          </w:tcPr>
          <w:p>
            <w:pPr>
              <w:pStyle w:val="TableContents"/>
              <w:spacing w:before="0" w:after="283"/>
              <w:jc w:val="center"/>
              <w:rPr>
                <w:b/>
              </w:rPr>
            </w:pPr>
            <w:r>
              <w:rPr>
                <w:b/>
              </w:rPr>
              <w:t>Principal Amount of</w:t>
            </w:r>
          </w:p>
        </w:tc>
        <w:tc>
          <w:tcPr>
            <w:tcW w:w="9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133" w:type="dxa"/>
            <w:gridSpan w:val="2"/>
            <w:tcBorders/>
            <w:shd w:fill="auto" w:val="clear"/>
            <w:vAlign w:val="bottom"/>
          </w:tcPr>
          <w:p>
            <w:pPr>
              <w:pStyle w:val="TableContents"/>
              <w:spacing w:before="0" w:after="283"/>
              <w:jc w:val="center"/>
              <w:rPr>
                <w:b/>
              </w:rPr>
            </w:pPr>
            <w:r>
              <w:rPr>
                <w:b/>
              </w:rPr>
              <w:t>Principal Amount of</w:t>
            </w:r>
          </w:p>
        </w:tc>
        <w:tc>
          <w:tcPr>
            <w:tcW w:w="104" w:type="dxa"/>
            <w:tcBorders/>
            <w:shd w:fill="auto"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133" w:type="dxa"/>
            <w:gridSpan w:val="2"/>
            <w:tcBorders/>
            <w:shd w:fill="auto" w:val="clear"/>
            <w:vAlign w:val="bottom"/>
          </w:tcPr>
          <w:p>
            <w:pPr>
              <w:pStyle w:val="TableContents"/>
              <w:spacing w:before="0" w:after="283"/>
              <w:jc w:val="center"/>
              <w:rPr>
                <w:b/>
              </w:rPr>
            </w:pPr>
            <w:r>
              <w:rPr>
                <w:b/>
              </w:rPr>
              <w:t>2017 Securities to be</w:t>
            </w:r>
          </w:p>
        </w:tc>
        <w:tc>
          <w:tcPr>
            <w:tcW w:w="9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133" w:type="dxa"/>
            <w:gridSpan w:val="2"/>
            <w:tcBorders/>
            <w:shd w:fill="auto" w:val="clear"/>
            <w:vAlign w:val="bottom"/>
          </w:tcPr>
          <w:p>
            <w:pPr>
              <w:pStyle w:val="TableContents"/>
              <w:spacing w:before="0" w:after="283"/>
              <w:jc w:val="center"/>
              <w:rPr>
                <w:b/>
              </w:rPr>
            </w:pPr>
            <w:r>
              <w:rPr>
                <w:b/>
              </w:rPr>
              <w:t>2037 Securities to be</w:t>
            </w:r>
          </w:p>
        </w:tc>
        <w:tc>
          <w:tcPr>
            <w:tcW w:w="104" w:type="dxa"/>
            <w:tcBorders/>
            <w:shd w:fill="auto" w:val="clear"/>
            <w:vAlign w:val="bottom"/>
          </w:tcPr>
          <w:p>
            <w:pPr>
              <w:pStyle w:val="TableContents"/>
              <w:spacing w:before="0" w:after="283"/>
              <w:rPr/>
            </w:pPr>
            <w:r>
              <w:rPr/>
              <w:t> </w:t>
            </w:r>
          </w:p>
        </w:tc>
      </w:tr>
      <w:tr>
        <w:trPr/>
        <w:tc>
          <w:tcPr>
            <w:tcW w:w="5162" w:type="dxa"/>
            <w:tcBorders>
              <w:bottom w:val="single" w:sz="2" w:space="0" w:color="000000"/>
            </w:tcBorders>
            <w:shd w:fill="auto" w:val="clear"/>
            <w:tcMar>
              <w:bottom w:w="28" w:type="dxa"/>
            </w:tcMar>
            <w:vAlign w:val="bottom"/>
          </w:tcPr>
          <w:p>
            <w:pPr>
              <w:pStyle w:val="TableContents"/>
              <w:spacing w:before="0" w:after="283"/>
              <w:jc w:val="left"/>
              <w:rPr>
                <w:b/>
              </w:rPr>
            </w:pPr>
            <w:r>
              <w:rPr>
                <w:b/>
              </w:rPr>
              <w:t>Initial Purchasers</w:t>
            </w:r>
          </w:p>
        </w:tc>
        <w:tc>
          <w:tcPr>
            <w:tcW w:w="287" w:type="dxa"/>
            <w:tcBorders/>
            <w:shd w:fill="auto" w:val="clear"/>
            <w:vAlign w:val="bottom"/>
          </w:tcPr>
          <w:p>
            <w:pPr>
              <w:pStyle w:val="TableContents"/>
              <w:spacing w:before="0" w:after="283"/>
              <w:rPr/>
            </w:pPr>
            <w:r>
              <w:rPr/>
              <w:t> </w:t>
            </w:r>
          </w:p>
        </w:tc>
        <w:tc>
          <w:tcPr>
            <w:tcW w:w="213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Purchased</w:t>
            </w:r>
          </w:p>
        </w:tc>
        <w:tc>
          <w:tcPr>
            <w:tcW w:w="9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13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Purchased</w:t>
            </w:r>
          </w:p>
        </w:tc>
        <w:tc>
          <w:tcPr>
            <w:tcW w:w="104" w:type="dxa"/>
            <w:tcBorders/>
            <w:shd w:fill="auto" w:val="clear"/>
            <w:vAlign w:val="bottom"/>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Citigroup Global Markets Inc.</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w:t>
            </w:r>
          </w:p>
        </w:tc>
        <w:tc>
          <w:tcPr>
            <w:tcW w:w="1897" w:type="dxa"/>
            <w:tcBorders/>
            <w:shd w:fill="CCEEFF" w:val="clear"/>
            <w:vAlign w:val="bottom"/>
          </w:tcPr>
          <w:p>
            <w:pPr>
              <w:pStyle w:val="TableContents"/>
              <w:spacing w:before="0" w:after="283"/>
              <w:jc w:val="right"/>
              <w:rPr/>
            </w:pPr>
            <w:r>
              <w:rPr/>
              <w:t>61,250,000</w:t>
            </w:r>
          </w:p>
        </w:tc>
        <w:tc>
          <w:tcPr>
            <w:tcW w:w="9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w:t>
            </w:r>
          </w:p>
        </w:tc>
        <w:tc>
          <w:tcPr>
            <w:tcW w:w="1897" w:type="dxa"/>
            <w:tcBorders/>
            <w:shd w:fill="CCEEFF" w:val="clear"/>
            <w:vAlign w:val="bottom"/>
          </w:tcPr>
          <w:p>
            <w:pPr>
              <w:pStyle w:val="TableContents"/>
              <w:spacing w:before="0" w:after="283"/>
              <w:jc w:val="right"/>
              <w:rPr/>
            </w:pPr>
            <w:r>
              <w:rPr/>
              <w:t>91,875,000</w:t>
            </w:r>
          </w:p>
        </w:tc>
        <w:tc>
          <w:tcPr>
            <w:tcW w:w="104" w:type="dxa"/>
            <w:tcBorders/>
            <w:shd w:fill="CCEEFF"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0"/>
              <w:ind w:left="225" w:right="0" w:hanging="225"/>
              <w:rPr/>
            </w:pPr>
            <w:r>
              <w:rPr/>
              <w:t>UBS Securities LLC</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61,250,000</w:t>
            </w:r>
          </w:p>
        </w:tc>
        <w:tc>
          <w:tcPr>
            <w:tcW w:w="9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91,875,000</w:t>
            </w:r>
          </w:p>
        </w:tc>
        <w:tc>
          <w:tcPr>
            <w:tcW w:w="104" w:type="dxa"/>
            <w:tcBorders/>
            <w:shd w:fill="auto" w:val="clear"/>
            <w:vAlign w:val="bottom"/>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Banc of America Securities LLC</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54,000,000</w:t>
            </w:r>
          </w:p>
        </w:tc>
        <w:tc>
          <w:tcPr>
            <w:tcW w:w="9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81,000,000</w:t>
            </w:r>
          </w:p>
        </w:tc>
        <w:tc>
          <w:tcPr>
            <w:tcW w:w="104" w:type="dxa"/>
            <w:tcBorders/>
            <w:shd w:fill="CCEEFF"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0"/>
              <w:ind w:left="225" w:right="0" w:hanging="225"/>
              <w:rPr/>
            </w:pPr>
            <w:r>
              <w:rPr/>
              <w:t>J.P. Morgan Securities Inc.</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54,000,000</w:t>
            </w:r>
          </w:p>
        </w:tc>
        <w:tc>
          <w:tcPr>
            <w:tcW w:w="9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81,000,000</w:t>
            </w:r>
          </w:p>
        </w:tc>
        <w:tc>
          <w:tcPr>
            <w:tcW w:w="104" w:type="dxa"/>
            <w:tcBorders/>
            <w:shd w:fill="auto" w:val="clear"/>
            <w:vAlign w:val="bottom"/>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Wachovia Capital Markets, LLC</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54,000,000</w:t>
            </w:r>
          </w:p>
        </w:tc>
        <w:tc>
          <w:tcPr>
            <w:tcW w:w="9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81,000,000</w:t>
            </w:r>
          </w:p>
        </w:tc>
        <w:tc>
          <w:tcPr>
            <w:tcW w:w="104" w:type="dxa"/>
            <w:tcBorders/>
            <w:shd w:fill="CCEEFF"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0"/>
              <w:ind w:left="225" w:right="0" w:hanging="225"/>
              <w:rPr/>
            </w:pPr>
            <w:r>
              <w:rPr/>
              <w:t>BNP Paribas Securities Corp.</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20,000,000</w:t>
            </w:r>
          </w:p>
        </w:tc>
        <w:tc>
          <w:tcPr>
            <w:tcW w:w="9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30,000,000</w:t>
            </w:r>
          </w:p>
        </w:tc>
        <w:tc>
          <w:tcPr>
            <w:tcW w:w="104" w:type="dxa"/>
            <w:tcBorders/>
            <w:shd w:fill="auto" w:val="clear"/>
            <w:vAlign w:val="bottom"/>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SunTrust Capital Markets, Inc.</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20,000,000</w:t>
            </w:r>
          </w:p>
        </w:tc>
        <w:tc>
          <w:tcPr>
            <w:tcW w:w="9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30,000,000</w:t>
            </w:r>
          </w:p>
        </w:tc>
        <w:tc>
          <w:tcPr>
            <w:tcW w:w="104" w:type="dxa"/>
            <w:tcBorders/>
            <w:shd w:fill="CCEEFF"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0"/>
              <w:ind w:left="225" w:right="0" w:hanging="225"/>
              <w:rPr/>
            </w:pPr>
            <w:r>
              <w:rPr/>
              <w:t>Fortis Securities LLC</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10,750,000</w:t>
            </w:r>
          </w:p>
        </w:tc>
        <w:tc>
          <w:tcPr>
            <w:tcW w:w="9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16,125,000</w:t>
            </w:r>
          </w:p>
        </w:tc>
        <w:tc>
          <w:tcPr>
            <w:tcW w:w="104" w:type="dxa"/>
            <w:tcBorders/>
            <w:shd w:fill="auto" w:val="clear"/>
            <w:vAlign w:val="bottom"/>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Scotia Capital (USA) Inc.</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10,750,000</w:t>
            </w:r>
          </w:p>
        </w:tc>
        <w:tc>
          <w:tcPr>
            <w:tcW w:w="9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16,125,000</w:t>
            </w:r>
          </w:p>
        </w:tc>
        <w:tc>
          <w:tcPr>
            <w:tcW w:w="104" w:type="dxa"/>
            <w:tcBorders/>
            <w:shd w:fill="CCEEFF"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0"/>
              <w:ind w:left="225" w:right="0" w:hanging="225"/>
              <w:rPr/>
            </w:pPr>
            <w:r>
              <w:rPr/>
              <w:t>Comerica Securities, Inc.</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4,500,000</w:t>
            </w:r>
          </w:p>
        </w:tc>
        <w:tc>
          <w:tcPr>
            <w:tcW w:w="9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6,750,000</w:t>
            </w:r>
          </w:p>
        </w:tc>
        <w:tc>
          <w:tcPr>
            <w:tcW w:w="104" w:type="dxa"/>
            <w:tcBorders/>
            <w:shd w:fill="auto" w:val="clear"/>
            <w:vAlign w:val="bottom"/>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Commerzbank Capital Markets Corp.</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4,500,000</w:t>
            </w:r>
          </w:p>
        </w:tc>
        <w:tc>
          <w:tcPr>
            <w:tcW w:w="9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6,750,000</w:t>
            </w:r>
          </w:p>
        </w:tc>
        <w:tc>
          <w:tcPr>
            <w:tcW w:w="104" w:type="dxa"/>
            <w:tcBorders/>
            <w:shd w:fill="CCEEFF"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0"/>
              <w:ind w:left="225" w:right="0" w:hanging="225"/>
              <w:rPr/>
            </w:pPr>
            <w:r>
              <w:rPr/>
              <w:t>Daiwa Securities America Inc.</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4,500,000</w:t>
            </w:r>
          </w:p>
        </w:tc>
        <w:tc>
          <w:tcPr>
            <w:tcW w:w="9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6,750,000</w:t>
            </w:r>
          </w:p>
        </w:tc>
        <w:tc>
          <w:tcPr>
            <w:tcW w:w="104" w:type="dxa"/>
            <w:tcBorders/>
            <w:shd w:fill="auto" w:val="clear"/>
            <w:vAlign w:val="bottom"/>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DnB NOR Markets, Inc.</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4,500,000</w:t>
            </w:r>
          </w:p>
        </w:tc>
        <w:tc>
          <w:tcPr>
            <w:tcW w:w="9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6,750,000</w:t>
            </w:r>
          </w:p>
        </w:tc>
        <w:tc>
          <w:tcPr>
            <w:tcW w:w="104" w:type="dxa"/>
            <w:tcBorders/>
            <w:shd w:fill="CCEEFF"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0"/>
              <w:ind w:left="225" w:right="0" w:hanging="225"/>
              <w:rPr/>
            </w:pPr>
            <w:r>
              <w:rPr/>
              <w:t>HSBC Securities (USA) Inc.</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4,500,000</w:t>
            </w:r>
          </w:p>
        </w:tc>
        <w:tc>
          <w:tcPr>
            <w:tcW w:w="9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6,750,000</w:t>
            </w:r>
          </w:p>
        </w:tc>
        <w:tc>
          <w:tcPr>
            <w:tcW w:w="104" w:type="dxa"/>
            <w:tcBorders/>
            <w:shd w:fill="auto" w:val="clear"/>
            <w:vAlign w:val="bottom"/>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ING Financial Markets LLC</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4,500,000</w:t>
            </w:r>
          </w:p>
        </w:tc>
        <w:tc>
          <w:tcPr>
            <w:tcW w:w="9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6,750,000</w:t>
            </w:r>
          </w:p>
        </w:tc>
        <w:tc>
          <w:tcPr>
            <w:tcW w:w="104" w:type="dxa"/>
            <w:tcBorders/>
            <w:shd w:fill="CCEEFF"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0"/>
              <w:ind w:left="225" w:right="0" w:hanging="225"/>
              <w:rPr/>
            </w:pPr>
            <w:r>
              <w:rPr/>
              <w:t>Mitsubishi UFJ Securities International plc</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4,500,000</w:t>
            </w:r>
          </w:p>
        </w:tc>
        <w:tc>
          <w:tcPr>
            <w:tcW w:w="9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6,750,000</w:t>
            </w:r>
          </w:p>
        </w:tc>
        <w:tc>
          <w:tcPr>
            <w:tcW w:w="104" w:type="dxa"/>
            <w:tcBorders/>
            <w:shd w:fill="auto" w:val="clear"/>
            <w:vAlign w:val="bottom"/>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Piper Jaffray &amp; Co.</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4,500,000</w:t>
            </w:r>
          </w:p>
        </w:tc>
        <w:tc>
          <w:tcPr>
            <w:tcW w:w="9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6,750,000</w:t>
            </w:r>
          </w:p>
        </w:tc>
        <w:tc>
          <w:tcPr>
            <w:tcW w:w="104" w:type="dxa"/>
            <w:tcBorders/>
            <w:shd w:fill="CCEEFF"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0"/>
              <w:ind w:left="225" w:right="0" w:hanging="225"/>
              <w:rPr/>
            </w:pPr>
            <w:r>
              <w:rPr/>
              <w:t>RBC Capital Markets Corporation</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4,500,000</w:t>
            </w:r>
          </w:p>
        </w:tc>
        <w:tc>
          <w:tcPr>
            <w:tcW w:w="9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6,750,000</w:t>
            </w:r>
          </w:p>
        </w:tc>
        <w:tc>
          <w:tcPr>
            <w:tcW w:w="104" w:type="dxa"/>
            <w:tcBorders/>
            <w:shd w:fill="auto" w:val="clear"/>
            <w:vAlign w:val="bottom"/>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SG Americas Securities, LLC</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4,500,000</w:t>
            </w:r>
          </w:p>
        </w:tc>
        <w:tc>
          <w:tcPr>
            <w:tcW w:w="9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6,750,000</w:t>
            </w:r>
          </w:p>
        </w:tc>
        <w:tc>
          <w:tcPr>
            <w:tcW w:w="104" w:type="dxa"/>
            <w:tcBorders/>
            <w:shd w:fill="CCEEFF"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0"/>
              <w:ind w:left="225" w:right="0" w:hanging="225"/>
              <w:rPr/>
            </w:pPr>
            <w:r>
              <w:rPr/>
              <w:t>Wedbush Morgan Securities Inc.</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4,500,000</w:t>
            </w:r>
          </w:p>
        </w:tc>
        <w:tc>
          <w:tcPr>
            <w:tcW w:w="9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6,750,000</w:t>
            </w:r>
          </w:p>
        </w:tc>
        <w:tc>
          <w:tcPr>
            <w:tcW w:w="104" w:type="dxa"/>
            <w:tcBorders/>
            <w:shd w:fill="auto" w:val="clear"/>
            <w:vAlign w:val="bottom"/>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Wells Fargo Securities, LLC</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4,500,000</w:t>
            </w:r>
          </w:p>
        </w:tc>
        <w:tc>
          <w:tcPr>
            <w:tcW w:w="9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6,750,000</w:t>
            </w:r>
          </w:p>
        </w:tc>
        <w:tc>
          <w:tcPr>
            <w:tcW w:w="104" w:type="dxa"/>
            <w:tcBorders/>
            <w:shd w:fill="CCEEFF" w:val="clear"/>
            <w:vAlign w:val="bottom"/>
          </w:tcPr>
          <w:p>
            <w:pPr>
              <w:pStyle w:val="TableContents"/>
              <w:spacing w:before="0" w:after="283"/>
              <w:rPr/>
            </w:pPr>
            <w:r>
              <w:rPr/>
              <w:t> </w:t>
            </w:r>
          </w:p>
        </w:tc>
      </w:tr>
      <w:tr>
        <w:trPr/>
        <w:tc>
          <w:tcPr>
            <w:tcW w:w="5162" w:type="dxa"/>
            <w:tcBorders/>
            <w:shd w:fill="auto" w:val="clear"/>
            <w:vAlign w:val="center"/>
          </w:tcPr>
          <w:p>
            <w:pPr>
              <w:pStyle w:val="TableContents"/>
              <w:spacing w:before="0" w:after="0"/>
              <w:ind w:left="225" w:right="0" w:hanging="225"/>
              <w:rPr/>
            </w:pPr>
            <w:r>
              <w:rPr/>
              <w:t> </w:t>
            </w:r>
          </w:p>
        </w:tc>
        <w:tc>
          <w:tcPr>
            <w:tcW w:w="287" w:type="dxa"/>
            <w:tcBorders/>
            <w:shd w:fill="auto" w:val="clear"/>
            <w:vAlign w:val="center"/>
          </w:tcPr>
          <w:p>
            <w:pPr>
              <w:pStyle w:val="TableContents"/>
              <w:spacing w:before="0" w:after="283"/>
              <w:rPr/>
            </w:pPr>
            <w:r>
              <w:rPr/>
              <w:t> </w:t>
            </w:r>
          </w:p>
        </w:tc>
        <w:tc>
          <w:tcPr>
            <w:tcW w:w="2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7" w:type="dxa"/>
            <w:tcBorders/>
            <w:shd w:fill="auto" w:val="clear"/>
            <w:vAlign w:val="center"/>
          </w:tcPr>
          <w:p>
            <w:pPr>
              <w:pStyle w:val="TableContents"/>
              <w:spacing w:before="0" w:after="283"/>
              <w:rPr/>
            </w:pPr>
            <w:r>
              <w:rPr/>
              <w:t> </w:t>
            </w:r>
          </w:p>
        </w:tc>
        <w:tc>
          <w:tcPr>
            <w:tcW w:w="2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r>
      <w:tr>
        <w:trPr/>
        <w:tc>
          <w:tcPr>
            <w:tcW w:w="5162" w:type="dxa"/>
            <w:tcBorders/>
            <w:shd w:fill="auto" w:val="clear"/>
            <w:vAlign w:val="bottom"/>
          </w:tcPr>
          <w:p>
            <w:pPr>
              <w:pStyle w:val="TableContents"/>
              <w:spacing w:before="0" w:after="0"/>
              <w:ind w:left="450" w:right="0" w:hanging="225"/>
              <w:rPr/>
            </w:pPr>
            <w:r>
              <w:rPr/>
              <w:t>Total</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w:t>
            </w:r>
          </w:p>
        </w:tc>
        <w:tc>
          <w:tcPr>
            <w:tcW w:w="1897" w:type="dxa"/>
            <w:tcBorders/>
            <w:shd w:fill="auto" w:val="clear"/>
            <w:vAlign w:val="bottom"/>
          </w:tcPr>
          <w:p>
            <w:pPr>
              <w:pStyle w:val="TableContents"/>
              <w:spacing w:before="0" w:after="283"/>
              <w:jc w:val="right"/>
              <w:rPr/>
            </w:pPr>
            <w:r>
              <w:rPr/>
              <w:t>400,000,000</w:t>
            </w:r>
          </w:p>
        </w:tc>
        <w:tc>
          <w:tcPr>
            <w:tcW w:w="9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w:t>
            </w:r>
          </w:p>
        </w:tc>
        <w:tc>
          <w:tcPr>
            <w:tcW w:w="1897" w:type="dxa"/>
            <w:tcBorders/>
            <w:shd w:fill="auto" w:val="clear"/>
            <w:vAlign w:val="bottom"/>
          </w:tcPr>
          <w:p>
            <w:pPr>
              <w:pStyle w:val="TableContents"/>
              <w:spacing w:before="0" w:after="283"/>
              <w:jc w:val="right"/>
              <w:rPr/>
            </w:pPr>
            <w:r>
              <w:rPr/>
              <w:t>600,000,000</w:t>
            </w:r>
          </w:p>
        </w:tc>
        <w:tc>
          <w:tcPr>
            <w:tcW w:w="104"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A</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Form of Pricing Supplement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PRICING SUPPLEMENT DATED October 23,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ISSUERS: Plains All American Pipeline, L.P. and PAA Finance Corp. </w:t>
      </w:r>
    </w:p>
    <w:p>
      <w:pPr>
        <w:pStyle w:val="TextBody"/>
        <w:spacing w:before="120" w:after="283"/>
        <w:jc w:val="left"/>
        <w:rPr>
          <w:rFonts w:ascii="Times New Roman;Times;serif" w:hAnsi="Times New Roman;Times;serif"/>
          <w:sz w:val="17"/>
        </w:rPr>
      </w:pPr>
      <w:r>
        <w:rPr>
          <w:rFonts w:ascii="Times New Roman;Times;serif" w:hAnsi="Times New Roman;Times;serif"/>
          <w:sz w:val="17"/>
        </w:rPr>
        <w:t>SIZE: $400,000,000</w:t>
        <w:br/>
        <w:t>MATURITY/MATURITY DATE: January 15, 2017 (10 yr)</w:t>
        <w:br/>
        <w:t>ISSUE PRICE: 99.562%</w:t>
        <w:br/>
        <w:t>NET PROCEEDS TO ISSUERS: $395,648,000</w:t>
        <w:br/>
        <w:t>COUPON: 6.125%</w:t>
        <w:br/>
        <w:t>MAKE WHOLE CALL: T + 25 bp</w:t>
        <w:br/>
        <w:t>SPECIAL REDEMPTION: 101% Call if PPX merger does not close by 2/15/2007</w:t>
        <w:br/>
        <w:t>SPREAD: 135 bp</w:t>
        <w:br/>
        <w:t>YIELD: 6.180%</w:t>
        <w:br/>
        <w:t>INTEREST PAYMENT DATES: January 15 and July 15</w:t>
        <w:br/>
        <w:t>FIRST INTEREST PAYMENT: July 15, 2007</w:t>
        <w:br/>
        <w:t>FORMAT: 144A and Regulation S</w:t>
        <w:br/>
        <w:t>BOOKS: Citigroup</w:t>
        <w:br/>
        <w:t>JT BOOK-RUNNING MGRS: UBS Securities LLC, Bank of America Securities LLC, JPMorgan, Wachovia Securities</w:t>
        <w:br/>
        <w:t>LD MGRS: BNP Paribas, SunTrust Robinson Humphrey</w:t>
        <w:br/>
        <w:t>SR CO MGRS: Fortis Securities, Scotia Capital</w:t>
        <w:br/>
        <w:t>CO MGRS: Comerica Securities, Commerzbank Corporates &amp; Markets, DnB NOR Markets, HSBC, ING Financial Markets, Mitsubishi UFJ Securities, Piper Jaffray, RBC Capital Markets, Societe Generale, Daiwa Securities America Inc., Wedbush Morgan Securities Inc., Wells Fargo Securities</w:t>
        <w:br/>
        <w:t>USE of PROCEEDS: Repay outstanding indebtedness and general partnership purposes</w:t>
        <w:br/>
        <w:t>SETTLEMENT: (T+5) October 30, 2006</w:t>
        <w:br/>
        <w:t xml:space="preserve">MARKETING: Preliminary Offering Memorandum dated October 23,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SIZE: $600,000,000</w:t>
        <w:br/>
        <w:t>MATURITY/MATURITY DATE: January 15, 2037 (30 yr)</w:t>
        <w:br/>
        <w:t>ISSUE PRICE: 99.171%</w:t>
        <w:br/>
        <w:t>NET PROCEEDS TO ISSUERS: $589,776,000</w:t>
        <w:br/>
        <w:t>COUPON: 6.650%</w:t>
        <w:br/>
        <w:t>MAKE WHOLE CALL: T + 30 bp</w:t>
        <w:br/>
        <w:t>SPECIAL REDEMPTION: 101% Call if PPX merger does not close by 2/15/2007</w:t>
        <w:br/>
        <w:t>SPREAD: 175 bp</w:t>
        <w:br/>
        <w:t>YIELD: 6.712%</w:t>
        <w:br/>
        <w:t>INTEREST PAYMENT DATES: January 15 and July 15</w:t>
        <w:br/>
        <w:t>FIRST INTEREST PAYMENT: July 15, 2007</w:t>
        <w:br/>
        <w:t>FORMAT: 144A and Regulation S</w:t>
        <w:br/>
        <w:t>BOOKS: Citigroup</w:t>
        <w:br/>
        <w:t>JT BOOK-RUNNING MGRS: UBS Securities LLC, Bank of America Securities LLC, JPMorgan,</w:t>
        <w:br/>
        <w:t>Wachovia Securities</w:t>
        <w:br/>
        <w:t>LD MGRS: BNP Paribas, SunTrust Robinson Humphrey</w:t>
        <w:br/>
        <w:t>SR CO MGRS: Fortis Securities, Scotia Capital</w:t>
        <w:br/>
        <w:t>CO MGRS: Comerica Securities, Commerzbank Corporates &amp; Markets, DnB NOR Markets, HSBC, ING Financial Markets, Mitsubishi UFJ Securities, Piper Jaffray, RBC Capital Markets, Societe Generale, Daiwa Securities America Inc., Wedbush Morgan Securities Inc., Wells Fargo Securities</w:t>
        <w:br/>
        <w:t xml:space="preserve">USE of PROCEEDS: Repay outstanding indebtedness and general partnership purposes </w:t>
      </w:r>
    </w:p>
    <w:p>
      <w:pPr>
        <w:pStyle w:val="TextBody"/>
        <w:jc w:val="center"/>
        <w:rPr>
          <w:rFonts w:ascii="Times New Roman;Times;serif" w:hAnsi="Times New Roman;Times;serif"/>
          <w:sz w:val="17"/>
        </w:rPr>
      </w:pPr>
      <w:r>
        <w:rPr>
          <w:rFonts w:ascii="Times New Roman;Times;serif" w:hAnsi="Times New Roman;Times;serif"/>
          <w:sz w:val="17"/>
        </w:rPr>
        <w:t xml:space="preserve">A-1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SETTLEMENT: (T+5) October 30, 2006</w:t>
        <w:br/>
        <w:t xml:space="preserve">MARKETING: Preliminary Offering Memorandum dated October 23,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information in this Pricing Supplement supplements the Preliminary Offering Memorandum and supersedes the information in the Preliminary Offering Memorandum to the extent inconsistent with the information in the Preliminary Offering Memorandum.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securities referred to herein have not been registered under the Securities Act of 1933 and may not be offered or sold in the United States or to US persons other than qualified institutional buyers as defined in Rule 144A under the Securities Act or outside the United States to non-US persons pursuant to Regulation S under the Securities Act. Nothing in this communication shall constitute an offer to sell or the solicitation of an offer to buy securities in any jurisdiction in which such offer or sale would be unlawful. Offers of these securities are made only by means of the offering memorandum. You are reminded that this notice has been delivered to you on the basis that you are a person into whose possession this notice may be lawfully delivered in accordance with the laws of jurisdiction in which you are located and you may not nor are you authorized to deliver this notice to any other person and you agree not to copy or retransmit this notice. See Notice to Investors in the Preliminary Offering Memorandum.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B</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u w:val="single"/>
        </w:rPr>
        <w:t>Selling Restrictions for Offers and</w:t>
      </w:r>
      <w:r>
        <w:rPr>
          <w:rFonts w:ascii="Times New Roman;Times;serif" w:hAnsi="Times New Roman;Times;serif"/>
          <w:sz w:val="17"/>
        </w:rPr>
        <w:br/>
      </w:r>
      <w:r>
        <w:rPr>
          <w:rFonts w:ascii="Times New Roman;Times;serif" w:hAnsi="Times New Roman;Times;serif"/>
          <w:sz w:val="17"/>
          <w:u w:val="single"/>
        </w:rPr>
        <w:t>Sales Outside the United States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(1)(a) The Securities have not been and will not be registered under the Act and may not be offered or sold within the United States or to, or for the account or benefit of, U.S. persons (other than a distributor) except in accordance with Regulation S under the Act or pursuant to an exemption from the registration requirements of the Act. The Initial Purchasers represent and agree that, except as otherwise permitted by Section 4(a)(i) of the Agreement to which this is an exhibit, they have not offered and sold the Securities, and will not offer and sell the Securities, (i) as part of their distribution at any time; and (ii) otherwise until 40 days after the later of the commencement of the offering and the Closing Date, except in accordance with Rule 903 of Regulation S under the Act or another exemption from the registration requirements of the Act. The Initial Purchasers represent and agree that neither they, nor any of their Affiliates nor any person acting on their behalf or on behalf of their Affiliates has engaged or will engage in any directed selling efforts with respect to the Securities, and that they and their Affiliates have complied and will comply with the offering restrictions requirement of Regulation S. The Initial Purchasers agree that, at or prior to the confirmation of sale of Securities (other than a sale of Securities pursuant to Section 4(a)(i) of the Agreement to which this is an exhibit), they shall have sent to each distributor, dealer or person receiving a selling concession, fee or other remuneration that purchases Securities from them during the distribution compliance period referred to in Regulation S under the Act a confirmation or notice to substantially the following effect: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Securities covered hereby have not been registered under the U.S. Securities Act of 1933 (the Act) and may not be offered or sold within the United States or to, or for the account or benefit of, U.S. persons (i) as part of their distribution at any time or (ii) otherwise until 40 days after the later of the date of the Securities were first offered to persons other than distributors (as defined in Regulation S under the Act) in reliance upon Regulation S under the Act and the Closing Date, except in either case in accordance with Regulation S or Rule 144A under the Act. Terms used above have the meanings given to them by Regulation S under the Act. </w:t>
      </w:r>
    </w:p>
    <w:p>
      <w:pPr>
        <w:pStyle w:val="TextBody"/>
        <w:spacing w:before="120" w:after="283"/>
        <w:jc w:val="left"/>
        <w:rPr/>
      </w:pPr>
      <w:r>
        <w:rPr/>
        <w:t>     </w:t>
      </w:r>
      <w:r>
        <w:rPr>
          <w:rFonts w:ascii="Times New Roman;Times;serif" w:hAnsi="Times New Roman;Times;serif"/>
          <w:sz w:val="17"/>
        </w:rPr>
        <w:t xml:space="preserve">(b) The Initial Purchasers also represent and agree that they have not entered and will not enter into any contractual arrangement with any distributor with respect to the distribution of the Securities, except with their Affiliates or with the prior written consent of the Partnership. </w:t>
      </w:r>
    </w:p>
    <w:p>
      <w:pPr>
        <w:pStyle w:val="TextBody"/>
        <w:spacing w:before="120" w:after="283"/>
        <w:jc w:val="left"/>
        <w:rPr/>
      </w:pPr>
      <w:r>
        <w:rPr/>
        <w:t>     </w:t>
      </w:r>
      <w:r>
        <w:rPr>
          <w:rFonts w:ascii="Times New Roman;Times;serif" w:hAnsi="Times New Roman;Times;serif"/>
          <w:sz w:val="17"/>
        </w:rPr>
        <w:t xml:space="preserve">(c) Terms used in this Section have the meanings given to them by Regulation S. </w:t>
      </w:r>
    </w:p>
    <w:p>
      <w:pPr>
        <w:pStyle w:val="TextBody"/>
        <w:spacing w:before="120" w:after="283"/>
        <w:jc w:val="left"/>
        <w:rPr/>
      </w:pPr>
      <w:r>
        <w:rPr/>
        <w:t>          </w:t>
      </w:r>
      <w:r>
        <w:rPr>
          <w:rFonts w:ascii="Times New Roman;Times;serif" w:hAnsi="Times New Roman;Times;serif"/>
          <w:sz w:val="17"/>
        </w:rPr>
        <w:t xml:space="preserve">(2) The Initial Purchasers represent and agree that (i) they have not offered or sold and, prior to the date six months after the date of issuance of the Securities, will not offer or sell any Securities to persons in the United Kingdom except to persons whose ordinary activities involve them in acquiring, holding, managing or disposing of investments (as principal or agent) </w:t>
      </w:r>
    </w:p>
    <w:p>
      <w:pPr>
        <w:pStyle w:val="TextBody"/>
        <w:spacing w:before="360" w:after="283"/>
        <w:jc w:val="center"/>
        <w:rPr/>
      </w:pPr>
      <w:r>
        <w:rPr/>
        <w:t> </w:t>
      </w:r>
      <w:r>
        <w:rPr>
          <w:rFonts w:ascii="Times New Roman;Times;serif" w:hAnsi="Times New Roman;Times;serif"/>
          <w:sz w:val="17"/>
        </w:rPr>
        <w:t xml:space="preserve">B-1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the purposes of their businesses or otherwise in circumstances which have not resulted and will not result in an offer to the public in the United Kingdom within the meaning of the Public Offers of Securities Regulations 1995, as amended; (ii) they have complied and will comply with all applicable provisions of the Financial Services and Markets Act 2000 (the FSMA) with respect to anything done by them in relation to the Securities in, from or otherwise involving the United Kingdom; and (iii) they have only communicated, or caused to be communicated, and will only communicate, or cause to be communicated, any invitation or inducement to engage in investment activity (within the meaning of Section 21 of the FSMA) received by them in connection with the issue or sale of the Securities in circumstances in which Section 21(1) of the FSMA does not apply to us.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C</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Form of Exhibit A to Opinions in Sections 6(a) and (d)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163"/>
        <w:gridCol w:w="306"/>
        <w:gridCol w:w="6736"/>
      </w:tblGrid>
      <w:tr>
        <w:trPr/>
        <w:tc>
          <w:tcPr>
            <w:tcW w:w="316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6736" w:type="dxa"/>
            <w:tcBorders/>
            <w:shd w:fill="auto" w:val="clear"/>
            <w:vAlign w:val="bottom"/>
          </w:tcPr>
          <w:p>
            <w:pPr>
              <w:pStyle w:val="TableContents"/>
              <w:spacing w:before="0" w:after="283"/>
              <w:rPr/>
            </w:pPr>
            <w:r>
              <w:rPr/>
              <w:t> </w:t>
            </w:r>
          </w:p>
        </w:tc>
      </w:tr>
      <w:tr>
        <w:trPr/>
        <w:tc>
          <w:tcPr>
            <w:tcW w:w="3163" w:type="dxa"/>
            <w:tcBorders>
              <w:bottom w:val="single" w:sz="2" w:space="0" w:color="000000"/>
            </w:tcBorders>
            <w:shd w:fill="auto" w:val="clear"/>
            <w:tcMar>
              <w:bottom w:w="28" w:type="dxa"/>
            </w:tcMar>
            <w:vAlign w:val="bottom"/>
          </w:tcPr>
          <w:p>
            <w:pPr>
              <w:pStyle w:val="TableContents"/>
              <w:spacing w:before="0" w:after="283"/>
              <w:jc w:val="left"/>
              <w:rPr/>
            </w:pPr>
            <w:r>
              <w:rPr/>
              <w:t>Entity</w:t>
            </w:r>
          </w:p>
        </w:tc>
        <w:tc>
          <w:tcPr>
            <w:tcW w:w="306" w:type="dxa"/>
            <w:tcBorders/>
            <w:shd w:fill="auto" w:val="clear"/>
            <w:vAlign w:val="bottom"/>
          </w:tcPr>
          <w:p>
            <w:pPr>
              <w:pStyle w:val="TableContents"/>
              <w:spacing w:before="0" w:after="283"/>
              <w:rPr/>
            </w:pPr>
            <w:r>
              <w:rPr/>
              <w:t> </w:t>
            </w:r>
          </w:p>
        </w:tc>
        <w:tc>
          <w:tcPr>
            <w:tcW w:w="6736" w:type="dxa"/>
            <w:tcBorders>
              <w:bottom w:val="single" w:sz="2" w:space="0" w:color="000000"/>
            </w:tcBorders>
            <w:shd w:fill="auto" w:val="clear"/>
            <w:tcMar>
              <w:bottom w:w="28" w:type="dxa"/>
            </w:tcMar>
            <w:vAlign w:val="bottom"/>
          </w:tcPr>
          <w:p>
            <w:pPr>
              <w:pStyle w:val="TableContents"/>
              <w:spacing w:before="0" w:after="283"/>
              <w:jc w:val="left"/>
              <w:rPr/>
            </w:pPr>
            <w:r>
              <w:rPr/>
              <w:t>Jurisdiction in which registered or qualified</w:t>
            </w:r>
          </w:p>
        </w:tc>
      </w:tr>
      <w:tr>
        <w:trPr/>
        <w:tc>
          <w:tcPr>
            <w:tcW w:w="3163" w:type="dxa"/>
            <w:tcBorders/>
            <w:shd w:fill="auto" w:val="clear"/>
          </w:tcPr>
          <w:p>
            <w:pPr>
              <w:pStyle w:val="TableContents"/>
              <w:spacing w:before="0" w:after="0"/>
              <w:ind w:left="0" w:right="0" w:hanging="0"/>
              <w:rPr/>
            </w:pPr>
            <w:r>
              <w:rPr/>
              <w:t xml:space="preserve">Plains All American Pipeline, L.P.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Texas</w:t>
            </w:r>
          </w:p>
        </w:tc>
      </w:tr>
      <w:tr>
        <w:trPr/>
        <w:tc>
          <w:tcPr>
            <w:tcW w:w="3163" w:type="dxa"/>
            <w:tcBorders/>
            <w:shd w:fill="auto" w:val="clear"/>
          </w:tcPr>
          <w:p>
            <w:pPr>
              <w:pStyle w:val="TableContents"/>
              <w:spacing w:before="0" w:after="0"/>
              <w:ind w:left="0" w:right="0" w:hanging="0"/>
              <w:rPr/>
            </w:pPr>
            <w:r>
              <w:rPr/>
              <w:t xml:space="preserve">PAA Finance Corp.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None</w:t>
            </w:r>
          </w:p>
        </w:tc>
      </w:tr>
      <w:tr>
        <w:trPr/>
        <w:tc>
          <w:tcPr>
            <w:tcW w:w="3163" w:type="dxa"/>
            <w:tcBorders/>
            <w:shd w:fill="auto" w:val="clear"/>
          </w:tcPr>
          <w:p>
            <w:pPr>
              <w:pStyle w:val="TableContents"/>
              <w:spacing w:before="0" w:after="0"/>
              <w:ind w:left="0" w:right="0" w:hanging="0"/>
              <w:rPr/>
            </w:pPr>
            <w:r>
              <w:rPr/>
              <w:t xml:space="preserve">Plains AAP, L.P.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Texas</w:t>
            </w:r>
          </w:p>
        </w:tc>
      </w:tr>
      <w:tr>
        <w:trPr/>
        <w:tc>
          <w:tcPr>
            <w:tcW w:w="3163" w:type="dxa"/>
            <w:tcBorders/>
            <w:shd w:fill="auto" w:val="clear"/>
          </w:tcPr>
          <w:p>
            <w:pPr>
              <w:pStyle w:val="TableContents"/>
              <w:spacing w:before="0" w:after="0"/>
              <w:ind w:left="0" w:right="0" w:hanging="0"/>
              <w:rPr/>
            </w:pPr>
            <w:r>
              <w:rPr/>
              <w:t xml:space="preserve">Plains All American GP LLC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California, Louisiana, Oklahoma, Texas</w:t>
            </w:r>
          </w:p>
        </w:tc>
      </w:tr>
      <w:tr>
        <w:trPr/>
        <w:tc>
          <w:tcPr>
            <w:tcW w:w="3163" w:type="dxa"/>
            <w:tcBorders/>
            <w:shd w:fill="auto" w:val="clear"/>
          </w:tcPr>
          <w:p>
            <w:pPr>
              <w:pStyle w:val="TableContents"/>
              <w:spacing w:before="0" w:after="0"/>
              <w:ind w:left="0" w:right="0" w:hanging="0"/>
              <w:rPr/>
            </w:pPr>
            <w:r>
              <w:rPr/>
              <w:t xml:space="preserve">Plains Marketing GP Inc.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California, Illinois, Louisiana, Oklahoma, Texas</w:t>
            </w:r>
          </w:p>
        </w:tc>
      </w:tr>
      <w:tr>
        <w:trPr/>
        <w:tc>
          <w:tcPr>
            <w:tcW w:w="3163" w:type="dxa"/>
            <w:tcBorders/>
            <w:shd w:fill="auto" w:val="clear"/>
          </w:tcPr>
          <w:p>
            <w:pPr>
              <w:pStyle w:val="TableContents"/>
              <w:spacing w:before="0" w:after="0"/>
              <w:ind w:left="0" w:right="0" w:hanging="0"/>
              <w:rPr/>
            </w:pPr>
            <w:r>
              <w:rPr/>
              <w:t xml:space="preserve">Plains Marketing, L.P.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California, Illinois, Louisiana, Oklahoma</w:t>
            </w:r>
          </w:p>
        </w:tc>
      </w:tr>
      <w:tr>
        <w:trPr/>
        <w:tc>
          <w:tcPr>
            <w:tcW w:w="3163" w:type="dxa"/>
            <w:tcBorders/>
            <w:shd w:fill="auto" w:val="clear"/>
          </w:tcPr>
          <w:p>
            <w:pPr>
              <w:pStyle w:val="TableContents"/>
              <w:spacing w:before="0" w:after="0"/>
              <w:ind w:left="0" w:right="0" w:hanging="0"/>
              <w:rPr/>
            </w:pPr>
            <w:r>
              <w:rPr/>
              <w:t xml:space="preserve">Plains Pipeline, L.P.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California, Illinois, Louisiana, Oklahoma</w:t>
            </w:r>
          </w:p>
        </w:tc>
      </w:tr>
      <w:tr>
        <w:trPr/>
        <w:tc>
          <w:tcPr>
            <w:tcW w:w="3163" w:type="dxa"/>
            <w:tcBorders/>
            <w:shd w:fill="auto" w:val="clear"/>
          </w:tcPr>
          <w:p>
            <w:pPr>
              <w:pStyle w:val="TableContents"/>
              <w:spacing w:before="0" w:after="0"/>
              <w:ind w:left="0" w:right="0" w:hanging="0"/>
              <w:rPr/>
            </w:pPr>
            <w:r>
              <w:rPr/>
              <w:t xml:space="preserve">Plains Marketing Canada LLC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None</w:t>
            </w:r>
          </w:p>
        </w:tc>
      </w:tr>
      <w:tr>
        <w:trPr/>
        <w:tc>
          <w:tcPr>
            <w:tcW w:w="3163" w:type="dxa"/>
            <w:tcBorders/>
            <w:shd w:fill="auto" w:val="clear"/>
          </w:tcPr>
          <w:p>
            <w:pPr>
              <w:pStyle w:val="TableContents"/>
              <w:spacing w:before="0" w:after="0"/>
              <w:ind w:left="0" w:right="0" w:hanging="0"/>
              <w:rPr/>
            </w:pPr>
            <w:r>
              <w:rPr/>
              <w:t xml:space="preserve">PMC (Nova Scotia) Company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Alberta, British Columbia, Manitoba, Ontario, Saskatchewan</w:t>
            </w:r>
          </w:p>
        </w:tc>
      </w:tr>
      <w:tr>
        <w:trPr/>
        <w:tc>
          <w:tcPr>
            <w:tcW w:w="3163" w:type="dxa"/>
            <w:tcBorders/>
            <w:shd w:fill="auto" w:val="clear"/>
          </w:tcPr>
          <w:p>
            <w:pPr>
              <w:pStyle w:val="TableContents"/>
              <w:spacing w:before="0" w:after="0"/>
              <w:ind w:left="0" w:right="0" w:hanging="0"/>
              <w:rPr/>
            </w:pPr>
            <w:r>
              <w:rPr/>
              <w:t xml:space="preserve">Plains Marketing Canada, L.P.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Manitoba, Saskatchewan, California, Louisiana, Maryland, Michigan, North Dakota,</w:t>
            </w:r>
          </w:p>
        </w:tc>
      </w:tr>
      <w:tr>
        <w:trPr/>
        <w:tc>
          <w:tcPr>
            <w:tcW w:w="3163" w:type="dxa"/>
            <w:tcBorders/>
            <w:shd w:fill="auto" w:val="clear"/>
          </w:tcPr>
          <w:p>
            <w:pPr>
              <w:pStyle w:val="TableContents"/>
              <w:spacing w:before="0" w:after="0"/>
              <w:ind w:left="0" w:right="0" w:hanging="0"/>
              <w:rPr/>
            </w:pPr>
            <w:r>
              <w:rPr/>
              <w:t xml:space="preserve">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Oklahoma, Texas</w:t>
            </w:r>
          </w:p>
        </w:tc>
      </w:tr>
      <w:tr>
        <w:trPr/>
        <w:tc>
          <w:tcPr>
            <w:tcW w:w="3163" w:type="dxa"/>
            <w:tcBorders/>
            <w:shd w:fill="auto" w:val="clear"/>
          </w:tcPr>
          <w:p>
            <w:pPr>
              <w:pStyle w:val="TableContents"/>
              <w:spacing w:before="0" w:after="0"/>
              <w:ind w:left="0" w:right="0" w:hanging="0"/>
              <w:rPr/>
            </w:pPr>
            <w:r>
              <w:rPr/>
              <w:t xml:space="preserve">Basin Holdings GP LLC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Oklahoma, Texas</w:t>
            </w:r>
          </w:p>
        </w:tc>
      </w:tr>
      <w:tr>
        <w:trPr/>
        <w:tc>
          <w:tcPr>
            <w:tcW w:w="3163" w:type="dxa"/>
            <w:tcBorders/>
            <w:shd w:fill="auto" w:val="clear"/>
          </w:tcPr>
          <w:p>
            <w:pPr>
              <w:pStyle w:val="TableContents"/>
              <w:spacing w:before="0" w:after="0"/>
              <w:ind w:left="0" w:right="0" w:hanging="0"/>
              <w:rPr/>
            </w:pPr>
            <w:r>
              <w:rPr/>
              <w:t xml:space="preserve">Basin Pipeline Holdings, LP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Oklahoma, Texas</w:t>
            </w:r>
          </w:p>
        </w:tc>
      </w:tr>
      <w:tr>
        <w:trPr/>
        <w:tc>
          <w:tcPr>
            <w:tcW w:w="3163" w:type="dxa"/>
            <w:tcBorders/>
            <w:shd w:fill="auto" w:val="clear"/>
          </w:tcPr>
          <w:p>
            <w:pPr>
              <w:pStyle w:val="TableContents"/>
              <w:spacing w:before="0" w:after="0"/>
              <w:ind w:left="0" w:right="0" w:hanging="0"/>
              <w:rPr/>
            </w:pPr>
            <w:r>
              <w:rPr/>
              <w:t xml:space="preserve">Rancho Holdings GP LLC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Texas</w:t>
            </w:r>
          </w:p>
        </w:tc>
      </w:tr>
      <w:tr>
        <w:trPr/>
        <w:tc>
          <w:tcPr>
            <w:tcW w:w="3163" w:type="dxa"/>
            <w:tcBorders/>
            <w:shd w:fill="auto" w:val="clear"/>
          </w:tcPr>
          <w:p>
            <w:pPr>
              <w:pStyle w:val="TableContents"/>
              <w:spacing w:before="0" w:after="0"/>
              <w:ind w:left="0" w:right="0" w:hanging="0"/>
              <w:rPr/>
            </w:pPr>
            <w:r>
              <w:rPr/>
              <w:t xml:space="preserve">Rancho Pipeline Holdings, L.P.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Texas</w:t>
            </w:r>
          </w:p>
        </w:tc>
      </w:tr>
      <w:tr>
        <w:trPr/>
        <w:tc>
          <w:tcPr>
            <w:tcW w:w="3163" w:type="dxa"/>
            <w:tcBorders/>
            <w:shd w:fill="auto" w:val="clear"/>
          </w:tcPr>
          <w:p>
            <w:pPr>
              <w:pStyle w:val="TableContents"/>
              <w:spacing w:before="0" w:after="0"/>
              <w:ind w:left="0" w:right="0" w:hanging="0"/>
              <w:rPr/>
            </w:pPr>
            <w:r>
              <w:rPr/>
              <w:t xml:space="preserve">PAA/Vulcan Gas Storage, LLC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Texas</w:t>
            </w:r>
          </w:p>
        </w:tc>
      </w:tr>
      <w:tr>
        <w:trPr/>
        <w:tc>
          <w:tcPr>
            <w:tcW w:w="3163" w:type="dxa"/>
            <w:tcBorders/>
            <w:shd w:fill="auto" w:val="clear"/>
          </w:tcPr>
          <w:p>
            <w:pPr>
              <w:pStyle w:val="TableContents"/>
              <w:spacing w:before="0" w:after="0"/>
              <w:ind w:left="0" w:right="0" w:hanging="0"/>
              <w:rPr/>
            </w:pPr>
            <w:r>
              <w:rPr/>
              <w:t xml:space="preserve">Plains LPG Services GP LLC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Illinois, Mississippi, North Dakota</w:t>
            </w:r>
          </w:p>
        </w:tc>
      </w:tr>
      <w:tr>
        <w:trPr/>
        <w:tc>
          <w:tcPr>
            <w:tcW w:w="3163" w:type="dxa"/>
            <w:tcBorders/>
            <w:shd w:fill="auto" w:val="clear"/>
          </w:tcPr>
          <w:p>
            <w:pPr>
              <w:pStyle w:val="TableContents"/>
              <w:spacing w:before="0" w:after="0"/>
              <w:ind w:left="0" w:right="0" w:hanging="0"/>
              <w:rPr/>
            </w:pPr>
            <w:r>
              <w:rPr/>
              <w:t xml:space="preserve">Plains LPG Services, L.P.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California, Illinois, Michigan, New Hampshire, Oklahoma, Texas</w:t>
            </w:r>
          </w:p>
        </w:tc>
      </w:tr>
      <w:tr>
        <w:trPr/>
        <w:tc>
          <w:tcPr>
            <w:tcW w:w="3163" w:type="dxa"/>
            <w:tcBorders/>
            <w:shd w:fill="auto" w:val="clear"/>
          </w:tcPr>
          <w:p>
            <w:pPr>
              <w:pStyle w:val="TableContents"/>
              <w:spacing w:before="0" w:after="0"/>
              <w:ind w:left="0" w:right="0" w:hanging="0"/>
              <w:rPr/>
            </w:pPr>
            <w:r>
              <w:rPr/>
              <w:t xml:space="preserve">Lone Star Trucking, LLC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None</w:t>
            </w:r>
          </w:p>
        </w:tc>
      </w:tr>
      <w:tr>
        <w:trPr/>
        <w:tc>
          <w:tcPr>
            <w:tcW w:w="3163" w:type="dxa"/>
            <w:tcBorders/>
            <w:shd w:fill="auto" w:val="clear"/>
          </w:tcPr>
          <w:p>
            <w:pPr>
              <w:pStyle w:val="TableContents"/>
              <w:spacing w:before="0" w:after="0"/>
              <w:ind w:left="0" w:right="0" w:hanging="0"/>
              <w:rPr/>
            </w:pPr>
            <w:r>
              <w:rPr/>
              <w:t xml:space="preserve">Plains Marketing International GP LLC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None</w:t>
            </w:r>
          </w:p>
        </w:tc>
      </w:tr>
      <w:tr>
        <w:trPr/>
        <w:tc>
          <w:tcPr>
            <w:tcW w:w="3163" w:type="dxa"/>
            <w:tcBorders/>
            <w:shd w:fill="auto" w:val="clear"/>
          </w:tcPr>
          <w:p>
            <w:pPr>
              <w:pStyle w:val="TableContents"/>
              <w:spacing w:before="0" w:after="0"/>
              <w:ind w:left="0" w:right="0" w:hanging="0"/>
              <w:rPr/>
            </w:pPr>
            <w:r>
              <w:rPr/>
              <w:t xml:space="preserve">Plains Marketing International, L.P.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None</w:t>
            </w:r>
          </w:p>
        </w:tc>
      </w:tr>
      <w:tr>
        <w:trPr/>
        <w:tc>
          <w:tcPr>
            <w:tcW w:w="3163" w:type="dxa"/>
            <w:tcBorders/>
            <w:shd w:fill="auto" w:val="clear"/>
          </w:tcPr>
          <w:p>
            <w:pPr>
              <w:pStyle w:val="TableContents"/>
              <w:spacing w:before="0" w:after="0"/>
              <w:ind w:left="0" w:right="0" w:hanging="0"/>
              <w:rPr/>
            </w:pPr>
            <w:r>
              <w:rPr/>
              <w:t xml:space="preserve">Plains LPG Marketing, L.P. </w:t>
            </w:r>
          </w:p>
        </w:tc>
        <w:tc>
          <w:tcPr>
            <w:tcW w:w="306" w:type="dxa"/>
            <w:tcBorders/>
            <w:shd w:fill="auto" w:val="clear"/>
            <w:vAlign w:val="bottom"/>
          </w:tcPr>
          <w:p>
            <w:pPr>
              <w:pStyle w:val="TableContents"/>
              <w:spacing w:before="0" w:after="283"/>
              <w:rPr/>
            </w:pPr>
            <w:r>
              <w:rPr/>
              <w:t> </w:t>
            </w:r>
          </w:p>
        </w:tc>
        <w:tc>
          <w:tcPr>
            <w:tcW w:w="6736" w:type="dxa"/>
            <w:tcBorders/>
            <w:shd w:fill="auto" w:val="clear"/>
          </w:tcPr>
          <w:p>
            <w:pPr>
              <w:pStyle w:val="TableContents"/>
              <w:spacing w:before="0" w:after="283"/>
              <w:jc w:val="left"/>
              <w:rPr/>
            </w:pPr>
            <w:r>
              <w:rPr/>
              <w:t>None</w:t>
            </w:r>
          </w:p>
        </w:tc>
      </w:tr>
    </w:tbl>
    <w:p>
      <w:pPr>
        <w:pStyle w:val="TextBody"/>
        <w:spacing w:before="360" w:after="283"/>
        <w:jc w:val="center"/>
        <w:rPr/>
      </w:pPr>
      <w:r>
        <w:rPr/>
        <w:t> </w:t>
      </w:r>
      <w:r>
        <w:rPr>
          <w:rFonts w:ascii="Times New Roman;Times;serif" w:hAnsi="Times New Roman;Times;serif"/>
          <w:sz w:val="17"/>
        </w:rPr>
        <w:t xml:space="preserve">C-1 </w:t>
      </w:r>
    </w:p>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56</Pages>
  <Words>24209</Words>
  <CharactersWithSpaces>153339</CharactersWithSpaces>
  <Paragraphs>2814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exv10w1</dc:title>
</cp:coreProperties>
</file>