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Pursuant to Section 13 or 15(d)</w:t>
      </w:r>
    </w:p>
    <w:p>
      <w:pPr>
        <w:jc w:val="center"/>
        <w:ind w:right="-11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119"/>
        <w:spacing w:after="0"/>
        <w:rPr>
          <w:sz w:val="20"/>
          <w:szCs w:val="20"/>
          <w:color w:val="auto"/>
        </w:rPr>
      </w:pPr>
      <w:r>
        <w:rPr>
          <w:rFonts w:ascii="Arial" w:cs="Arial" w:eastAsia="Arial" w:hAnsi="Arial"/>
          <w:sz w:val="21"/>
          <w:szCs w:val="21"/>
          <w:b w:val="1"/>
          <w:bCs w:val="1"/>
          <w:color w:val="auto"/>
        </w:rPr>
        <w:t>Date of Report (Date of earliest event reported) – September 2, 2014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241300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46" w:lineRule="exact"/>
        <w:rPr>
          <w:sz w:val="24"/>
          <w:szCs w:val="24"/>
          <w:color w:val="auto"/>
        </w:rPr>
      </w:pPr>
    </w:p>
    <w:p>
      <w:pPr>
        <w:jc w:val="center"/>
        <w:ind w:right="-119"/>
        <w:spacing w:after="0"/>
        <w:rPr>
          <w:sz w:val="20"/>
          <w:szCs w:val="20"/>
          <w:color w:val="auto"/>
        </w:rPr>
      </w:pPr>
      <w:r>
        <w:rPr>
          <w:rFonts w:ascii="Arial" w:cs="Arial" w:eastAsia="Arial" w:hAnsi="Arial"/>
          <w:sz w:val="43"/>
          <w:szCs w:val="43"/>
          <w:b w:val="1"/>
          <w:bCs w:val="1"/>
          <w:color w:val="auto"/>
        </w:rPr>
        <w:t>Plains GP Holdings, L.P.</w:t>
      </w:r>
    </w:p>
    <w:p>
      <w:pPr>
        <w:spacing w:after="0" w:line="50"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236220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300"/>
          </w:cols>
          <w:pgMar w:left="240" w:top="368" w:right="35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1440"/>
        <w:spacing w:after="0"/>
        <w:rPr>
          <w:sz w:val="20"/>
          <w:szCs w:val="20"/>
          <w:color w:val="auto"/>
        </w:rPr>
      </w:pPr>
      <w:r>
        <w:rPr>
          <w:rFonts w:ascii="Arial" w:cs="Arial" w:eastAsia="Arial" w:hAnsi="Arial"/>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jc w:val="center"/>
        <w:ind w:right="2300"/>
        <w:spacing w:after="0"/>
        <w:rPr>
          <w:sz w:val="20"/>
          <w:szCs w:val="20"/>
          <w:color w:val="auto"/>
        </w:rPr>
      </w:pPr>
      <w:r>
        <w:rPr>
          <w:rFonts w:ascii="Arial" w:cs="Arial" w:eastAsia="Arial" w:hAnsi="Arial"/>
          <w:sz w:val="16"/>
          <w:szCs w:val="16"/>
          <w:b w:val="1"/>
          <w:bCs w:val="1"/>
          <w:color w:val="auto"/>
        </w:rPr>
        <w:t>1-36132</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90-1005472</w:t>
      </w:r>
    </w:p>
    <w:p>
      <w:pPr>
        <w:spacing w:after="0" w:line="31" w:lineRule="exact"/>
        <w:rPr>
          <w:sz w:val="24"/>
          <w:szCs w:val="24"/>
          <w:color w:val="auto"/>
        </w:rPr>
      </w:pPr>
    </w:p>
    <w:p>
      <w:pPr>
        <w:sectPr>
          <w:pgSz w:w="11900" w:h="16838" w:orient="portrait"/>
          <w:cols w:equalWidth="0" w:num="3">
            <w:col w:w="4820" w:space="720"/>
            <w:col w:w="2900" w:space="720"/>
            <w:col w:w="2140"/>
          </w:cols>
          <w:pgMar w:left="240" w:top="368" w:right="359" w:bottom="1440" w:gutter="0" w:footer="0" w:header="0"/>
          <w:type w:val="continuous"/>
        </w:sectPr>
      </w:pPr>
    </w:p>
    <w:p>
      <w:pPr>
        <w:spacing w:after="0" w:line="11" w:lineRule="exact"/>
        <w:rPr>
          <w:sz w:val="24"/>
          <w:szCs w:val="24"/>
          <w:color w:val="auto"/>
        </w:rPr>
      </w:pPr>
    </w:p>
    <w:p>
      <w:pPr>
        <w:jc w:val="center"/>
        <w:ind w:right="820"/>
        <w:spacing w:after="0"/>
        <w:rPr>
          <w:sz w:val="20"/>
          <w:szCs w:val="20"/>
          <w:color w:val="auto"/>
        </w:rPr>
      </w:pPr>
      <w:r>
        <w:rPr>
          <w:rFonts w:ascii="Arial" w:cs="Arial" w:eastAsia="Arial" w:hAnsi="Arial"/>
          <w:sz w:val="13"/>
          <w:szCs w:val="13"/>
          <w:b w:val="1"/>
          <w:bCs w:val="1"/>
          <w:color w:val="auto"/>
        </w:rPr>
        <w:t>(State or other jurisdiction</w:t>
      </w:r>
    </w:p>
    <w:p>
      <w:pPr>
        <w:jc w:val="center"/>
        <w:ind w:right="82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jc w:val="center"/>
        <w:ind w:right="1140"/>
        <w:spacing w:after="0"/>
        <w:rPr>
          <w:sz w:val="20"/>
          <w:szCs w:val="20"/>
          <w:color w:val="auto"/>
        </w:rPr>
      </w:pPr>
      <w:r>
        <w:rPr>
          <w:rFonts w:ascii="Arial" w:cs="Arial" w:eastAsia="Arial" w:hAnsi="Arial"/>
          <w:sz w:val="14"/>
          <w:szCs w:val="14"/>
          <w:b w:val="1"/>
          <w:bCs w:val="1"/>
          <w:color w:val="auto"/>
        </w:rPr>
        <w:t>(IRS Employer</w:t>
      </w:r>
    </w:p>
    <w:p>
      <w:pPr>
        <w:jc w:val="center"/>
        <w:ind w:right="1140"/>
        <w:spacing w:after="0"/>
        <w:rPr>
          <w:sz w:val="20"/>
          <w:szCs w:val="20"/>
          <w:color w:val="auto"/>
        </w:rPr>
      </w:pPr>
      <w:r>
        <w:rPr>
          <w:rFonts w:ascii="Arial" w:cs="Arial" w:eastAsia="Arial" w:hAnsi="Arial"/>
          <w:sz w:val="13"/>
          <w:szCs w:val="13"/>
          <w:b w:val="1"/>
          <w:bCs w:val="1"/>
          <w:color w:val="auto"/>
        </w:rPr>
        <w:t>Identification No.)</w:t>
      </w:r>
    </w:p>
    <w:p>
      <w:pPr>
        <w:spacing w:after="0" w:line="211" w:lineRule="exact"/>
        <w:rPr>
          <w:sz w:val="24"/>
          <w:szCs w:val="24"/>
          <w:color w:val="auto"/>
        </w:rPr>
      </w:pPr>
    </w:p>
    <w:p>
      <w:pPr>
        <w:sectPr>
          <w:pgSz w:w="11900" w:h="16838" w:orient="portrait"/>
          <w:cols w:equalWidth="0" w:num="3">
            <w:col w:w="4700" w:space="720"/>
            <w:col w:w="2900" w:space="720"/>
            <w:col w:w="2260"/>
          </w:cols>
          <w:pgMar w:left="240" w:top="368" w:right="359" w:bottom="1440" w:gutter="0" w:footer="0" w:header="0"/>
          <w:type w:val="continuous"/>
        </w:sectPr>
      </w:pPr>
    </w:p>
    <w:p>
      <w:pPr>
        <w:spacing w:after="0" w:line="6" w:lineRule="exact"/>
        <w:rPr>
          <w:sz w:val="24"/>
          <w:szCs w:val="24"/>
          <w:color w:val="auto"/>
        </w:rPr>
      </w:pPr>
    </w:p>
    <w:p>
      <w:pPr>
        <w:jc w:val="center"/>
        <w:ind w:right="-139"/>
        <w:spacing w:after="0"/>
        <w:rPr>
          <w:sz w:val="20"/>
          <w:szCs w:val="20"/>
          <w:color w:val="auto"/>
        </w:rPr>
      </w:pPr>
      <w:r>
        <w:rPr>
          <w:rFonts w:ascii="Arial" w:cs="Arial" w:eastAsia="Arial" w:hAnsi="Arial"/>
          <w:sz w:val="16"/>
          <w:szCs w:val="16"/>
          <w:b w:val="1"/>
          <w:bCs w:val="1"/>
          <w:color w:val="auto"/>
        </w:rPr>
        <w:t>333 Clay Street, Suite 1600, Houston, Texas 77002</w:t>
      </w:r>
    </w:p>
    <w:p>
      <w:pPr>
        <w:spacing w:after="0" w:line="44" w:lineRule="exact"/>
        <w:rPr>
          <w:sz w:val="24"/>
          <w:szCs w:val="24"/>
          <w:color w:val="auto"/>
        </w:rPr>
      </w:pPr>
    </w:p>
    <w:p>
      <w:pPr>
        <w:jc w:val="center"/>
        <w:ind w:right="-139"/>
        <w:spacing w:after="0"/>
        <w:rPr>
          <w:sz w:val="20"/>
          <w:szCs w:val="20"/>
          <w:color w:val="auto"/>
        </w:rPr>
      </w:pPr>
      <w:r>
        <w:rPr>
          <w:rFonts w:ascii="Arial" w:cs="Arial" w:eastAsia="Arial" w:hAnsi="Arial"/>
          <w:sz w:val="14"/>
          <w:szCs w:val="14"/>
          <w:b w:val="1"/>
          <w:bCs w:val="1"/>
          <w:color w:val="auto"/>
        </w:rPr>
        <w:t>(Address of principal executive offices) (Zip Code)</w:t>
      </w:r>
    </w:p>
    <w:p>
      <w:pPr>
        <w:spacing w:after="0" w:line="192"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713-646-4100</w:t>
      </w:r>
    </w:p>
    <w:p>
      <w:pPr>
        <w:spacing w:after="0" w:line="21" w:lineRule="exact"/>
        <w:rPr>
          <w:sz w:val="24"/>
          <w:szCs w:val="24"/>
          <w:color w:val="auto"/>
        </w:rPr>
      </w:pPr>
    </w:p>
    <w:p>
      <w:pPr>
        <w:jc w:val="center"/>
        <w:ind w:right="-13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200" w:lineRule="exact"/>
        <w:rPr>
          <w:sz w:val="24"/>
          <w:szCs w:val="24"/>
          <w:color w:val="auto"/>
        </w:rPr>
      </w:pPr>
    </w:p>
    <w:p>
      <w:pPr>
        <w:spacing w:after="0" w:line="204" w:lineRule="exact"/>
        <w:rPr>
          <w:sz w:val="24"/>
          <w:szCs w:val="24"/>
          <w:color w:val="auto"/>
        </w:rPr>
      </w:pPr>
    </w:p>
    <w:p>
      <w:pPr>
        <w:jc w:val="center"/>
        <w:ind w:right="-139"/>
        <w:spacing w:after="0"/>
        <w:rPr>
          <w:sz w:val="20"/>
          <w:szCs w:val="20"/>
          <w:color w:val="auto"/>
        </w:rPr>
      </w:pPr>
      <w:r>
        <w:rPr>
          <w:rFonts w:ascii="Arial" w:cs="Arial" w:eastAsia="Arial" w:hAnsi="Arial"/>
          <w:sz w:val="12"/>
          <w:szCs w:val="12"/>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252730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300"/>
          </w:cols>
          <w:pgMar w:left="240" w:top="368" w:right="359" w:bottom="144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368" w:right="359" w:bottom="1440" w:gutter="0" w:footer="0" w:header="0"/>
          <w:type w:val="continuous"/>
        </w:sectPr>
      </w:pPr>
    </w:p>
    <w:bookmarkStart w:id="1" w:name="page2"/>
    <w:bookmarkEnd w:id="1"/>
    <w:p>
      <w:pPr>
        <w:spacing w:after="0"/>
        <w:tabs>
          <w:tab w:leader="none" w:pos="11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7.01.</w:t>
      </w:r>
      <w:r>
        <w:rPr>
          <w:sz w:val="20"/>
          <w:szCs w:val="20"/>
          <w:color w:val="auto"/>
        </w:rPr>
        <w:tab/>
      </w:r>
      <w:r>
        <w:rPr>
          <w:rFonts w:ascii="Arial" w:cs="Arial" w:eastAsia="Arial" w:hAnsi="Arial"/>
          <w:sz w:val="16"/>
          <w:szCs w:val="16"/>
          <w:b w:val="1"/>
          <w:bCs w:val="1"/>
          <w:color w:val="auto"/>
        </w:rPr>
        <w:t>Regulation FD Disclosure</w:t>
      </w:r>
    </w:p>
    <w:p>
      <w:pPr>
        <w:spacing w:after="0" w:line="121"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In accordance with General Instruction B.2. of Form 8-K, the following information shall not be deemed “filed” for purposes of Section 18 of the Securities Exchange Act of 1934, as amended, nor shall it be deemed incorporated by reference in any filing under the Securities Act of 1933, as amended, or the Exchange Act except as shall be expressly set forth by specific reference in such a filing.</w:t>
      </w:r>
    </w:p>
    <w:p>
      <w:pPr>
        <w:spacing w:after="0" w:line="181"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 xml:space="preserve">Representatives of Plains All American Pipeline, L.P. (“PAA”) and Plains GP Holdings, L.P. (“PAGP”) intend to make a presentation and meet with members of the financial community at the 2014 Barclays CEO Energy-Power Conference on Wednesday and Thursday, September 3rd and September 4th, 2014 in New York, New York. Such presentation will give an overview of PAA and PAGP, including strategic positioning, organic growth activities, financial growth strategy and related matters. On the morning of September 3, 2014, the prepared presentation materials will be made available for viewing at www.plainsallamerican.com under the Investor Relations tab. The presentation will also be webcast live beginning at approximately 11:45 a.m. EDT on Wednesday, September 3rd and will be available for a period of approximately 60 days following the event at the following weblink: </w:t>
      </w:r>
      <w:r>
        <w:rPr>
          <w:rFonts w:ascii="Arial" w:cs="Arial" w:eastAsia="Arial" w:hAnsi="Arial"/>
          <w:sz w:val="16"/>
          <w:szCs w:val="16"/>
          <w:u w:val="single" w:color="auto"/>
          <w:color w:val="auto"/>
        </w:rPr>
        <w:t>http://cc.talkpoint.com/barc002/090214a_ae/?entity=29_1OJ56HS</w:t>
      </w:r>
      <w:r>
        <w:rPr>
          <w:rFonts w:ascii="Arial" w:cs="Arial" w:eastAsia="Arial" w:hAnsi="Arial"/>
          <w:sz w:val="16"/>
          <w:szCs w:val="16"/>
          <w:color w:val="auto"/>
        </w:rPr>
        <w:t>. Neither PAA nor PAGP undertake to update the information as posted on their website; however, they may post additional information included in future press releases, Forms 8-K, and periodic Exchange Act reports.</w:t>
      </w:r>
    </w:p>
    <w:p>
      <w:pPr>
        <w:sectPr>
          <w:pgSz w:w="11900" w:h="16838" w:orient="portrait"/>
          <w:cols w:equalWidth="0" w:num="1">
            <w:col w:w="11380"/>
          </w:cols>
          <w:pgMar w:left="240" w:top="270" w:right="27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ind w:right="680" w:firstLine="45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800" w:type="dxa"/>
            <w:vAlign w:val="bottom"/>
          </w:tcPr>
          <w:p>
            <w:pPr>
              <w:spacing w:after="0"/>
              <w:rPr>
                <w:sz w:val="20"/>
                <w:szCs w:val="20"/>
                <w:color w:val="auto"/>
              </w:rPr>
            </w:pPr>
          </w:p>
        </w:tc>
        <w:tc>
          <w:tcPr>
            <w:tcW w:w="7620" w:type="dxa"/>
            <w:vAlign w:val="bottom"/>
            <w:gridSpan w:val="2"/>
          </w:tcPr>
          <w:p>
            <w:pPr>
              <w:ind w:left="2020"/>
              <w:spacing w:after="0"/>
              <w:rPr>
                <w:sz w:val="20"/>
                <w:szCs w:val="20"/>
                <w:color w:val="auto"/>
              </w:rPr>
            </w:pPr>
            <w:r>
              <w:rPr>
                <w:rFonts w:ascii="Arial" w:cs="Arial" w:eastAsia="Arial" w:hAnsi="Arial"/>
                <w:sz w:val="18"/>
                <w:szCs w:val="18"/>
                <w:color w:val="auto"/>
              </w:rPr>
              <w:t>PLAINS GP HOLDINGS, L.P.</w:t>
            </w:r>
          </w:p>
        </w:tc>
      </w:tr>
      <w:tr>
        <w:trPr>
          <w:trHeight w:val="432"/>
        </w:trPr>
        <w:tc>
          <w:tcPr>
            <w:tcW w:w="3800" w:type="dxa"/>
            <w:vAlign w:val="bottom"/>
          </w:tcPr>
          <w:p>
            <w:pPr>
              <w:spacing w:after="0"/>
              <w:rPr>
                <w:sz w:val="20"/>
                <w:szCs w:val="20"/>
                <w:color w:val="auto"/>
              </w:rPr>
            </w:pPr>
            <w:r>
              <w:rPr>
                <w:rFonts w:ascii="Arial" w:cs="Arial" w:eastAsia="Arial" w:hAnsi="Arial"/>
                <w:sz w:val="18"/>
                <w:szCs w:val="18"/>
                <w:color w:val="auto"/>
              </w:rPr>
              <w:t>Date: September 2, 2014</w:t>
            </w:r>
          </w:p>
        </w:tc>
        <w:tc>
          <w:tcPr>
            <w:tcW w:w="2600" w:type="dxa"/>
            <w:vAlign w:val="bottom"/>
          </w:tcPr>
          <w:p>
            <w:pPr>
              <w:ind w:left="2020"/>
              <w:spacing w:after="0"/>
              <w:rPr>
                <w:sz w:val="20"/>
                <w:szCs w:val="20"/>
                <w:color w:val="auto"/>
              </w:rPr>
            </w:pPr>
            <w:r>
              <w:rPr>
                <w:rFonts w:ascii="Arial" w:cs="Arial" w:eastAsia="Arial" w:hAnsi="Arial"/>
                <w:sz w:val="18"/>
                <w:szCs w:val="18"/>
                <w:color w:val="auto"/>
              </w:rPr>
              <w:t>By:</w:t>
            </w:r>
          </w:p>
        </w:tc>
        <w:tc>
          <w:tcPr>
            <w:tcW w:w="5020" w:type="dxa"/>
            <w:vAlign w:val="bottom"/>
          </w:tcPr>
          <w:p>
            <w:pPr>
              <w:spacing w:after="0"/>
              <w:rPr>
                <w:sz w:val="20"/>
                <w:szCs w:val="20"/>
                <w:color w:val="auto"/>
              </w:rPr>
            </w:pPr>
            <w:r>
              <w:rPr>
                <w:rFonts w:ascii="Arial" w:cs="Arial" w:eastAsia="Arial" w:hAnsi="Arial"/>
                <w:sz w:val="18"/>
                <w:szCs w:val="18"/>
                <w:color w:val="auto"/>
              </w:rPr>
              <w:t>PAA GP Holdings LLC, its general partner</w:t>
            </w:r>
          </w:p>
        </w:tc>
      </w:tr>
      <w:tr>
        <w:trPr>
          <w:trHeight w:val="432"/>
        </w:trPr>
        <w:tc>
          <w:tcPr>
            <w:tcW w:w="3800" w:type="dxa"/>
            <w:vAlign w:val="bottom"/>
          </w:tcPr>
          <w:p>
            <w:pPr>
              <w:spacing w:after="0"/>
              <w:rPr>
                <w:sz w:val="24"/>
                <w:szCs w:val="24"/>
                <w:color w:val="auto"/>
              </w:rPr>
            </w:pPr>
          </w:p>
        </w:tc>
        <w:tc>
          <w:tcPr>
            <w:tcW w:w="2600" w:type="dxa"/>
            <w:vAlign w:val="bottom"/>
          </w:tcPr>
          <w:p>
            <w:pPr>
              <w:ind w:left="2020"/>
              <w:spacing w:after="0"/>
              <w:rPr>
                <w:sz w:val="20"/>
                <w:szCs w:val="20"/>
                <w:color w:val="auto"/>
              </w:rPr>
            </w:pPr>
            <w:r>
              <w:rPr>
                <w:rFonts w:ascii="Arial" w:cs="Arial" w:eastAsia="Arial" w:hAnsi="Arial"/>
                <w:sz w:val="18"/>
                <w:szCs w:val="18"/>
                <w:color w:val="auto"/>
              </w:rPr>
              <w:t>By:</w:t>
            </w:r>
          </w:p>
        </w:tc>
        <w:tc>
          <w:tcPr>
            <w:tcW w:w="5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Richard McGee</w:t>
            </w:r>
          </w:p>
        </w:tc>
      </w:tr>
      <w:tr>
        <w:trPr>
          <w:trHeight w:val="209"/>
        </w:trPr>
        <w:tc>
          <w:tcPr>
            <w:tcW w:w="3800" w:type="dxa"/>
            <w:vAlign w:val="bottom"/>
          </w:tcPr>
          <w:p>
            <w:pPr>
              <w:spacing w:after="0"/>
              <w:rPr>
                <w:sz w:val="18"/>
                <w:szCs w:val="18"/>
                <w:color w:val="auto"/>
              </w:rPr>
            </w:pPr>
          </w:p>
        </w:tc>
        <w:tc>
          <w:tcPr>
            <w:tcW w:w="2600" w:type="dxa"/>
            <w:vAlign w:val="bottom"/>
          </w:tcPr>
          <w:p>
            <w:pPr>
              <w:ind w:left="2020"/>
              <w:spacing w:after="0"/>
              <w:rPr>
                <w:sz w:val="20"/>
                <w:szCs w:val="20"/>
                <w:color w:val="auto"/>
              </w:rPr>
            </w:pPr>
            <w:r>
              <w:rPr>
                <w:rFonts w:ascii="Arial" w:cs="Arial" w:eastAsia="Arial" w:hAnsi="Arial"/>
                <w:sz w:val="18"/>
                <w:szCs w:val="18"/>
                <w:color w:val="auto"/>
              </w:rPr>
              <w:t>Name:</w:t>
            </w:r>
          </w:p>
        </w:tc>
        <w:tc>
          <w:tcPr>
            <w:tcW w:w="5020" w:type="dxa"/>
            <w:vAlign w:val="bottom"/>
          </w:tcPr>
          <w:p>
            <w:pPr>
              <w:spacing w:after="0"/>
              <w:rPr>
                <w:sz w:val="20"/>
                <w:szCs w:val="20"/>
                <w:color w:val="auto"/>
              </w:rPr>
            </w:pPr>
            <w:r>
              <w:rPr>
                <w:rFonts w:ascii="Arial" w:cs="Arial" w:eastAsia="Arial" w:hAnsi="Arial"/>
                <w:sz w:val="18"/>
                <w:szCs w:val="18"/>
                <w:color w:val="auto"/>
              </w:rPr>
              <w:t>Richard McGee</w:t>
            </w:r>
          </w:p>
        </w:tc>
      </w:tr>
      <w:tr>
        <w:trPr>
          <w:trHeight w:val="230"/>
        </w:trPr>
        <w:tc>
          <w:tcPr>
            <w:tcW w:w="3800" w:type="dxa"/>
            <w:vAlign w:val="bottom"/>
          </w:tcPr>
          <w:p>
            <w:pPr>
              <w:spacing w:after="0"/>
              <w:rPr>
                <w:sz w:val="20"/>
                <w:szCs w:val="20"/>
                <w:color w:val="auto"/>
              </w:rPr>
            </w:pPr>
          </w:p>
        </w:tc>
        <w:tc>
          <w:tcPr>
            <w:tcW w:w="2600" w:type="dxa"/>
            <w:vAlign w:val="bottom"/>
          </w:tcPr>
          <w:p>
            <w:pPr>
              <w:ind w:left="2020"/>
              <w:spacing w:after="0"/>
              <w:rPr>
                <w:sz w:val="20"/>
                <w:szCs w:val="20"/>
                <w:color w:val="auto"/>
              </w:rPr>
            </w:pPr>
            <w:r>
              <w:rPr>
                <w:rFonts w:ascii="Arial" w:cs="Arial" w:eastAsia="Arial" w:hAnsi="Arial"/>
                <w:sz w:val="18"/>
                <w:szCs w:val="18"/>
                <w:color w:val="auto"/>
              </w:rPr>
              <w:t>Title:</w:t>
            </w:r>
          </w:p>
        </w:tc>
        <w:tc>
          <w:tcPr>
            <w:tcW w:w="5020" w:type="dxa"/>
            <w:vAlign w:val="bottom"/>
          </w:tcPr>
          <w:p>
            <w:pPr>
              <w:spacing w:after="0"/>
              <w:rPr>
                <w:sz w:val="20"/>
                <w:szCs w:val="20"/>
                <w:color w:val="auto"/>
              </w:rPr>
            </w:pPr>
            <w:r>
              <w:rPr>
                <w:rFonts w:ascii="Arial" w:cs="Arial" w:eastAsia="Arial" w:hAnsi="Arial"/>
                <w:sz w:val="18"/>
                <w:szCs w:val="18"/>
                <w:color w:val="auto"/>
              </w:rPr>
              <w:t>Executive Vice President</w:t>
            </w:r>
          </w:p>
        </w:tc>
      </w:tr>
    </w:tbl>
    <w:p>
      <w:pPr>
        <w:spacing w:after="0" w:line="1" w:lineRule="exact"/>
        <w:rPr>
          <w:sz w:val="20"/>
          <w:szCs w:val="20"/>
          <w:color w:val="auto"/>
        </w:rPr>
      </w:pPr>
    </w:p>
    <w:sectPr>
      <w:pgSz w:w="11900" w:h="16838" w:orient="portrait"/>
      <w:cols w:equalWidth="0" w:num="1">
        <w:col w:w="11420"/>
      </w:cols>
      <w:pgMar w:left="240" w:top="27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2020-01-28T08:45:33Z</dcterms:created>
  <dcterms:modified xsi:type="dcterms:W3CDTF">2020-01-28T08:45:33Z</dcterms:modified>
</cp:coreProperties>
</file>