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82907d8k.htm"/>
      <w:bookmarkStart w:id="1" w:name="ksd582907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August 8,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49"/>
        <w:gridCol w:w="9256"/>
      </w:tblGrid>
      <w:tr>
        <w:trPr/>
        <w:tc>
          <w:tcPr>
            <w:tcW w:w="94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5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August 8, 2013, Plains All American Pipeline, L.P. (the Partnership) and PAA Finance Corp. (PAA Finance, and together with the Partnership, the Issuers) entered into an underwriting agreement (the Underwriting Agreement) with J.P. Morgan Securities LLC and Merrill Lynch, Pierce, Fenner &amp; Smith Incorporated, as representatives of the several underwriters named therein (collectively, the Underwriters), relating to the issuance and sale to the Underwriters of $700 million aggregate principal amount of 3.850% Senior Notes due 2023 (the Notes), subject to the terms and conditions therein. </w:t>
      </w:r>
    </w:p>
    <w:p>
      <w:pPr>
        <w:pStyle w:val="TextBody"/>
        <w:spacing w:before="180" w:after="0"/>
        <w:rPr>
          <w:rFonts w:ascii="Times New Roman" w:hAnsi="Times New Roman"/>
          <w:sz w:val="20"/>
        </w:rPr>
      </w:pPr>
      <w:r>
        <w:rPr>
          <w:rFonts w:ascii="Times New Roman" w:hAnsi="Times New Roman"/>
          <w:sz w:val="20"/>
        </w:rPr>
        <w:t xml:space="preserve">The Notes are being offered and sold under the Issuers shelf registration statement on Form S-3 (Registration No. 333-184137) filed with the Securities and Exchange Commission on September 27, 2012 (the Registration Statement), and are described in a Prospectus Supplement dated August 8, 2013 to the Prospectus dated September 27, 2012, which is included in the Registration Statement. </w:t>
      </w:r>
    </w:p>
    <w:p>
      <w:pPr>
        <w:pStyle w:val="TextBody"/>
        <w:spacing w:before="180" w:after="0"/>
        <w:rPr>
          <w:rFonts w:ascii="Times New Roman" w:hAnsi="Times New Roman"/>
          <w:sz w:val="20"/>
        </w:rPr>
      </w:pPr>
      <w:r>
        <w:rPr>
          <w:rFonts w:ascii="Times New Roman" w:hAnsi="Times New Roman"/>
          <w:sz w:val="20"/>
        </w:rPr>
        <w:t xml:space="preserve">The Notes will be issued pursuant to a supplemental indenture to be dated August 15, 2013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 </w:t>
      </w:r>
    </w:p>
    <w:p>
      <w:pPr>
        <w:pStyle w:val="TextBody"/>
        <w:spacing w:before="180" w:after="0"/>
        <w:rPr>
          <w:rFonts w:ascii="Times New Roman" w:hAnsi="Times New Roman"/>
          <w:sz w:val="20"/>
        </w:rPr>
      </w:pPr>
      <w:r>
        <w:rPr>
          <w:rFonts w:ascii="Times New Roman" w:hAnsi="Times New Roman"/>
          <w:sz w:val="20"/>
        </w:rPr>
        <w:t xml:space="preserve">The closing of the offering of the Notes is expected to occur on August 15, 2013, subject to customary closing conditions. </w:t>
      </w:r>
    </w:p>
    <w:p>
      <w:pPr>
        <w:pStyle w:val="TextBody"/>
        <w:spacing w:before="180" w:after="0"/>
        <w:rPr>
          <w:rFonts w:ascii="Times New Roman" w:hAnsi="Times New Roman"/>
          <w:sz w:val="20"/>
        </w:rPr>
      </w:pPr>
      <w:r>
        <w:rPr>
          <w:rFonts w:ascii="Times New Roman" w:hAnsi="Times New Roman"/>
          <w:sz w:val="20"/>
        </w:rPr>
        <w:t xml:space="preserve">The Underwriting Agreement is filed as Exhibit 1.1 to this Current Report on Form 8-K and is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1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Agreement, dated August 8, 2013, by and among Plains All American Pipeline, L.P., PAA Finance Corp., and J.P. Morgan Securities LLC and Merrill Lynch, Pierce, Fenner &amp; Smith Incorporated, as representatives of the several underwriters named therein.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SIGNATURES </w:t>
      </w:r>
    </w:p>
    <w:p>
      <w:pPr>
        <w:pStyle w:val="TextBody"/>
        <w:spacing w:before="9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PLAINS ALL AMERICAN GP LLC,</w:t>
            </w:r>
          </w:p>
          <w:p>
            <w:pPr>
              <w:pStyle w:val="TableContents"/>
              <w:spacing w:before="0" w:after="15"/>
              <w:rPr>
                <w:rFonts w:ascii="Times New Roman" w:hAnsi="Times New Roman"/>
                <w:sz w:val="20"/>
              </w:rPr>
            </w:pPr>
            <w:r>
              <w:rPr>
                <w:rFonts w:ascii="Times New Roman" w:hAnsi="Times New Roman"/>
                <w:sz w:val="20"/>
              </w:rPr>
              <w:t>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1"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Date: August 12,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Underwriting Agreement, dated August 8, 2013 by and among Plains All American Pipeline, L.P., PAA Finance Corp., and J.P. Morgan Securities LLC and Merrill Lynch, Pierce, Fenner &amp; Smith Incorporated, as representatives of the several underwriters named therein.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Vinson &amp; Elkins L.L.P. (included in Exhibit 5.1).</w:t>
            </w:r>
          </w:p>
        </w:tc>
      </w:tr>
    </w:tbl>
    <w:p>
      <w:pPr>
        <w:pStyle w:val="TextBody"/>
        <w:spacing w:before="0" w:after="0"/>
        <w:jc w:val="right"/>
        <w:rPr>
          <w:rFonts w:ascii="Times New Roman" w:hAnsi="Times New Roman"/>
          <w:b/>
          <w:sz w:val="20"/>
        </w:rPr>
      </w:pPr>
      <w:r>
        <w:br w:type="page"/>
      </w:r>
      <w:bookmarkStart w:id="2" w:name="d582907dex11.htm"/>
      <w:bookmarkStart w:id="3" w:name="ksd582907dex11"/>
      <w:bookmarkEnd w:id="2"/>
      <w:bookmarkEnd w:id="3"/>
      <w:r>
        <w:rPr>
          <w:rFonts w:ascii="Times New Roman" w:hAnsi="Times New Roman"/>
          <w:b/>
          <w:sz w:val="20"/>
        </w:rPr>
        <w:t xml:space="preserve">Exhibit 1.1 </w:t>
      </w:r>
    </w:p>
    <w:p>
      <w:pPr>
        <w:pStyle w:val="TextBody"/>
        <w:spacing w:before="9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spacing w:before="36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PAA FINANCE CORP. </w:t>
      </w:r>
    </w:p>
    <w:p>
      <w:pPr>
        <w:pStyle w:val="TextBody"/>
        <w:spacing w:before="180" w:after="0"/>
        <w:jc w:val="center"/>
        <w:rPr>
          <w:rFonts w:ascii="Times New Roman" w:hAnsi="Times New Roman"/>
          <w:sz w:val="20"/>
        </w:rPr>
      </w:pPr>
      <w:r>
        <w:rPr>
          <w:rFonts w:ascii="Times New Roman" w:hAnsi="Times New Roman"/>
          <w:sz w:val="20"/>
        </w:rPr>
        <w:t xml:space="preserve">$700,000,000 3.850% Senior Notes due 2023 </w:t>
      </w:r>
    </w:p>
    <w:p>
      <w:pPr>
        <w:pStyle w:val="TextBody"/>
        <w:spacing w:before="180" w:after="0"/>
        <w:jc w:val="center"/>
        <w:rPr>
          <w:rFonts w:ascii="Times New Roman" w:hAnsi="Times New Roman"/>
          <w:b/>
          <w:sz w:val="20"/>
        </w:rPr>
      </w:pPr>
      <w:r>
        <w:rPr>
          <w:rFonts w:ascii="Times New Roman" w:hAnsi="Times New Roman"/>
          <w:b/>
          <w:sz w:val="20"/>
        </w:rPr>
        <w:t xml:space="preserve">UNDERWRITING AGREEMENT </w:t>
      </w:r>
    </w:p>
    <w:p>
      <w:pPr>
        <w:pStyle w:val="TextBody"/>
        <w:spacing w:before="180" w:after="0"/>
        <w:jc w:val="right"/>
        <w:rPr>
          <w:rFonts w:ascii="Times New Roman" w:hAnsi="Times New Roman"/>
          <w:sz w:val="20"/>
        </w:rPr>
      </w:pPr>
      <w:r>
        <w:rPr>
          <w:rFonts w:ascii="Times New Roman" w:hAnsi="Times New Roman"/>
          <w:sz w:val="20"/>
        </w:rPr>
        <w:t xml:space="preserve">August 8, 2013 </w:t>
      </w:r>
    </w:p>
    <w:p>
      <w:pPr>
        <w:pStyle w:val="TextBody"/>
        <w:spacing w:before="180" w:after="0"/>
        <w:rPr>
          <w:rFonts w:ascii="Times New Roman" w:hAnsi="Times New Roman"/>
          <w:sz w:val="20"/>
        </w:rPr>
      </w:pPr>
      <w:r>
        <w:rPr>
          <w:rFonts w:ascii="Times New Roman" w:hAnsi="Times New Roman"/>
          <w:sz w:val="20"/>
        </w:rPr>
        <w:t xml:space="preserve">J.P. Morgan Securities LLC </w:t>
      </w:r>
    </w:p>
    <w:p>
      <w:pPr>
        <w:pStyle w:val="TextBody"/>
        <w:spacing w:before="0" w:after="0"/>
        <w:rPr>
          <w:rFonts w:ascii="Times New Roman" w:hAnsi="Times New Roman"/>
          <w:sz w:val="20"/>
        </w:rPr>
      </w:pPr>
      <w:r>
        <w:rPr>
          <w:rFonts w:ascii="Times New Roman" w:hAnsi="Times New Roman"/>
          <w:sz w:val="20"/>
        </w:rPr>
        <w:t xml:space="preserve">Merrill Lynch, Pierce, Fenner &amp; Smith </w:t>
      </w:r>
    </w:p>
    <w:p>
      <w:pPr>
        <w:pStyle w:val="TextBody"/>
        <w:spacing w:before="0" w:after="0"/>
        <w:rPr>
          <w:rFonts w:ascii="Times New Roman" w:hAnsi="Times New Roman"/>
          <w:sz w:val="20"/>
        </w:rPr>
      </w:pPr>
      <w:r>
        <w:rPr>
          <w:rFonts w:ascii="Times New Roman" w:hAnsi="Times New Roman"/>
          <w:sz w:val="20"/>
        </w:rPr>
        <w:t xml:space="preserve">Incorporated </w:t>
      </w:r>
    </w:p>
    <w:p>
      <w:pPr>
        <w:pStyle w:val="TextBody"/>
        <w:spacing w:before="180" w:after="0"/>
        <w:rPr>
          <w:rFonts w:ascii="Times New Roman" w:hAnsi="Times New Roman"/>
          <w:sz w:val="20"/>
        </w:rPr>
      </w:pPr>
      <w:r>
        <w:rPr>
          <w:rFonts w:ascii="Times New Roman" w:hAnsi="Times New Roman"/>
          <w:sz w:val="20"/>
        </w:rPr>
        <w:t xml:space="preserve">As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c/o J.P. Morgan Securities LLC </w:t>
      </w:r>
    </w:p>
    <w:p>
      <w:pPr>
        <w:pStyle w:val="TextBody"/>
        <w:spacing w:before="0" w:after="0"/>
        <w:rPr>
          <w:rFonts w:ascii="Times New Roman" w:hAnsi="Times New Roman"/>
          <w:sz w:val="20"/>
        </w:rPr>
      </w:pPr>
      <w:r>
        <w:rPr>
          <w:rFonts w:ascii="Times New Roman" w:hAnsi="Times New Roman"/>
          <w:sz w:val="20"/>
        </w:rPr>
        <w:t xml:space="preserve">383 Madison Avenue </w:t>
      </w:r>
    </w:p>
    <w:p>
      <w:pPr>
        <w:pStyle w:val="TextBody"/>
        <w:spacing w:before="0" w:after="0"/>
        <w:rPr>
          <w:rFonts w:ascii="Times New Roman" w:hAnsi="Times New Roman"/>
          <w:sz w:val="20"/>
        </w:rPr>
      </w:pPr>
      <w:r>
        <w:rPr>
          <w:rFonts w:ascii="Times New Roman" w:hAnsi="Times New Roman"/>
          <w:sz w:val="20"/>
        </w:rPr>
        <w:t xml:space="preserve">New York, NY 10179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b/>
          <w:sz w:val="20"/>
        </w:rPr>
        <w:t>Partnership</w:t>
      </w:r>
      <w:r>
        <w:rPr>
          <w:rFonts w:ascii="Times New Roman" w:hAnsi="Times New Roman"/>
          <w:sz w:val="20"/>
        </w:rPr>
        <w:t>), and PAA Finance Corp., a Delaware corporation (</w:t>
      </w:r>
      <w:r>
        <w:rPr>
          <w:rFonts w:ascii="Times New Roman" w:hAnsi="Times New Roman"/>
          <w:b/>
          <w:sz w:val="20"/>
        </w:rPr>
        <w:t>PAA Finance</w:t>
      </w:r>
      <w:r>
        <w:rPr>
          <w:rFonts w:ascii="Times New Roman" w:hAnsi="Times New Roman"/>
          <w:sz w:val="20"/>
        </w:rPr>
        <w:t> and, together with the Partnership, the </w:t>
      </w:r>
      <w:r>
        <w:rPr>
          <w:rFonts w:ascii="Times New Roman" w:hAnsi="Times New Roman"/>
          <w:b/>
          <w:sz w:val="20"/>
        </w:rPr>
        <w:t>Issuers</w:t>
      </w:r>
      <w:r>
        <w:rPr>
          <w:rFonts w:ascii="Times New Roman" w:hAnsi="Times New Roman"/>
          <w:sz w:val="20"/>
        </w:rPr>
        <w:t xml:space="preserve">), propose to issue and sell to the several underwriters named in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b/>
          <w:sz w:val="20"/>
        </w:rPr>
        <w:t>Underwriters</w:t>
      </w:r>
      <w:r>
        <w:rPr>
          <w:rFonts w:ascii="Times New Roman" w:hAnsi="Times New Roman"/>
          <w:sz w:val="20"/>
        </w:rPr>
        <w:t>), for whom J.P. Morgan Securities LLC and Merrill Lynch, Pierce, Fenner &amp; Smith Incorporated, are acting as the representatives (the </w:t>
      </w:r>
      <w:r>
        <w:rPr>
          <w:rFonts w:ascii="Times New Roman" w:hAnsi="Times New Roman"/>
          <w:b/>
          <w:sz w:val="20"/>
        </w:rPr>
        <w:t>Representatives</w:t>
      </w:r>
      <w:r>
        <w:rPr>
          <w:rFonts w:ascii="Times New Roman" w:hAnsi="Times New Roman"/>
          <w:sz w:val="20"/>
        </w:rPr>
        <w:t>), $700,000,000 aggregate principal amount of 3.850% Senior Notes due 2023 (the </w:t>
      </w:r>
      <w:r>
        <w:rPr>
          <w:rFonts w:ascii="Times New Roman" w:hAnsi="Times New Roman"/>
          <w:b/>
          <w:sz w:val="20"/>
        </w:rPr>
        <w:t>Notes</w:t>
      </w:r>
      <w:r>
        <w:rPr>
          <w:rFonts w:ascii="Times New Roman" w:hAnsi="Times New Roman"/>
          <w:sz w:val="20"/>
        </w:rPr>
        <w:t>). The Notes are to be issued under an indenture dated as of September 25, 2002 (the </w:t>
      </w:r>
      <w:r>
        <w:rPr>
          <w:rFonts w:ascii="Times New Roman" w:hAnsi="Times New Roman"/>
          <w:b/>
          <w:sz w:val="20"/>
        </w:rPr>
        <w:t>Base Indenture</w:t>
      </w:r>
      <w:r>
        <w:rPr>
          <w:rFonts w:ascii="Times New Roman" w:hAnsi="Times New Roman"/>
          <w:sz w:val="20"/>
        </w:rPr>
        <w:t>), among the Issuers and U.S. Bank National Association, as successor trustee (the </w:t>
      </w:r>
      <w:r>
        <w:rPr>
          <w:rFonts w:ascii="Times New Roman" w:hAnsi="Times New Roman"/>
          <w:b/>
          <w:sz w:val="20"/>
        </w:rPr>
        <w:t>Trustee</w:t>
      </w:r>
      <w:r>
        <w:rPr>
          <w:rFonts w:ascii="Times New Roman" w:hAnsi="Times New Roman"/>
          <w:sz w:val="20"/>
        </w:rPr>
        <w:t>), as amended by the Twenty-Fourth Supplemental Indenture, to be dated as of August 15, 2013, among the Issuers and the Trustee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PAA GP LLC, a Delaware limited liability company (the </w:t>
      </w:r>
      <w:r>
        <w:rPr>
          <w:rFonts w:ascii="Times New Roman" w:hAnsi="Times New Roman"/>
          <w:b/>
          <w:sz w:val="20"/>
        </w:rPr>
        <w:t>General Partner</w:t>
      </w:r>
      <w:r>
        <w:rPr>
          <w:rFonts w:ascii="Times New Roman" w:hAnsi="Times New Roman"/>
          <w:sz w:val="20"/>
        </w:rPr>
        <w:t>), is the general partner of the Partnership. Plains AAP, L.P., a Delaware limited partnership (</w:t>
      </w:r>
      <w:r>
        <w:rPr>
          <w:rFonts w:ascii="Times New Roman" w:hAnsi="Times New Roman"/>
          <w:b/>
          <w:sz w:val="20"/>
        </w:rPr>
        <w:t>Plains AAP</w:t>
      </w:r>
      <w:r>
        <w:rPr>
          <w:rFonts w:ascii="Times New Roman" w:hAnsi="Times New Roman"/>
          <w:sz w:val="20"/>
        </w:rPr>
        <w:t>), owns a 100% membership interest in the General Partner. Plains All American GP LLC, a Delaware limited liability company (</w:t>
      </w:r>
      <w:r>
        <w:rPr>
          <w:rFonts w:ascii="Times New Roman" w:hAnsi="Times New Roman"/>
          <w:b/>
          <w:sz w:val="20"/>
        </w:rPr>
        <w:t>GP LLC</w:t>
      </w:r>
      <w:r>
        <w:rPr>
          <w:rFonts w:ascii="Times New Roman" w:hAnsi="Times New Roman"/>
          <w:sz w:val="20"/>
        </w:rPr>
        <w:t> and, collectively with the General Partner and Plains AAP, the </w:t>
      </w:r>
      <w:r>
        <w:rPr>
          <w:rFonts w:ascii="Times New Roman" w:hAnsi="Times New Roman"/>
          <w:b/>
          <w:sz w:val="20"/>
        </w:rPr>
        <w:t>GP Entities</w:t>
      </w:r>
      <w:r>
        <w:rPr>
          <w:rFonts w:ascii="Times New Roman" w:hAnsi="Times New Roman"/>
          <w:sz w:val="20"/>
        </w:rPr>
        <w:t xml:space="preserve">), is the general partner of Plains AAP. </w:t>
      </w:r>
    </w:p>
    <w:p>
      <w:pPr>
        <w:pStyle w:val="TextBody"/>
        <w:spacing w:before="180" w:after="0"/>
        <w:rPr>
          <w:rFonts w:ascii="Times New Roman" w:hAnsi="Times New Roman"/>
          <w:sz w:val="20"/>
        </w:rPr>
      </w:pPr>
      <w:r>
        <w:rPr>
          <w:rFonts w:ascii="Times New Roman" w:hAnsi="Times New Roman"/>
          <w:sz w:val="20"/>
        </w:rPr>
        <w:t xml:space="preserve">The subsidiaries of the Partnership listed on </w:t>
      </w:r>
      <w:r>
        <w:rPr>
          <w:rFonts w:ascii="Times New Roman" w:hAnsi="Times New Roman"/>
          <w:sz w:val="20"/>
          <w:u w:val="single"/>
        </w:rPr>
        <w:t>Schedule III</w:t>
      </w:r>
      <w:r>
        <w:rPr>
          <w:rFonts w:ascii="Times New Roman" w:hAnsi="Times New Roman"/>
          <w:sz w:val="20"/>
        </w:rPr>
        <w:t xml:space="preserve"> attached hereto are referred to herein as the </w:t>
      </w:r>
      <w:r>
        <w:rPr>
          <w:rFonts w:ascii="Times New Roman" w:hAnsi="Times New Roman"/>
          <w:b/>
          <w:sz w:val="20"/>
        </w:rPr>
        <w:t>Material Subsidiaries</w:t>
      </w:r>
      <w:r>
        <w:rPr>
          <w:rFonts w:ascii="Times New Roman" w:hAnsi="Times New Roman"/>
          <w:sz w:val="20"/>
        </w:rPr>
        <w:t xml:space="preserve">, and the Material Subsidiaries listed on </w:t>
      </w:r>
      <w:r>
        <w:rPr>
          <w:rFonts w:ascii="Times New Roman" w:hAnsi="Times New Roman"/>
          <w:sz w:val="20"/>
          <w:u w:val="single"/>
        </w:rPr>
        <w:t>Schedule IV</w:t>
      </w:r>
      <w:r>
        <w:rPr>
          <w:rFonts w:ascii="Times New Roman" w:hAnsi="Times New Roman"/>
          <w:sz w:val="20"/>
        </w:rPr>
        <w:t xml:space="preserve"> attached hereto are referred to herein as the </w:t>
      </w:r>
      <w:r>
        <w:rPr>
          <w:rFonts w:ascii="Times New Roman" w:hAnsi="Times New Roman"/>
          <w:b/>
          <w:sz w:val="20"/>
        </w:rPr>
        <w:t>Domestic Subsidiaries</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is to confirm the agreement among the Issuers and the Underwriters concerning the several purchases of the Notes by the Underwriters.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 of the Issuers</w:t>
      </w:r>
      <w:r>
        <w:rPr>
          <w:rFonts w:ascii="Times New Roman" w:hAnsi="Times New Roman"/>
          <w:sz w:val="20"/>
        </w:rPr>
        <w:t xml:space="preserve">. The Issuers, jointly and severally, represent and warrant to the Underwriters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A registration statement on Form S-3 relating to the Notes (File No. 333-184137) (i) has been prepared by the Issuers in conformity with the requirements of the Securities Act of 1933, as amended (the </w:t>
      </w:r>
      <w:r>
        <w:rPr>
          <w:rFonts w:ascii="Times New Roman" w:hAnsi="Times New Roman"/>
          <w:b/>
          <w:sz w:val="20"/>
        </w:rPr>
        <w:t>Securities Act</w:t>
      </w:r>
      <w:r>
        <w:rPr>
          <w:rFonts w:ascii="Times New Roman" w:hAnsi="Times New Roman"/>
          <w:sz w:val="20"/>
        </w:rPr>
        <w:t>), and the rules and regulations (the </w:t>
      </w:r>
      <w:r>
        <w:rPr>
          <w:rFonts w:ascii="Times New Roman" w:hAnsi="Times New Roman"/>
          <w:b/>
          <w:sz w:val="20"/>
        </w:rPr>
        <w:t>Rules and Regulations</w:t>
      </w:r>
      <w:r>
        <w:rPr>
          <w:rFonts w:ascii="Times New Roman" w:hAnsi="Times New Roman"/>
          <w:sz w:val="20"/>
        </w:rPr>
        <w:t>) of the Securities and Exchange Commission (the </w:t>
      </w:r>
      <w:r>
        <w:rPr>
          <w:rFonts w:ascii="Times New Roman" w:hAnsi="Times New Roman"/>
          <w:b/>
          <w:sz w:val="20"/>
        </w:rPr>
        <w:t>Commission</w:t>
      </w:r>
      <w:r>
        <w:rPr>
          <w:rFonts w:ascii="Times New Roman" w:hAnsi="Times New Roman"/>
          <w:sz w:val="20"/>
        </w:rPr>
        <w:t xml:space="preserve">) thereunder; (ii) has been filed with the Commission under the Securities Act; and (iii) is effective under the Securities Act. Copies of such registration statement and any amendment thereto have been delivered by the Issuers to the Representatives. As used in this Agreement: </w:t>
      </w:r>
    </w:p>
    <w:p>
      <w:pPr>
        <w:pStyle w:val="TextBody"/>
        <w:spacing w:before="90" w:after="0"/>
        <w:rPr>
          <w:rFonts w:ascii="Times New Roman" w:hAnsi="Times New Roman"/>
          <w:sz w:val="20"/>
        </w:rPr>
      </w:pPr>
      <w:r>
        <w:rPr>
          <w:rFonts w:ascii="Times New Roman" w:hAnsi="Times New Roman"/>
          <w:sz w:val="20"/>
        </w:rPr>
        <w:t>(i) </w:t>
      </w:r>
      <w:r>
        <w:rPr>
          <w:rFonts w:ascii="Times New Roman" w:hAnsi="Times New Roman"/>
          <w:b/>
          <w:sz w:val="20"/>
        </w:rPr>
        <w:t>Applicable Time</w:t>
      </w:r>
      <w:r>
        <w:rPr>
          <w:rFonts w:ascii="Times New Roman" w:hAnsi="Times New Roman"/>
          <w:sz w:val="20"/>
        </w:rPr>
        <w:t xml:space="preserve"> means 2:15 p.m., New York City time, on August 8, 2013, which the Underwriters have informed the Issuers and their counsel is a time prior to the first sale of the Notes; </w:t>
      </w:r>
    </w:p>
    <w:p>
      <w:pPr>
        <w:pStyle w:val="TextBody"/>
        <w:spacing w:before="90" w:after="0"/>
        <w:rPr>
          <w:rFonts w:ascii="Times New Roman" w:hAnsi="Times New Roman"/>
          <w:sz w:val="20"/>
        </w:rPr>
      </w:pPr>
      <w:r>
        <w:rPr>
          <w:rFonts w:ascii="Times New Roman" w:hAnsi="Times New Roman"/>
          <w:sz w:val="20"/>
        </w:rPr>
        <w:t>(ii) </w:t>
      </w:r>
      <w:r>
        <w:rPr>
          <w:rFonts w:ascii="Times New Roman" w:hAnsi="Times New Roman"/>
          <w:b/>
          <w:sz w:val="20"/>
        </w:rPr>
        <w:t>Base Prospectus</w:t>
      </w:r>
      <w:r>
        <w:rPr>
          <w:rFonts w:ascii="Times New Roman" w:hAnsi="Times New Roman"/>
          <w:sz w:val="20"/>
        </w:rPr>
        <w:t xml:space="preserve"> means the base prospectus included in the Registration Statement at the Applicable Time. </w:t>
      </w:r>
    </w:p>
    <w:p>
      <w:pPr>
        <w:pStyle w:val="TextBody"/>
        <w:spacing w:before="90" w:after="0"/>
        <w:rPr>
          <w:rFonts w:ascii="Times New Roman" w:hAnsi="Times New Roman"/>
          <w:sz w:val="20"/>
        </w:rPr>
      </w:pPr>
      <w:r>
        <w:rPr>
          <w:rFonts w:ascii="Times New Roman" w:hAnsi="Times New Roman"/>
          <w:sz w:val="20"/>
        </w:rPr>
        <w:t>(iii) </w:t>
      </w:r>
      <w:r>
        <w:rPr>
          <w:rFonts w:ascii="Times New Roman" w:hAnsi="Times New Roman"/>
          <w:b/>
          <w:sz w:val="20"/>
        </w:rPr>
        <w:t>Effective Date</w:t>
      </w:r>
      <w:r>
        <w:rPr>
          <w:rFonts w:ascii="Times New Roman" w:hAnsi="Times New Roman"/>
          <w:sz w:val="20"/>
        </w:rPr>
        <w:t xml:space="preserve"> means any date as of which any part of such registration statement relating to the Notes became, or is deemed to have become, effective under the Securities Act in accordance with the Rules and Regulations; </w:t>
      </w:r>
    </w:p>
    <w:p>
      <w:pPr>
        <w:pStyle w:val="TextBody"/>
        <w:spacing w:before="90" w:after="0"/>
        <w:rPr>
          <w:rFonts w:ascii="Times New Roman" w:hAnsi="Times New Roman"/>
          <w:sz w:val="20"/>
        </w:rPr>
      </w:pPr>
      <w:r>
        <w:rPr>
          <w:rFonts w:ascii="Times New Roman" w:hAnsi="Times New Roman"/>
          <w:sz w:val="20"/>
        </w:rPr>
        <w:t>(iv) </w:t>
      </w:r>
      <w:r>
        <w:rPr>
          <w:rFonts w:ascii="Times New Roman" w:hAnsi="Times New Roman"/>
          <w:b/>
          <w:sz w:val="20"/>
        </w:rPr>
        <w:t>Issuer Free Writing Prospectus</w:t>
      </w:r>
      <w:r>
        <w:rPr>
          <w:rFonts w:ascii="Times New Roman" w:hAnsi="Times New Roman"/>
          <w:sz w:val="20"/>
        </w:rPr>
        <w:t xml:space="preserve">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 </w:t>
      </w:r>
    </w:p>
    <w:p>
      <w:pPr>
        <w:pStyle w:val="TextBody"/>
        <w:spacing w:before="90" w:after="0"/>
        <w:rPr>
          <w:rFonts w:ascii="Times New Roman" w:hAnsi="Times New Roman"/>
          <w:sz w:val="20"/>
        </w:rPr>
      </w:pPr>
      <w:r>
        <w:rPr>
          <w:rFonts w:ascii="Times New Roman" w:hAnsi="Times New Roman"/>
          <w:sz w:val="20"/>
        </w:rPr>
        <w:t>(v) </w:t>
      </w:r>
      <w:r>
        <w:rPr>
          <w:rFonts w:ascii="Times New Roman" w:hAnsi="Times New Roman"/>
          <w:b/>
          <w:sz w:val="20"/>
        </w:rPr>
        <w:t>Preliminary Prospectus</w:t>
      </w:r>
      <w:r>
        <w:rPr>
          <w:rFonts w:ascii="Times New Roman" w:hAnsi="Times New Roman"/>
          <w:sz w:val="20"/>
        </w:rPr>
        <w:t xml:space="preserve"> means any preliminary prospectus relating to the Notes included in such registration statement or filed with the Commission pursuant to Rule 424(b) of the Rules and Regulations, including the Base Prospectus and any preliminary prospectus supplement thereto relating to the Notes; </w:t>
      </w:r>
    </w:p>
    <w:p>
      <w:pPr>
        <w:pStyle w:val="TextBody"/>
        <w:spacing w:before="90" w:after="0"/>
        <w:rPr>
          <w:rFonts w:ascii="Times New Roman" w:hAnsi="Times New Roman"/>
          <w:sz w:val="20"/>
        </w:rPr>
      </w:pPr>
      <w:r>
        <w:rPr>
          <w:rFonts w:ascii="Times New Roman" w:hAnsi="Times New Roman"/>
          <w:sz w:val="20"/>
        </w:rPr>
        <w:t>(vi) </w:t>
      </w:r>
      <w:r>
        <w:rPr>
          <w:rFonts w:ascii="Times New Roman" w:hAnsi="Times New Roman"/>
          <w:b/>
          <w:sz w:val="20"/>
        </w:rPr>
        <w:t>Pricing Disclosure Package</w:t>
      </w:r>
      <w:r>
        <w:rPr>
          <w:rFonts w:ascii="Times New Roman" w:hAnsi="Times New Roman"/>
          <w:sz w:val="20"/>
        </w:rPr>
        <w:t xml:space="preserve"> means, as of the Applicable Time, (A) the most recent Preliminary Prospectus, (B) the Issuer Free Writing Prospectus attached as </w:t>
      </w:r>
      <w:r>
        <w:rPr>
          <w:rFonts w:ascii="Times New Roman" w:hAnsi="Times New Roman"/>
          <w:sz w:val="20"/>
          <w:u w:val="single"/>
        </w:rPr>
        <w:t>Schedule II</w:t>
      </w:r>
      <w:r>
        <w:rPr>
          <w:rFonts w:ascii="Times New Roman" w:hAnsi="Times New Roman"/>
          <w:sz w:val="20"/>
        </w:rPr>
        <w:t xml:space="preserve"> hereto and (C) each other Issuer Free Writing Prospectuses filed or used by the Partnership on or before the Applicable Time identified on </w:t>
      </w:r>
      <w:r>
        <w:rPr>
          <w:rFonts w:ascii="Times New Roman" w:hAnsi="Times New Roman"/>
          <w:sz w:val="20"/>
          <w:u w:val="single"/>
        </w:rPr>
        <w:t>Schedule II</w:t>
      </w:r>
      <w:r>
        <w:rPr>
          <w:rFonts w:ascii="Times New Roman" w:hAnsi="Times New Roman"/>
          <w:sz w:val="20"/>
        </w:rPr>
        <w:t xml:space="preserve"> hereto, other than a road show that is an Issuer Free Writing Prospectus under Rule 433 of the Rules and Regulations; </w:t>
      </w:r>
    </w:p>
    <w:p>
      <w:pPr>
        <w:pStyle w:val="TextBody"/>
        <w:spacing w:before="90" w:after="0"/>
        <w:rPr>
          <w:rFonts w:ascii="Times New Roman" w:hAnsi="Times New Roman"/>
          <w:sz w:val="20"/>
        </w:rPr>
      </w:pPr>
      <w:r>
        <w:rPr>
          <w:rFonts w:ascii="Times New Roman" w:hAnsi="Times New Roman"/>
          <w:sz w:val="20"/>
        </w:rPr>
        <w:t>(vii) </w:t>
      </w:r>
      <w:r>
        <w:rPr>
          <w:rFonts w:ascii="Times New Roman" w:hAnsi="Times New Roman"/>
          <w:b/>
          <w:sz w:val="20"/>
        </w:rPr>
        <w:t>Prospectus</w:t>
      </w:r>
      <w:r>
        <w:rPr>
          <w:rFonts w:ascii="Times New Roman" w:hAnsi="Times New Roman"/>
          <w:sz w:val="20"/>
        </w:rPr>
        <w:t xml:space="preserve"> means the final prospectus relating to the Notes, including the Base Prospectus and any prospectus supplement thereto relating to the Notes, as filed with the Commission pursuant to Rule 424(b) of the Rules and Regulations;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(viii) </w:t>
      </w:r>
      <w:r>
        <w:rPr>
          <w:rFonts w:ascii="Times New Roman" w:hAnsi="Times New Roman"/>
          <w:b/>
          <w:sz w:val="20"/>
        </w:rPr>
        <w:t>Registration Statement</w:t>
      </w:r>
      <w:r>
        <w:rPr>
          <w:rFonts w:ascii="Times New Roman" w:hAnsi="Times New Roman"/>
          <w:sz w:val="20"/>
        </w:rPr>
        <w:t xml:space="preserve"> means the registration statement on Form S-3 (File No. 333-184137), as amended as of the Effective Date, including any Preliminary Prospectus or the Prospectus and all exhibits to such registration statement. </w:t>
      </w:r>
    </w:p>
    <w:p>
      <w:pPr>
        <w:pStyle w:val="TextBody"/>
        <w:spacing w:before="90" w:after="0"/>
        <w:rPr>
          <w:rFonts w:ascii="Times New Roman" w:hAnsi="Times New Roman"/>
          <w:sz w:val="20"/>
        </w:rPr>
      </w:pPr>
      <w:r>
        <w:rPr>
          <w:rFonts w:ascii="Times New Roman" w:hAnsi="Times New Roman"/>
          <w:sz w:val="20"/>
        </w:rPr>
        <w:t>Any reference to the Registration Statement, any Preliminary Prospectus, the Pricing Disclosure Package or the Prospectus shall be deemed to refer to and include any documents incorporated by reference therein pursuant to Form S-3 under the Securities Act as of the date of such Registration Statement, Preliminary Prospectus or Prospectus, as the case may be, or in the case of the Pricing Disclosure Package, as of the Applicable Time. Any reference to the </w:t>
      </w:r>
      <w:r>
        <w:rPr>
          <w:rFonts w:ascii="Times New Roman" w:hAnsi="Times New Roman"/>
          <w:b/>
          <w:sz w:val="20"/>
        </w:rPr>
        <w:t>most recent Preliminary Prospectus</w:t>
      </w:r>
      <w:r>
        <w:rPr>
          <w:rFonts w:ascii="Times New Roman" w:hAnsi="Times New Roman"/>
          <w:sz w:val="20"/>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Times New Roman" w:hAnsi="Times New Roman"/>
          <w:b/>
          <w:sz w:val="20"/>
        </w:rPr>
        <w:t>Exchange Act</w:t>
      </w:r>
      <w:r>
        <w:rPr>
          <w:rFonts w:ascii="Times New Roman" w:hAnsi="Times New Roman"/>
          <w:sz w:val="20"/>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periodic report of the Partnership filed with the Commission pursuant to Section 13(a) or 15(d) of the Exchange Act after the Effective Date that is incorporated by reference in the Registration Statement. As used herein, the term </w:t>
      </w:r>
      <w:r>
        <w:rPr>
          <w:rFonts w:ascii="Times New Roman" w:hAnsi="Times New Roman"/>
          <w:b/>
          <w:sz w:val="20"/>
        </w:rPr>
        <w:t>Incorporated Documents</w:t>
      </w:r>
      <w:r>
        <w:rPr>
          <w:rFonts w:ascii="Times New Roman" w:hAnsi="Times New Roman"/>
          <w:sz w:val="20"/>
        </w:rPr>
        <w:t xml:space="preserve"> means the documents that at the time are incorporated by reference in the Registration Statement, the Preliminary Prospectus or the 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Form of Documents.</w:t>
      </w:r>
      <w:r>
        <w:rPr>
          <w:rFonts w:ascii="Times New Roman" w:hAnsi="Times New Roman"/>
          <w:sz w:val="20"/>
        </w:rPr>
        <w:t xml:space="preserve"> The Registration Statement conformed in all material respects on the Effective Date and on the 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and the Prospectus conform in all material respects to the requirements applicable to them under the Trust Indenture Act of 1939, as amended (the </w:t>
      </w:r>
      <w:r>
        <w:rPr>
          <w:rFonts w:ascii="Times New Roman" w:hAnsi="Times New Roman"/>
          <w:b/>
          <w:sz w:val="20"/>
        </w:rPr>
        <w:t>Trust Indenture Act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No Material Misstatements or Omissions in Registration Statement.</w:t>
      </w:r>
      <w:r>
        <w:rPr>
          <w:rFonts w:ascii="Times New Roman" w:hAnsi="Times New Roman"/>
          <w:sz w:val="20"/>
        </w:rPr>
        <w:t xml:space="preserve"> The Registration Statement did not, as of its most recent Effective Date, contain an untrue statement of a material fact or omit to state a material fact required to be stated therein or necessary to make the statements therein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No Material Misstatements or Omissions in Prospectus.</w:t>
      </w:r>
      <w:r>
        <w:rPr>
          <w:rFonts w:ascii="Times New Roman" w:hAnsi="Times New Roman"/>
          <w:sz w:val="20"/>
        </w:rPr>
        <w:t xml:space="preserve"> The Prospectus will not, as of its date and on the Delivery Date,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No Material Misstatements or Omissions in Documents Incorporated by Reference.</w:t>
      </w:r>
      <w:r>
        <w:rPr>
          <w:rFonts w:ascii="Times New Roman" w:hAnsi="Times New Roman"/>
          <w:sz w:val="20"/>
        </w:rPr>
        <w:t xml:space="preserve"> The Incorporated Documents, when filed with the Commission, did not and will not include an untrue statement of a material fact or omit to state a material fact necessary in order to make the statements therein, in the light of the circumstances under which they were made, not misleading.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No Material Misstatements or Omissions in Pricing Disclosure Package.</w:t>
      </w:r>
      <w:r>
        <w:rPr>
          <w:rFonts w:ascii="Times New Roman" w:hAnsi="Times New Roman"/>
          <w:sz w:val="20"/>
        </w:rPr>
        <w:t xml:space="preserve"> The Pricing Disclosure Package did not, as of the Applicable Time,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No Material Misstatements or Omissions in Issuer Free Writing Prospectus and Pricing Disclosure Package.</w:t>
      </w:r>
      <w:r>
        <w:rPr>
          <w:rFonts w:ascii="Times New Roman" w:hAnsi="Times New Roman"/>
          <w:sz w:val="20"/>
        </w:rPr>
        <w:t xml:space="preserve"> Each Issuer Free Writing Prospectus (including, without limitation, any road show that is a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Times New Roman" w:hAnsi="Times New Roman"/>
          <w:sz w:val="20"/>
          <w:u w:val="single"/>
        </w:rPr>
        <w:t>provided</w:t>
      </w:r>
      <w:r>
        <w:rPr>
          <w:rFonts w:ascii="Times New Roman" w:hAnsi="Times New Roman"/>
          <w:sz w:val="20"/>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Section 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w:t>
      </w:r>
      <w:r>
        <w:rPr>
          <w:rFonts w:ascii="Times New Roman" w:hAnsi="Times New Roman"/>
          <w:i/>
          <w:sz w:val="20"/>
        </w:rPr>
        <w:t>Issuer Free Writing Prospectuses Conform to the Requirements of the Securities Act.</w:t>
      </w:r>
      <w:r>
        <w:rPr>
          <w:rFonts w:ascii="Times New Roman" w:hAnsi="Times New Roman"/>
          <w:sz w:val="20"/>
        </w:rPr>
        <w:t xml:space="preserve"> Each Issuer Free Writing Prospectus 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Well-Known Seasoned Issuer and Not an Ineligible Issuer.</w:t>
      </w:r>
      <w:r>
        <w:rPr>
          <w:rFonts w:ascii="Times New Roman" w:hAnsi="Times New Roman"/>
          <w:sz w:val="20"/>
        </w:rPr>
        <w:t xml:space="preserve"> Each of the Issuers is a well-known seasoned issuer (as defined in Rule 405 of the Rules and Regulations).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Issuers, the GP Entities and the Material Subsidiaries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Times New Roman" w:hAnsi="Times New Roman"/>
          <w:sz w:val="20"/>
          <w:u w:val="single"/>
        </w:rPr>
        <w:t>Exhibit A</w:t>
      </w:r>
      <w:r>
        <w:rPr>
          <w:rFonts w:ascii="Times New Roman" w:hAnsi="Times New Roman"/>
          <w:sz w:val="20"/>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Times New Roman" w:hAnsi="Times New Roman"/>
          <w:b/>
          <w:sz w:val="20"/>
        </w:rPr>
        <w:t>Subsidiaries</w:t>
      </w:r>
      <w:r>
        <w:rPr>
          <w:rFonts w:ascii="Times New Roman" w:hAnsi="Times New Roman"/>
          <w:sz w:val="20"/>
        </w:rPr>
        <w:t>) and the Partnership (collectively, the </w:t>
      </w:r>
      <w:r>
        <w:rPr>
          <w:rFonts w:ascii="Times New Roman" w:hAnsi="Times New Roman"/>
          <w:b/>
          <w:sz w:val="20"/>
        </w:rPr>
        <w:t>Plains Entities</w:t>
      </w:r>
      <w:r>
        <w:rPr>
          <w:rFonts w:ascii="Times New Roman" w:hAnsi="Times New Roman"/>
          <w:sz w:val="20"/>
        </w:rPr>
        <w:t>), taken as a whole (a </w:t>
      </w:r>
      <w:r>
        <w:rPr>
          <w:rFonts w:ascii="Times New Roman" w:hAnsi="Times New Roman"/>
          <w:b/>
          <w:sz w:val="20"/>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General Partners.</w:t>
      </w:r>
      <w:r>
        <w:rPr>
          <w:rFonts w:ascii="Times New Roman" w:hAnsi="Times New Roman"/>
          <w:sz w:val="20"/>
        </w:rPr>
        <w:t xml:space="preserve">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Ownership of Interests in the Partnership, the General Partner and Plains AAP.</w:t>
      </w:r>
      <w:r>
        <w:rPr>
          <w:rFonts w:ascii="Times New Roman" w:hAnsi="Times New Roman"/>
          <w:sz w:val="20"/>
        </w:rPr>
        <w:t xml:space="preserve">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required under the Limited Liability Company Agreement of the General Partner (as the same may be amended or restated prior to the Delivery Date, such agreement being referred to herein as the </w:t>
      </w:r>
      <w:r>
        <w:rPr>
          <w:rFonts w:ascii="Times New Roman" w:hAnsi="Times New Roman"/>
          <w:b/>
          <w:sz w:val="20"/>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b/>
          <w:sz w:val="20"/>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b/>
          <w:sz w:val="20"/>
        </w:rPr>
        <w:t>Liens</w:t>
      </w:r>
      <w:r>
        <w:rPr>
          <w:rFonts w:ascii="Times New Roman" w:hAnsi="Times New Roman"/>
          <w:sz w:val="20"/>
        </w:rPr>
        <w:t xml:space="preserve">), except (i) as disclosed in the Pricing Disclosure Package and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Pricing Disclosure Package and the Prospectus to be conducted.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Ownership of the Material Subsidiaries.</w:t>
      </w:r>
      <w:r>
        <w:rPr>
          <w:rFonts w:ascii="Times New Roman" w:hAnsi="Times New Roman"/>
          <w:sz w:val="20"/>
        </w:rPr>
        <w:t xml:space="preserve"> 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Delivery Date) (the </w:t>
      </w:r>
      <w:r>
        <w:rPr>
          <w:rFonts w:ascii="Times New Roman" w:hAnsi="Times New Roman"/>
          <w:b/>
          <w:sz w:val="20"/>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b/>
          <w:sz w:val="20"/>
        </w:rPr>
        <w:t>Delaware LP Act</w:t>
      </w:r>
      <w:r>
        <w:rPr>
          <w:rFonts w:ascii="Times New Roman" w:hAnsi="Times New Roman"/>
          <w:sz w:val="20"/>
        </w:rPr>
        <w: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the portion of the limited partner interest in PAA Natural Gas Storage, L.P. (</w:t>
      </w:r>
      <w:r>
        <w:rPr>
          <w:rFonts w:ascii="Times New Roman" w:hAnsi="Times New Roman"/>
          <w:b/>
          <w:sz w:val="20"/>
        </w:rPr>
        <w:t>PNG</w:t>
      </w:r>
      <w:r>
        <w:rPr>
          <w:rFonts w:ascii="Times New Roman" w:hAnsi="Times New Roman"/>
          <w:sz w:val="20"/>
        </w:rPr>
        <w:t xml:space="preserve">) held by public or private investors, are owned, directly or indirectly, by the Partnership, free and clear of all Liens. The Subsidiaries other than the Material Subsidiaries would not have, individually or in the aggregate, accounted for (i) more than 10% of the total assets of the Plains Entities, taken as a whole, as of the most recent fiscal year end or (ii) more than 10% of the net income of the Plains Entities, taken as a whole, for the most recent fiscal year.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No Registration Rights.</w:t>
      </w:r>
      <w:r>
        <w:rPr>
          <w:rFonts w:ascii="Times New Roman" w:hAnsi="Times New Roman"/>
          <w:sz w:val="20"/>
        </w:rPr>
        <w:t xml:space="preserve"> The offering and sale of the Notes as contemplated by this Agreement do not give rise to any rights for or relating to the registration of any other securities of the Issuers, except such rights as have been waived or satisfied.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Conformity to Description of Notes.</w:t>
      </w:r>
      <w:r>
        <w:rPr>
          <w:rFonts w:ascii="Times New Roman" w:hAnsi="Times New Roman"/>
          <w:sz w:val="20"/>
        </w:rPr>
        <w:t xml:space="preserve"> The Notes, when issued and delivered against payment therefor as provided herein and in the Indenture, and the Indenture will conform in all material respects to the descriptions thereof contained in the Pricing Disclosure Package and the Prospectus (and any amendment or supplement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 </w:t>
      </w:r>
      <w:r>
        <w:rPr>
          <w:rFonts w:ascii="Times New Roman" w:hAnsi="Times New Roman"/>
          <w:i/>
          <w:sz w:val="20"/>
        </w:rPr>
        <w:t>Authority</w:t>
      </w:r>
      <w:r>
        <w:rPr>
          <w:rFonts w:ascii="Times New Roman" w:hAnsi="Times New Roman"/>
          <w:sz w:val="20"/>
        </w:rPr>
        <w:t xml:space="preserve">. Each of the Issuers has all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 All action required to be taken by the Issuers or its respective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Authorization, Execution and Delivery of this Agreement</w:t>
      </w:r>
      <w:r>
        <w:rPr>
          <w:rFonts w:ascii="Times New Roman" w:hAnsi="Times New Roman"/>
          <w:sz w:val="20"/>
        </w:rPr>
        <w:t xml:space="preserve">. This Agreement has been duly and validly authorized, executed and delivered by or on behalf of the Issuers.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Enforceability of the Indenture</w:t>
      </w:r>
      <w:r>
        <w:rPr>
          <w:rFonts w:ascii="Times New Roman" w:hAnsi="Times New Roman"/>
          <w:sz w:val="20"/>
        </w:rPr>
        <w:t xml:space="preserve">. The execution and delivery of, and the performance by each of the 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thereto by the Trustee, when the Supplemental Indenture is executed and delivered by each of the Issuers, will constitute the valid and legally binding agreement of each of the Issuers, enforceable against each of the Issuers in accordance with its terms; </w:t>
      </w:r>
      <w:r>
        <w:rPr>
          <w:rFonts w:ascii="Times New Roman" w:hAnsi="Times New Roman"/>
          <w:sz w:val="20"/>
          <w:u w:val="single"/>
        </w:rPr>
        <w:t>provided</w:t>
      </w:r>
      <w:r>
        <w:rPr>
          <w:rFonts w:ascii="Times New Roman" w:hAnsi="Times New Roman"/>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Valid Issuance of the Notes</w:t>
      </w:r>
      <w:r>
        <w:rPr>
          <w:rFonts w:ascii="Times New Roman" w:hAnsi="Times New Roman"/>
          <w:sz w:val="20"/>
        </w:rPr>
        <w:t xml:space="preserve">. The Notes have been duly authorized, and, when executed and authenticated in accordance with the 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Times New Roman" w:hAnsi="Times New Roman"/>
          <w:sz w:val="20"/>
          <w:u w:val="single"/>
        </w:rPr>
        <w:t>provided</w:t>
      </w:r>
      <w:r>
        <w:rPr>
          <w:rFonts w:ascii="Times New Roman" w:hAnsi="Times New Roman"/>
          <w:sz w:val="20"/>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Authorization, Execution and Enforceability of the Operating Agreements</w:t>
      </w:r>
      <w:r>
        <w:rPr>
          <w:rFonts w:ascii="Times New Roman" w:hAnsi="Times New Roman"/>
          <w:sz w:val="20"/>
        </w:rPr>
        <w:t xml:space="preserve">. The partnership agreement or limited liability company agreement, as applicable, of each of the Issuers,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(u) </w:t>
      </w:r>
      <w:r>
        <w:rPr>
          <w:rFonts w:ascii="Times New Roman" w:hAnsi="Times New Roman"/>
          <w:i/>
          <w:sz w:val="20"/>
        </w:rPr>
        <w:t>No Conflicts or Violations</w:t>
      </w:r>
      <w:r>
        <w:rPr>
          <w:rFonts w:ascii="Times New Roman" w:hAnsi="Times New Roman"/>
          <w:sz w:val="20"/>
        </w:rPr>
        <w:t xml:space="preserve">. None of (i) the offering, issuance and sale by the Issuers of the Notes, (ii) the execution, delivery and performance of this Agreement by each of the Issuers, (iii) the consummation of the transactions contemplated by this Agreement or (iv) the execution, delivery and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clauses (B), (C) or (D), would reasonably be expected to have a Material Adverse Effect or materially impair the ability of the Issuers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No Consents</w:t>
      </w:r>
      <w:r>
        <w:rPr>
          <w:rFonts w:ascii="Times New Roman" w:hAnsi="Times New Roman"/>
          <w:sz w:val="20"/>
        </w:rPr>
        <w:t>. No consent, approval, authorization, filing with or order of any court, governmental agency or body having 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(iii) the execution, delivery and performance of the Indenture by each of the Issuers or the consummation of the transactions contemplated thereby, except (A) such as have been obtained under the Securities Act, (B) such as may be required under the blue sky laws of any jurisdiction or the by-laws and rules of the Financial Industry Regulatory Authority, Inc. (</w:t>
      </w:r>
      <w:r>
        <w:rPr>
          <w:rFonts w:ascii="Times New Roman" w:hAnsi="Times New Roman"/>
          <w:b/>
          <w:sz w:val="20"/>
        </w:rPr>
        <w:t>FINRA</w:t>
      </w:r>
      <w:r>
        <w:rPr>
          <w:rFonts w:ascii="Times New Roman" w:hAnsi="Times New Roman"/>
          <w:sz w:val="20"/>
        </w:rPr>
        <w:t xml:space="preserve">) in connection with the purchase and distribution by the Underwriters of the Notes in the manner contemplated herein and in the Pricing Disclosure Package and the Prospectus and (C) such that the failure to obtain or make would not reasonably be expected to have a Material Adverse Effect or materially impair the ability of the Issuers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No Default</w:t>
      </w:r>
      <w:r>
        <w:rPr>
          <w:rFonts w:ascii="Times New Roman" w:hAnsi="Times New Roman"/>
          <w:sz w:val="20"/>
        </w:rPr>
        <w:t xml:space="preserve">. (i) None of the Issuers or the GP Entities or the Material Subsidiaries is in violation of its Organizational Documents 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either of the Issuers to perform its obligations under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 </w:t>
      </w:r>
      <w:r>
        <w:rPr>
          <w:rFonts w:ascii="Times New Roman" w:hAnsi="Times New Roman"/>
          <w:i/>
          <w:sz w:val="20"/>
        </w:rPr>
        <w:t>Independent Registered Public Accounting Firm.</w:t>
      </w:r>
      <w:r>
        <w:rPr>
          <w:rFonts w:ascii="Times New Roman" w:hAnsi="Times New Roman"/>
          <w:sz w:val="20"/>
        </w:rPr>
        <w:t xml:space="preserve"> PricewaterhouseCoopers LLP, which has certified certain audited financial statements included or incorporated by reference in the Registration Statement, the most recent Preliminary Prospectus and the Prospectus (and any amendment or supplement thereto), are an independent registered public accounting firm with respect to the GP Entities and the Partnership and its consolidated subsidiaries, as required by the Securities Act and the Rules and Regulations and the Public Company Accounting Oversight Board. </w:t>
      </w:r>
    </w:p>
    <w:p>
      <w:pPr>
        <w:pStyle w:val="TextBody"/>
        <w:spacing w:before="90" w:after="0"/>
        <w:rPr>
          <w:rFonts w:ascii="Times New Roman" w:hAnsi="Times New Roman"/>
          <w:sz w:val="20"/>
        </w:rPr>
      </w:pPr>
      <w:r>
        <w:rPr>
          <w:rFonts w:ascii="Times New Roman" w:hAnsi="Times New Roman"/>
          <w:sz w:val="20"/>
        </w:rPr>
        <w:t xml:space="preserve">(y) </w:t>
      </w:r>
      <w:r>
        <w:rPr>
          <w:rFonts w:ascii="Times New Roman" w:hAnsi="Times New Roman"/>
          <w:i/>
          <w:sz w:val="20"/>
        </w:rPr>
        <w:t>Financial Statements</w:t>
      </w:r>
      <w:r>
        <w:rPr>
          <w:rFonts w:ascii="Times New Roman" w:hAnsi="Times New Roman"/>
          <w:sz w:val="20"/>
        </w:rPr>
        <w:t xml:space="preserve">. At June 30, 2013, the Partnership had, on an as adjusted basis as indicated in the Prospectus (and any amendment or supplement thereto), an approximate total capitalization as set forth therein. The financial statements (including the related notes and supporting schedules) and other financial information included or incorporated by reference in the Registration Statement, the most recent Preliminary Prospectus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the most recent Preliminary Prospectus and the Prospectus (and any amendment or supplement thereto)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the most recent Preliminary Prospectus and the Prospectus (and any amendment or supplement thereto) are reasonable, and the adjustments used therein are appropriate to give effect to the transactions or circumstances referred to therein. No other financial statements or schedules of the Issuers are required by the Securities Act or the Exchange Act to be included in the Registration Statement, the most recent Preliminary Prospectus or the Prospectus.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No Material Adverse Change.</w:t>
      </w:r>
      <w:r>
        <w:rPr>
          <w:rFonts w:ascii="Times New Roman" w:hAnsi="Times New Roman"/>
          <w:sz w:val="20"/>
        </w:rPr>
        <w:t xml:space="preserve"> None of the Plains Entities or the GP Entities has sustained, since the date of the latest audited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Pricing Disclosure Package and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 in each case other than as set forth in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Required Disclosures and Descriptions.</w:t>
      </w:r>
      <w:r>
        <w:rPr>
          <w:rFonts w:ascii="Times New Roman" w:hAnsi="Times New Roman"/>
          <w:sz w:val="20"/>
        </w:rPr>
        <w:t xml:space="preserve"> There are no legal or governmental proceedings pending or, to the knowledge of the Issuers, threatened, against any of the Plains Entities or the GP Entities, or to which any of the Plains Entities or the GP Entities is a party, or to which any of their respective properties is subject, that are required to be described in the Registration Statement, the Pricing Disclosure Package or the Prospectus but are not described as required, and there are no agreements, contracts, indentures, leases or other instruments that are required to be described in the Registration Statement, the Pricing Disclosure Package or the Prospectus or to be filed as an exhibit to the Registration Statement that are not described or filed as required by the Securities Act or the Exchange Act.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Title to Properties</w:t>
      </w:r>
      <w:r>
        <w:rPr>
          <w:rFonts w:ascii="Times New Roman" w:hAnsi="Times New Roman"/>
          <w:sz w:val="20"/>
        </w:rPr>
        <w:t>. The Plains Entities, directly or indirectly, have good and indefeasible title to all real property and good title to all personal property described in the Pricing Disclosure Package and the Prospectus as being owned by them, free and clear of all Liens except (i) as provided in the Third Amended and Restated Credit Agreement dated August 19, 2011, as amended (the </w:t>
      </w:r>
      <w:r>
        <w:rPr>
          <w:rFonts w:ascii="Times New Roman" w:hAnsi="Times New Roman"/>
          <w:b/>
          <w:sz w:val="20"/>
        </w:rPr>
        <w:t>Hedged Inventory Facility</w:t>
      </w:r>
      <w:r>
        <w:rPr>
          <w:rFonts w:ascii="Times New Roman" w:hAnsi="Times New Roman"/>
          <w:sz w:val="20"/>
        </w:rPr>
        <w:t>), among Plains Marketing, L.P. (</w:t>
      </w:r>
      <w:r>
        <w:rPr>
          <w:rFonts w:ascii="Times New Roman" w:hAnsi="Times New Roman"/>
          <w:b/>
          <w:sz w:val="20"/>
        </w:rPr>
        <w:t>Plains Marketing</w:t>
      </w:r>
      <w:r>
        <w:rPr>
          <w:rFonts w:ascii="Times New Roman" w:hAnsi="Times New Roman"/>
          <w:sz w:val="20"/>
        </w:rPr>
        <w:t xml:space="preserve">), Bank of America, N.A., as administrative agent thereunder and the lenders from time to time party thereto, described in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(cc) </w:t>
      </w:r>
      <w:r>
        <w:rPr>
          <w:rFonts w:ascii="Times New Roman" w:hAnsi="Times New Roman"/>
          <w:i/>
          <w:sz w:val="20"/>
        </w:rPr>
        <w:t>Permits</w:t>
      </w:r>
      <w:r>
        <w:rPr>
          <w:rFonts w:ascii="Times New Roman" w:hAnsi="Times New Roman"/>
          <w:sz w:val="20"/>
        </w:rPr>
        <w:t>. Each of the Plains Entities, directly or indirectly, has such permits, consents, licenses, franchises, certificates and authorizations of governmental or regulatory authorities (</w:t>
      </w:r>
      <w:r>
        <w:rPr>
          <w:rFonts w:ascii="Times New Roman" w:hAnsi="Times New Roman"/>
          <w:b/>
          <w:sz w:val="20"/>
        </w:rPr>
        <w:t>Permits</w:t>
      </w:r>
      <w:r>
        <w:rPr>
          <w:rFonts w:ascii="Times New Roman" w:hAnsi="Times New Roman"/>
          <w:sz w:val="20"/>
        </w:rPr>
        <w:t xml:space="preserve">) as are necessary to own its properties and to conduct its business in the manner described in the Pricing Disclosure Package and the Prospectus, subject to such qualifications as may be set forth in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(dd) </w:t>
      </w:r>
      <w:r>
        <w:rPr>
          <w:rFonts w:ascii="Times New Roman" w:hAnsi="Times New Roman"/>
          <w:i/>
          <w:sz w:val="20"/>
        </w:rPr>
        <w:t>Rights-of-Way</w:t>
      </w:r>
      <w:r>
        <w:rPr>
          <w:rFonts w:ascii="Times New Roman" w:hAnsi="Times New Roman"/>
          <w:sz w:val="20"/>
        </w:rPr>
        <w:t>. Each of the Plains Entities, directly or indirectly, has such consents, easements, rights-of-way or licenses from any person (</w:t>
      </w:r>
      <w:r>
        <w:rPr>
          <w:rFonts w:ascii="Times New Roman" w:hAnsi="Times New Roman"/>
          <w:b/>
          <w:sz w:val="20"/>
        </w:rPr>
        <w:t>rights-of-way</w:t>
      </w:r>
      <w:r>
        <w:rPr>
          <w:rFonts w:ascii="Times New Roman" w:hAnsi="Times New Roman"/>
          <w:sz w:val="20"/>
        </w:rPr>
        <w:t xml:space="preserve">) as are necessary to conduct its business in the manner described in the Pricing Disclosure Package and the Prospectus, subject to such qualifications as may be set forth in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(ee) </w:t>
      </w:r>
      <w:r>
        <w:rPr>
          <w:rFonts w:ascii="Times New Roman" w:hAnsi="Times New Roman"/>
          <w:i/>
          <w:sz w:val="20"/>
        </w:rPr>
        <w:t>Investment Company</w:t>
      </w:r>
      <w:r>
        <w:rPr>
          <w:rFonts w:ascii="Times New Roman" w:hAnsi="Times New Roman"/>
          <w:sz w:val="20"/>
        </w:rPr>
        <w:t>.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b/>
          <w:sz w:val="20"/>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90" w:after="0"/>
        <w:rPr>
          <w:rFonts w:ascii="Times New Roman" w:hAnsi="Times New Roman"/>
          <w:sz w:val="20"/>
        </w:rPr>
      </w:pPr>
      <w:r>
        <w:rPr>
          <w:rFonts w:ascii="Times New Roman" w:hAnsi="Times New Roman"/>
          <w:sz w:val="20"/>
        </w:rPr>
        <w:t xml:space="preserve">(ff) </w:t>
      </w:r>
      <w:r>
        <w:rPr>
          <w:rFonts w:ascii="Times New Roman" w:hAnsi="Times New Roman"/>
          <w:i/>
          <w:sz w:val="20"/>
        </w:rPr>
        <w:t>Environmental Compliance.</w:t>
      </w:r>
      <w:r>
        <w:rPr>
          <w:rFonts w:ascii="Times New Roman" w:hAnsi="Times New Roman"/>
          <w:sz w:val="20"/>
        </w:rPr>
        <w:t xml:space="preserve"> Except as described in the Pricing Disclosure Package and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b/>
          <w:sz w:val="20"/>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Pricing Disclosure Package and the Prospectus or is violating any terms and conditions of any such permit, license or approval, which in each case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(gg) </w:t>
      </w:r>
      <w:r>
        <w:rPr>
          <w:rFonts w:ascii="Times New Roman" w:hAnsi="Times New Roman"/>
          <w:i/>
          <w:sz w:val="20"/>
        </w:rPr>
        <w:t>No Labor Disputes</w:t>
      </w:r>
      <w:r>
        <w:rPr>
          <w:rFonts w:ascii="Times New Roman" w:hAnsi="Times New Roman"/>
          <w:sz w:val="20"/>
        </w:rPr>
        <w:t xml:space="preserve">. No labor dispute with the employees of any of the Plains Entities or the GP Entities exists or, to the knowledge of the Issuers, is imminent, that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w:t>
      </w:r>
      <w:r>
        <w:rPr>
          <w:rFonts w:ascii="Times New Roman" w:hAnsi="Times New Roman"/>
          <w:i/>
          <w:sz w:val="20"/>
        </w:rPr>
        <w:t>No Legal Actions.</w:t>
      </w:r>
      <w:r>
        <w:rPr>
          <w:rFonts w:ascii="Times New Roman" w:hAnsi="Times New Roman"/>
          <w:sz w:val="20"/>
        </w:rPr>
        <w:t xml:space="preserve"> Except as described in the Pricing Disclosure Package and the Prospectus, there is (i) 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clauses (i) and (ii) above, would reasonably be expected to have, individually or in the aggregate, a Material Adverse Effect or prevent or result in the suspension of the offering and issuance of the Notes. </w:t>
      </w:r>
    </w:p>
    <w:p>
      <w:pPr>
        <w:pStyle w:val="TextBody"/>
        <w:spacing w:before="90" w:after="0"/>
        <w:rPr>
          <w:rFonts w:ascii="Times New Roman" w:hAnsi="Times New Roman"/>
          <w:sz w:val="20"/>
        </w:rPr>
      </w:pPr>
      <w:r>
        <w:rPr>
          <w:rFonts w:ascii="Times New Roman" w:hAnsi="Times New Roman"/>
          <w:sz w:val="20"/>
        </w:rPr>
        <w:t xml:space="preserve">(jj) </w:t>
      </w:r>
      <w:r>
        <w:rPr>
          <w:rFonts w:ascii="Times New Roman" w:hAnsi="Times New Roman"/>
          <w:i/>
          <w:sz w:val="20"/>
        </w:rPr>
        <w:t>Distribution Restrictions.</w:t>
      </w:r>
      <w:r>
        <w:rPr>
          <w:rFonts w:ascii="Times New Roman" w:hAnsi="Times New Roman"/>
          <w:sz w:val="20"/>
        </w:rPr>
        <w:t xml:space="preserve">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Pricing Disclosure Package and the Prospectus (exclusive of any amendment or supplement thereto), (ii) as provided in the Credit Agreement dated August 19, 2011 (the </w:t>
      </w:r>
      <w:r>
        <w:rPr>
          <w:rFonts w:ascii="Times New Roman" w:hAnsi="Times New Roman"/>
          <w:b/>
          <w:sz w:val="20"/>
        </w:rPr>
        <w:t>PNG Facility</w:t>
      </w:r>
      <w:r>
        <w:rPr>
          <w:rFonts w:ascii="Times New Roman" w:hAnsi="Times New Roman"/>
          <w:sz w:val="20"/>
        </w:rPr>
        <w:t xml:space="preserve">) among PNG, Bank of America, N.A. and the other lenders from time to time party thereto, as amended, (iii) such prohibitions mandated by the laws of each such Subsidiarys state of formation and the terms of any such Subsidiarys Organizational Documents and (iv) where such prohibition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(kk) </w:t>
      </w:r>
      <w:r>
        <w:rPr>
          <w:rFonts w:ascii="Times New Roman" w:hAnsi="Times New Roman"/>
          <w:i/>
          <w:sz w:val="20"/>
        </w:rPr>
        <w:t>No Distribution of Other Offering Materials.</w:t>
      </w:r>
      <w:r>
        <w:rPr>
          <w:rFonts w:ascii="Times New Roman" w:hAnsi="Times New Roman"/>
          <w:sz w:val="20"/>
        </w:rPr>
        <w:t xml:space="preserve"> None of the Plains Entities or the GP Entities has distributed and, prior to the later 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Section 1(h) of this Agreement, or other materials, if any, permitted by the Securities Act, including Rule 134 of the Rules and Regulations. </w:t>
      </w:r>
    </w:p>
    <w:p>
      <w:pPr>
        <w:pStyle w:val="TextBody"/>
        <w:spacing w:before="90" w:after="0"/>
        <w:rPr>
          <w:rFonts w:ascii="Times New Roman" w:hAnsi="Times New Roman"/>
          <w:sz w:val="20"/>
        </w:rPr>
      </w:pPr>
      <w:r>
        <w:rPr>
          <w:rFonts w:ascii="Times New Roman" w:hAnsi="Times New Roman"/>
          <w:sz w:val="20"/>
        </w:rPr>
        <w:t xml:space="preserve">(ll) </w:t>
      </w:r>
      <w:r>
        <w:rPr>
          <w:rFonts w:ascii="Times New Roman" w:hAnsi="Times New Roman"/>
          <w:i/>
          <w:sz w:val="20"/>
        </w:rPr>
        <w:t>Books and Records; Accounting Controls.</w:t>
      </w:r>
      <w:r>
        <w:rPr>
          <w:rFonts w:ascii="Times New Roman" w:hAnsi="Times New Roman"/>
          <w:sz w:val="20"/>
        </w:rPr>
        <w:t xml:space="preserve"> 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90" w:after="0"/>
        <w:rPr>
          <w:rFonts w:ascii="Times New Roman" w:hAnsi="Times New Roman"/>
          <w:sz w:val="20"/>
        </w:rPr>
      </w:pPr>
      <w:r>
        <w:rPr>
          <w:rFonts w:ascii="Times New Roman" w:hAnsi="Times New Roman"/>
          <w:sz w:val="20"/>
        </w:rPr>
        <w:t xml:space="preserve">(mm) </w:t>
      </w:r>
      <w:r>
        <w:rPr>
          <w:rFonts w:ascii="Times New Roman" w:hAnsi="Times New Roman"/>
          <w:i/>
          <w:sz w:val="20"/>
        </w:rPr>
        <w:t>Sarbanes-Oxley Act.</w:t>
      </w:r>
      <w:r>
        <w:rPr>
          <w:rFonts w:ascii="Times New Roman" w:hAnsi="Times New Roman"/>
          <w:sz w:val="20"/>
        </w:rPr>
        <w:t xml:space="preserve"> The Partnership and, to the knowledge of the Issuers,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(nn) </w:t>
      </w:r>
      <w:r>
        <w:rPr>
          <w:rFonts w:ascii="Times New Roman" w:hAnsi="Times New Roman"/>
          <w:i/>
          <w:sz w:val="20"/>
        </w:rPr>
        <w:t>Disclosure Controls</w:t>
      </w:r>
      <w:r>
        <w:rPr>
          <w:rFonts w:ascii="Times New Roman" w:hAnsi="Times New Roman"/>
          <w:sz w:val="20"/>
        </w:rPr>
        <w:t xml:space="preserve">.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90" w:after="0"/>
        <w:rPr>
          <w:rFonts w:ascii="Times New Roman" w:hAnsi="Times New Roman"/>
          <w:sz w:val="20"/>
        </w:rPr>
      </w:pPr>
      <w:r>
        <w:rPr>
          <w:rFonts w:ascii="Times New Roman" w:hAnsi="Times New Roman"/>
          <w:sz w:val="20"/>
        </w:rPr>
        <w:t xml:space="preserve">(oo) </w:t>
      </w:r>
      <w:r>
        <w:rPr>
          <w:rFonts w:ascii="Times New Roman" w:hAnsi="Times New Roman"/>
          <w:i/>
          <w:sz w:val="20"/>
        </w:rPr>
        <w:t>No Deficiency in Internal Controls</w:t>
      </w:r>
      <w:r>
        <w:rPr>
          <w:rFonts w:ascii="Times New Roman" w:hAnsi="Times New Roman"/>
          <w:sz w:val="20"/>
        </w:rPr>
        <w:t xml:space="preserve">. Based on the evaluation of its disclosure controls and procedures conducted in connection with the preparation and filing of the Partnerships Annual Report on Form 10-K for the most recent fiscal year end,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90" w:after="0"/>
        <w:rPr>
          <w:rFonts w:ascii="Times New Roman" w:hAnsi="Times New Roman"/>
          <w:sz w:val="20"/>
        </w:rPr>
      </w:pPr>
      <w:r>
        <w:rPr>
          <w:rFonts w:ascii="Times New Roman" w:hAnsi="Times New Roman"/>
          <w:sz w:val="20"/>
        </w:rPr>
        <w:t xml:space="preserve">(pp) </w:t>
      </w:r>
      <w:r>
        <w:rPr>
          <w:rFonts w:ascii="Times New Roman" w:hAnsi="Times New Roman"/>
          <w:i/>
          <w:sz w:val="20"/>
        </w:rPr>
        <w:t>FCPA</w:t>
      </w:r>
      <w:r>
        <w:rPr>
          <w:rFonts w:ascii="Times New Roman" w:hAnsi="Times New Roman"/>
          <w:sz w:val="20"/>
        </w:rPr>
        <w:t xml:space="preserve">. None of the Plains Entities or the GP Entities nor, to the knowledge of the Issuers,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90" w:after="0"/>
        <w:rPr>
          <w:rFonts w:ascii="Times New Roman" w:hAnsi="Times New Roman"/>
          <w:sz w:val="20"/>
        </w:rPr>
      </w:pPr>
      <w:r>
        <w:rPr>
          <w:rFonts w:ascii="Times New Roman" w:hAnsi="Times New Roman"/>
          <w:sz w:val="20"/>
        </w:rPr>
        <w:t xml:space="preserve">(qq) </w:t>
      </w:r>
      <w:r>
        <w:rPr>
          <w:rFonts w:ascii="Times New Roman" w:hAnsi="Times New Roman"/>
          <w:i/>
          <w:sz w:val="20"/>
        </w:rPr>
        <w:t>Money Laundering Laws</w:t>
      </w:r>
      <w:r>
        <w:rPr>
          <w:rFonts w:ascii="Times New Roman" w:hAnsi="Times New Roman"/>
          <w:sz w:val="20"/>
        </w:rPr>
        <w:t xml:space="preserve">. No action, suit or proceeding by or before any court or governmental agency, authority or body or any arbitrator involving the Plains Entities or the GP Entities that involve allegations of money laundering is pending or, to the knowledge of the Issuers, threatened. </w:t>
      </w:r>
    </w:p>
    <w:p>
      <w:pPr>
        <w:pStyle w:val="TextBody"/>
        <w:spacing w:before="90" w:after="0"/>
        <w:rPr>
          <w:rFonts w:ascii="Times New Roman" w:hAnsi="Times New Roman"/>
          <w:sz w:val="20"/>
        </w:rPr>
      </w:pPr>
      <w:r>
        <w:rPr>
          <w:rFonts w:ascii="Times New Roman" w:hAnsi="Times New Roman"/>
          <w:sz w:val="20"/>
        </w:rPr>
        <w:t xml:space="preserve">(rr) </w:t>
      </w:r>
      <w:r>
        <w:rPr>
          <w:rFonts w:ascii="Times New Roman" w:hAnsi="Times New Roman"/>
          <w:i/>
          <w:sz w:val="20"/>
        </w:rPr>
        <w:t>OFAC</w:t>
      </w:r>
      <w:r>
        <w:rPr>
          <w:rFonts w:ascii="Times New Roman" w:hAnsi="Times New Roman"/>
          <w:sz w:val="20"/>
        </w:rPr>
        <w:t xml:space="preserve">. None of the Plains Entities or the GP Entities nor, to the knowledge of the Issuers,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90" w:after="0"/>
        <w:rPr>
          <w:rFonts w:ascii="Times New Roman" w:hAnsi="Times New Roman"/>
          <w:sz w:val="20"/>
        </w:rPr>
      </w:pPr>
      <w:r>
        <w:rPr>
          <w:rFonts w:ascii="Times New Roman" w:hAnsi="Times New Roman"/>
          <w:sz w:val="20"/>
        </w:rPr>
        <w:t xml:space="preserve">(ss)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applicable statements made in the certificates described in Sections 7(j) and 7(n) shall be deemed representations and warranties by the Issuers, as to matters covered thereby, to the Underwriters. </w:t>
      </w:r>
    </w:p>
    <w:p>
      <w:pPr>
        <w:pStyle w:val="TextBody"/>
        <w:spacing w:before="9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Purchase and Sale</w:t>
      </w:r>
      <w:r>
        <w:rPr>
          <w:rFonts w:ascii="Times New Roman" w:hAnsi="Times New Roman"/>
          <w:sz w:val="20"/>
        </w:rPr>
        <w:t xml:space="preserve">. Subject to the terms and conditions and in reliance upon the representations and warranties herein set forth, the Issuers agree to sell to each Underwriter, and each Underwriter agrees, severally and not jointly, to purchase from the Issuers the principal amount of Notes set forth opposite such Underwriters name on </w:t>
      </w:r>
      <w:r>
        <w:rPr>
          <w:rFonts w:ascii="Times New Roman" w:hAnsi="Times New Roman"/>
          <w:sz w:val="20"/>
          <w:u w:val="single"/>
        </w:rPr>
        <w:t>Schedule I</w:t>
      </w:r>
      <w:r>
        <w:rPr>
          <w:rFonts w:ascii="Times New Roman" w:hAnsi="Times New Roman"/>
          <w:sz w:val="20"/>
        </w:rPr>
        <w:t xml:space="preserve"> hereto at a purchase price of 99.142% of the principal amount thereof, plus accrued interest, if any, from the Delivery Date. </w:t>
      </w:r>
    </w:p>
    <w:p>
      <w:pPr>
        <w:pStyle w:val="TextBody"/>
        <w:spacing w:before="9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Delivery and Payment</w:t>
      </w:r>
      <w:r>
        <w:rPr>
          <w:rFonts w:ascii="Times New Roman" w:hAnsi="Times New Roman"/>
          <w:sz w:val="20"/>
        </w:rPr>
        <w:t>. Delivery of and payment for the Notes shall be made at the office of Vinson &amp; Elkins L.L.P., 1001 Fannin, Houston, Texas 77002 at 9:00 a.m., Houston time, on August 15, 2013, or at such time on such later date not more than three business days after the foregoing date as the Representatives shall designate, which date and time may be postponed by agreement between the Representatives and the Issuers or as provided in Section 9 hereof (such date and time of delivery and payment for the Notes being herein called the </w:t>
      </w:r>
      <w:r>
        <w:rPr>
          <w:rFonts w:ascii="Times New Roman" w:hAnsi="Times New Roman"/>
          <w:b/>
          <w:sz w:val="20"/>
        </w:rPr>
        <w:t>Delivery Date</w:t>
      </w:r>
      <w:r>
        <w:rPr>
          <w:rFonts w:ascii="Times New Roman" w:hAnsi="Times New Roman"/>
          <w:sz w:val="20"/>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Times New Roman" w:hAnsi="Times New Roman"/>
          <w:b/>
          <w:sz w:val="20"/>
        </w:rPr>
        <w:t>DTC</w:t>
      </w:r>
      <w:r>
        <w:rPr>
          <w:rFonts w:ascii="Times New Roman" w:hAnsi="Times New Roman"/>
          <w:sz w:val="20"/>
        </w:rPr>
        <w:t>). Concurrently, the Issuers shall deliver to the Trustee, as custodian for DTC, one or more global notes representing the Notes (collectively, the </w:t>
      </w:r>
      <w:r>
        <w:rPr>
          <w:rFonts w:ascii="Times New Roman" w:hAnsi="Times New Roman"/>
          <w:b/>
          <w:sz w:val="20"/>
        </w:rPr>
        <w:t>Global Notes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Offering by the Underwriters</w:t>
      </w:r>
      <w:r>
        <w:rPr>
          <w:rFonts w:ascii="Times New Roman" w:hAnsi="Times New Roman"/>
          <w:sz w:val="20"/>
        </w:rPr>
        <w:t xml:space="preserve">. It is understood that the several Underwriters propose to offer the Notes for sale to the public as set forth in the Prospectus. </w:t>
      </w:r>
    </w:p>
    <w:p>
      <w:pPr>
        <w:pStyle w:val="TextBody"/>
        <w:spacing w:before="9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Agreements of the Issuers</w:t>
      </w:r>
      <w:r>
        <w:rPr>
          <w:rFonts w:ascii="Times New Roman" w:hAnsi="Times New Roman"/>
          <w:sz w:val="20"/>
        </w:rPr>
        <w:t xml:space="preserve">. Each of the Issuers, jointly and severally, acknowledges and agrees with the Underwriters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Post-Effective Amendments.</w:t>
      </w:r>
      <w:r>
        <w:rPr>
          <w:rFonts w:ascii="Times New Roman" w:hAnsi="Times New Roman"/>
          <w:sz w:val="20"/>
        </w:rPr>
        <w:t xml:space="preserve"> If, at the Applicable Time, it is necessary for a post-effective amendment to the Registration 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Preparation of Prospectus and Registration Statement.</w:t>
      </w:r>
      <w:r>
        <w:rPr>
          <w:rFonts w:ascii="Times New Roman" w:hAnsi="Times New Roman"/>
          <w:sz w:val="20"/>
        </w:rPr>
        <w:t xml:space="preserve"> The Issuers will advise the Representatives promptly and, if requested 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Entities, taken as a whole, or of the happening of any event that makes any statement of a material fact made in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Final Term Sheet and Issuer Free Writing Prospectuses.</w:t>
      </w:r>
      <w:r>
        <w:rPr>
          <w:rFonts w:ascii="Times New Roman" w:hAnsi="Times New Roman"/>
          <w:sz w:val="20"/>
        </w:rPr>
        <w:t xml:space="preserve"> The Issuers agree to (i) prepare a final term sheet, containing a description of the final terms of the Notes and the offering thereof, in the form approved by the Representatives and attached as </w:t>
      </w:r>
      <w:r>
        <w:rPr>
          <w:rFonts w:ascii="Times New Roman" w:hAnsi="Times New Roman"/>
          <w:sz w:val="20"/>
          <w:u w:val="single"/>
        </w:rPr>
        <w:t>Schedule II</w:t>
      </w:r>
      <w:r>
        <w:rPr>
          <w:rFonts w:ascii="Times New Roman" w:hAnsi="Times New Roman"/>
          <w:sz w:val="20"/>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Copies of Registration Statement.</w:t>
      </w:r>
      <w:r>
        <w:rPr>
          <w:rFonts w:ascii="Times New Roman" w:hAnsi="Times New Roman"/>
          <w:sz w:val="20"/>
        </w:rPr>
        <w:t xml:space="preserve"> The Issuers will furnish to the Underwriters, without charge, (i) one copy of the manually signed copy of the registration statement corresponding to the Commissions electronic data gathering, analysis and retrieval system (</w:t>
      </w:r>
      <w:r>
        <w:rPr>
          <w:rFonts w:ascii="Times New Roman" w:hAnsi="Times New Roman"/>
          <w:b/>
          <w:sz w:val="20"/>
        </w:rPr>
        <w:t>EDGAR</w:t>
      </w:r>
      <w:r>
        <w:rPr>
          <w:rFonts w:ascii="Times New Roman" w:hAnsi="Times New Roman"/>
          <w:sz w:val="20"/>
        </w:rPr>
        <w:t xml:space="preserve">)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the Underwriters or the Underwriters counsel may reasonably request, (iii) such number of copies of the Incorporated Documents, without exhibits, as the Underwriters may request, and (iv) such number of copies of the exhibits to the Incorporated Documents as the Underwriters may request.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Filing of Amendment or Supplement.</w:t>
      </w:r>
      <w:r>
        <w:rPr>
          <w:rFonts w:ascii="Times New Roman" w:hAnsi="Times New Roman"/>
          <w:sz w:val="20"/>
        </w:rPr>
        <w:t xml:space="preserve"> For such period as in the opinion of counsel for the Underwriters a prospectus is required by the Securities Act to be delivered in connection with sales by any Underwriter or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 </w:t>
      </w:r>
      <w:r>
        <w:rPr>
          <w:rFonts w:ascii="Times New Roman" w:hAnsi="Times New Roman"/>
          <w:i/>
          <w:sz w:val="20"/>
        </w:rPr>
        <w:t>Copies of Documents to the Underwriters</w:t>
      </w:r>
      <w:r>
        <w:rPr>
          <w:rFonts w:ascii="Times New Roman" w:hAnsi="Times New Roman"/>
          <w:sz w:val="20"/>
        </w:rPr>
        <w:t xml:space="preserve">. As soon after the Applicable Time as possible and thereafter from time to time for such period as in the opinion of counsel for the Underwriters a prospectus is required by the Securities Act to be delivered in connection with sales by any Underwriter or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provided that a prospectus is required by the Securities Act to be delivered in connection with sales of Notes by any Underwriter or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paragraph (e) above, file with the Commission an appropriate supplement or amendment thereto (or to such document), and will expeditiously furnish to the Underwriters and dealers a reasonable number of copies thereof; provided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Blue Sky Laws</w:t>
      </w:r>
      <w:r>
        <w:rPr>
          <w:rFonts w:ascii="Times New Roman" w:hAnsi="Times New Roman"/>
          <w:sz w:val="20"/>
        </w:rPr>
        <w:t xml:space="preserve">. The Issuers will cooperate with the Representatives and with counsel for the Underwriters in connection with the 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Times New Roman" w:hAnsi="Times New Roman"/>
          <w:sz w:val="20"/>
          <w:u w:val="single"/>
        </w:rPr>
        <w:t>provided</w:t>
      </w:r>
      <w:r>
        <w:rPr>
          <w:rFonts w:ascii="Times New Roman" w:hAnsi="Times New Roman"/>
          <w:sz w:val="20"/>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(h) </w:t>
      </w:r>
      <w:r>
        <w:rPr>
          <w:rFonts w:ascii="Times New Roman" w:hAnsi="Times New Roman"/>
          <w:i/>
          <w:sz w:val="20"/>
        </w:rPr>
        <w:t>Reports to Security Holders</w:t>
      </w:r>
      <w:r>
        <w:rPr>
          <w:rFonts w:ascii="Times New Roman" w:hAnsi="Times New Roman"/>
          <w:sz w:val="20"/>
        </w:rPr>
        <w:t xml:space="preserve">. In accordance with Section 11(a) of the Securities Act and Rule 158 of the Rules and Regulations, 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Copies of Reports</w:t>
      </w:r>
      <w:r>
        <w:rPr>
          <w:rFonts w:ascii="Times New Roman" w:hAnsi="Times New Roman"/>
          <w:sz w:val="20"/>
        </w:rPr>
        <w:t xml:space="preserve">. Unless otherwise available on EDGAR, during the period of two years hereafter, the Issuers will furnish or 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Termination Expenses</w:t>
      </w:r>
      <w:r>
        <w:rPr>
          <w:rFonts w:ascii="Times New Roman" w:hAnsi="Times New Roman"/>
          <w:sz w:val="20"/>
        </w:rPr>
        <w:t xml:space="preserve">. If this Agreement shall terminate or shall be terminated after execution pursuant to any provisions hereof (otherwise than pursuant to Section 9 hereof or Section 10 hereof (except pursuant to the first clause of Section 10(i)))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Application of Proceeds</w:t>
      </w:r>
      <w:r>
        <w:rPr>
          <w:rFonts w:ascii="Times New Roman" w:hAnsi="Times New Roman"/>
          <w:sz w:val="20"/>
        </w:rPr>
        <w:t xml:space="preserve">. The Issuers will apply the net proceeds from the sale of the Notes in accordance with the description set forth under the caption Use of Proceeds in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Filing of Prospectus</w:t>
      </w:r>
      <w:r>
        <w:rPr>
          <w:rFonts w:ascii="Times New Roman" w:hAnsi="Times New Roman"/>
          <w:sz w:val="20"/>
        </w:rPr>
        <w:t xml:space="preserve">. The Issuers will timely file the Prospectus, and any amendment or supplement thereto, pursuant to Rule 424(b) of the Rules and Regulations and will advise the Underwriters of the time and manner of such filing.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Stabilization</w:t>
      </w:r>
      <w:r>
        <w:rPr>
          <w:rFonts w:ascii="Times New Roman" w:hAnsi="Times New Roman"/>
          <w:sz w:val="20"/>
        </w:rPr>
        <w:t xml:space="preserve">. Except as stated in this Agreement and the Prospectus, neither of the Issuers has taken, or will take, directly or indirectly, any action designed to or that might reasonably be expected to cause or result in stabilization or manipulation of the price of any security of the Issuers to facilitate the sale or resale of the Notes.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Investment Company</w:t>
      </w:r>
      <w:r>
        <w:rPr>
          <w:rFonts w:ascii="Times New Roman" w:hAnsi="Times New Roman"/>
          <w:sz w:val="20"/>
        </w:rPr>
        <w:t xml:space="preserve">. The Issuers will take such steps as shall be necessary to ensure that none of the Plains Entities or the GP Entities shall become an investment company within the meaning of such term under the Investment Company Act and the rules and regulations of the Commission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 </w:t>
      </w:r>
      <w:r>
        <w:rPr>
          <w:rFonts w:ascii="Times New Roman" w:hAnsi="Times New Roman"/>
          <w:i/>
          <w:sz w:val="20"/>
        </w:rPr>
        <w:t>Exchange Act Reports.</w:t>
      </w:r>
      <w:r>
        <w:rPr>
          <w:rFonts w:ascii="Times New Roman" w:hAnsi="Times New Roman"/>
          <w:sz w:val="20"/>
        </w:rPr>
        <w:t xml:space="preserve"> The Issuers, during the period when the Prospectus is required to be delivered under the Securities Act, will file all documents required to be filed with the Commission pursuant to the Exchange Act within the time periods required by the Exchange Act.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Free Writing Prospectuses.</w:t>
      </w:r>
      <w:r>
        <w:rPr>
          <w:rFonts w:ascii="Times New Roman" w:hAnsi="Times New Roman"/>
          <w:sz w:val="20"/>
        </w:rPr>
        <w:t xml:space="preserve"> The Issuers have complied and will comply with the requirements of Rule 433 of the Rules and Regulations applicable to any Issuer Free Writing Prospectus, including appropriate legending and timely filing with the Commission or retention where required. The Issuers represent that they have satisfied and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Section 12.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Clear Market</w:t>
      </w:r>
      <w:r>
        <w:rPr>
          <w:rFonts w:ascii="Times New Roman" w:hAnsi="Times New Roman"/>
          <w:sz w:val="20"/>
        </w:rPr>
        <w:t xml:space="preserve">. During the period from the date hereof through and including the business day following the Delivery Date, the Issuers will not, without the prior written consent of the Representatives, offer, sell, contract to sell or otherwise dispose of any debt securities issued or guaranteed by the Issuers and having a tenor of more than one year. </w:t>
      </w:r>
    </w:p>
    <w:p>
      <w:pPr>
        <w:pStyle w:val="TextBody"/>
        <w:spacing w:before="9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Each of the Issuers, jointly and severally, agrees to indemnify and hold harmless each Underwriter, the directors, officers, employees and agents of each Underwriter, each affiliate of any Underwriter who has participated in the distribution of the Notes as underwriters, each broker-dealer affiliate of any Underwriter and each other affiliate of any Underwriter within the meaning of Rule 405 of the Rules and Regulations,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amendment or supplement thereto or in any road show (as defined in Rule 433 of the Rules and Regulations) not constituting an Issuer Free Writing Prospectus (a </w:t>
      </w:r>
      <w:r>
        <w:rPr>
          <w:rFonts w:ascii="Times New Roman" w:hAnsi="Times New Roman"/>
          <w:b/>
          <w:sz w:val="20"/>
        </w:rPr>
        <w:t>Non-Prospectus Road Show</w:t>
      </w:r>
      <w:r>
        <w:rPr>
          <w:rFonts w:ascii="Times New Roman" w:hAnsi="Times New Roman"/>
          <w:sz w:val="20"/>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Section 12. The foregoing indemnity agreement is in addition to any liability that the Issuers may otherwise have to any Underwriter or to any director, officer, employee or controlling person of that Underwriter. </w:t>
      </w:r>
    </w:p>
    <w:p>
      <w:pPr>
        <w:pStyle w:val="TextBody"/>
        <w:spacing w:before="90" w:after="0"/>
        <w:rPr>
          <w:rFonts w:ascii="Times New Roman" w:hAnsi="Times New Roman"/>
          <w:sz w:val="20"/>
        </w:rPr>
      </w:pPr>
      <w:r>
        <w:rPr>
          <w:rFonts w:ascii="Times New Roman" w:hAnsi="Times New Roman"/>
          <w:sz w:val="20"/>
        </w:rPr>
        <w:t xml:space="preserve">(b) 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90" w:after="0"/>
        <w:rPr>
          <w:rFonts w:ascii="Times New Roman" w:hAnsi="Times New Roman"/>
          <w:sz w:val="20"/>
        </w:rPr>
      </w:pPr>
      <w:r>
        <w:rPr>
          <w:rFonts w:ascii="Times New Roman" w:hAnsi="Times New Roman"/>
          <w:sz w:val="20"/>
        </w:rPr>
        <w:t xml:space="preserve">(c) Each Underwriter agrees, severally and not jointly, to indemnify and hold harmless the Issuers, GP LLCs directors and the officers who sign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Section 12.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paragraph (c), such Underwriter shall have the rights and duties given to the Issuers by paragraph (b)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paragraph (b) above. The foregoing indemnity agreement shall be in addition to any liability that the Underwriters may otherwise have. </w:t>
      </w:r>
    </w:p>
    <w:p>
      <w:pPr>
        <w:pStyle w:val="TextBody"/>
        <w:spacing w:before="90" w:after="0"/>
        <w:rPr>
          <w:rFonts w:ascii="Times New Roman" w:hAnsi="Times New Roman"/>
          <w:sz w:val="20"/>
        </w:rPr>
      </w:pPr>
      <w:r>
        <w:rPr>
          <w:rFonts w:ascii="Times New Roman" w:hAnsi="Times New Roman"/>
          <w:sz w:val="20"/>
        </w:rPr>
        <w:t xml:space="preserve">(d) If the indemnification provided for in this Section 6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clause (i) above is not permitted by applicable law, in such proportion as is appropriate to reflect not only the relative benefits referred to in clause (i)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 </w:t>
      </w:r>
    </w:p>
    <w:p>
      <w:pPr>
        <w:pStyle w:val="TextBody"/>
        <w:spacing w:before="90" w:after="0"/>
        <w:rPr>
          <w:rFonts w:ascii="Times New Roman" w:hAnsi="Times New Roman"/>
          <w:sz w:val="20"/>
        </w:rPr>
      </w:pPr>
      <w:r>
        <w:rPr>
          <w:rFonts w:ascii="Times New Roman" w:hAnsi="Times New Roman"/>
          <w:sz w:val="20"/>
        </w:rPr>
        <w:t xml:space="preserve">(e) The Issuers and the Underwriters agree that it would not be just and equitable if contribution pursuant to this Section 6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6,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6 are several and not joint. </w:t>
      </w:r>
    </w:p>
    <w:p>
      <w:pPr>
        <w:pStyle w:val="TextBody"/>
        <w:spacing w:before="9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9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6 shall be paid by the indemnifying party to the indemnified party as such losses, claims, damages, liabilities or expenses are incurred. The indemnity and contribution agreements contained in this Section 6 and the covenants, representations and warranties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Issuers set forth in this Agreement shall remain operative and in full force and effect, regardless of (i) any investigation made by or on behalf of any Underwriter or any person controlling any Underwriter or the Issuers, GP LLC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or any of their respective directors or officers or any person controlling an Issuer shall be entitled to the benefits of the indemnity, contribution and reimbursement agreements contained in this Section 6. </w:t>
      </w:r>
    </w:p>
    <w:p>
      <w:pPr>
        <w:pStyle w:val="TextBody"/>
        <w:spacing w:before="9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Conditions to the Obligations of the Underwriters</w:t>
      </w:r>
      <w:r>
        <w:rPr>
          <w:rFonts w:ascii="Times New Roman" w:hAnsi="Times New Roman"/>
          <w:sz w:val="20"/>
        </w:rPr>
        <w:t xml:space="preserve">. The several obligations of the Underwriters to purchase the Notes are subject to the following conditions: </w:t>
      </w:r>
    </w:p>
    <w:p>
      <w:pPr>
        <w:pStyle w:val="TextBody"/>
        <w:spacing w:before="90" w:after="0"/>
        <w:rPr>
          <w:rFonts w:ascii="Times New Roman" w:hAnsi="Times New Roman"/>
          <w:sz w:val="20"/>
        </w:rPr>
      </w:pPr>
      <w:r>
        <w:rPr>
          <w:rFonts w:ascii="Times New Roman" w:hAnsi="Times New Roman"/>
          <w:sz w:val="20"/>
        </w:rPr>
        <w:t xml:space="preserve">(a) 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 </w:t>
      </w:r>
    </w:p>
    <w:p>
      <w:pPr>
        <w:pStyle w:val="TextBody"/>
        <w:spacing w:before="90" w:after="0"/>
        <w:rPr>
          <w:rFonts w:ascii="Times New Roman" w:hAnsi="Times New Roman"/>
          <w:sz w:val="20"/>
        </w:rPr>
      </w:pPr>
      <w:r>
        <w:rPr>
          <w:rFonts w:ascii="Times New Roman" w:hAnsi="Times New Roman"/>
          <w:sz w:val="20"/>
        </w:rPr>
        <w:t xml:space="preserve">(b) 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 </w:t>
      </w:r>
    </w:p>
    <w:p>
      <w:pPr>
        <w:pStyle w:val="TextBody"/>
        <w:spacing w:before="90" w:after="0"/>
        <w:rPr>
          <w:rFonts w:ascii="Times New Roman" w:hAnsi="Times New Roman"/>
          <w:sz w:val="20"/>
        </w:rPr>
      </w:pPr>
      <w:r>
        <w:rPr>
          <w:rFonts w:ascii="Times New Roman" w:hAnsi="Times New Roman"/>
          <w:sz w:val="20"/>
        </w:rPr>
        <w:t xml:space="preserve">(c) The Representatives shall have received an opinion of Vinson &amp; Elkins L.L.P., counsel for the Issuers,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Each of the Issuers, the GP Entities and the Domestic Subsidiaries has been duly formed or incorporated and is validly existing in good standing as a limited partnership, limited liability company or corporation 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90" w:after="0"/>
        <w:rPr>
          <w:rFonts w:ascii="Times New Roman" w:hAnsi="Times New Roman"/>
          <w:sz w:val="20"/>
        </w:rPr>
      </w:pPr>
      <w:r>
        <w:rPr>
          <w:rFonts w:ascii="Times New Roman" w:hAnsi="Times New Roman"/>
          <w:sz w:val="20"/>
        </w:rPr>
        <w:t xml:space="preserve">(ii) Each Domestic Subsidiary or GP Entity that serves as a general partner of another Domestic Subsidiary or GP Entity has full corporate or limited liability company power and authority, as the case may be, to serve as general partner of such Domestic Subsidiary or GP Entity, in each case in all material respects. </w:t>
      </w:r>
    </w:p>
    <w:p>
      <w:pPr>
        <w:pStyle w:val="TextBody"/>
        <w:spacing w:before="90" w:after="0"/>
        <w:rPr>
          <w:rFonts w:ascii="Times New Roman" w:hAnsi="Times New Roman"/>
          <w:sz w:val="20"/>
        </w:rPr>
      </w:pPr>
      <w:r>
        <w:rPr>
          <w:rFonts w:ascii="Times New Roman" w:hAnsi="Times New Roman"/>
          <w:sz w:val="20"/>
        </w:rPr>
        <w:t xml:space="preserve">(iii) The GP Entities hold the general partner and membership interests described in the Registration Statement;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90" w:after="0"/>
        <w:rPr>
          <w:rFonts w:ascii="Times New Roman" w:hAnsi="Times New Roman"/>
          <w:sz w:val="20"/>
        </w:rPr>
      </w:pPr>
      <w:r>
        <w:rPr>
          <w:rFonts w:ascii="Times New Roman" w:hAnsi="Times New Roman"/>
          <w:sz w:val="20"/>
        </w:rPr>
        <w:t xml:space="preserve">(iv)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the portion of the limited partner interest in PNG held by public or private investors, other than the Partnership,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90" w:after="0"/>
        <w:rPr>
          <w:rFonts w:ascii="Times New Roman" w:hAnsi="Times New Roman"/>
          <w:sz w:val="20"/>
        </w:rPr>
      </w:pPr>
      <w:r>
        <w:rPr>
          <w:rFonts w:ascii="Times New Roman" w:hAnsi="Times New Roman"/>
          <w:sz w:val="20"/>
        </w:rPr>
        <w:t xml:space="preserve">(vi) Each of the Issuers has the requisite partnership or corporate, as applicable, power and authority to issue, sell and deliver the Notes, in accordance with and upon the terms and conditions set forth in this Agreement, its respective Organizational Documents, the Indenture,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(vii) To such counsels knowledge, neither the filing of the Registration Statement nor the offering or sale of the Notes as contemplated by this Agreement gives rise to any rights for or relating to the registration of any Notes or other securities of the Issuers, except such rights as have been waived or satisfied. </w:t>
      </w:r>
    </w:p>
    <w:p>
      <w:pPr>
        <w:pStyle w:val="TextBody"/>
        <w:spacing w:before="90" w:after="0"/>
        <w:rPr>
          <w:rFonts w:ascii="Times New Roman" w:hAnsi="Times New Roman"/>
          <w:sz w:val="20"/>
        </w:rPr>
      </w:pPr>
      <w:r>
        <w:rPr>
          <w:rFonts w:ascii="Times New Roman" w:hAnsi="Times New Roman"/>
          <w:sz w:val="20"/>
        </w:rPr>
        <w:t xml:space="preserve">(viii) The Indenture has been duly qualified under the Trust Indenture Act. </w:t>
      </w:r>
    </w:p>
    <w:p>
      <w:pPr>
        <w:pStyle w:val="TextBody"/>
        <w:spacing w:before="90" w:after="0"/>
        <w:rPr>
          <w:rFonts w:ascii="Times New Roman" w:hAnsi="Times New Roman"/>
          <w:sz w:val="20"/>
        </w:rPr>
      </w:pPr>
      <w:r>
        <w:rPr>
          <w:rFonts w:ascii="Times New Roman" w:hAnsi="Times New Roman"/>
          <w:sz w:val="20"/>
        </w:rPr>
        <w:t xml:space="preserve">(ix) This Agreement has been duly authorized, executed and delivered by each of the Issuers. </w:t>
      </w:r>
    </w:p>
    <w:p>
      <w:pPr>
        <w:pStyle w:val="TextBody"/>
        <w:spacing w:before="90" w:after="0"/>
        <w:rPr>
          <w:rFonts w:ascii="Times New Roman" w:hAnsi="Times New Roman"/>
          <w:sz w:val="20"/>
        </w:rPr>
      </w:pPr>
      <w:r>
        <w:rPr>
          <w:rFonts w:ascii="Times New Roman" w:hAnsi="Times New Roman"/>
          <w:sz w:val="20"/>
        </w:rPr>
        <w:t xml:space="preserve">(x) The Base Indenture and the Supplemental Indenture thereto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Times New Roman" w:hAnsi="Times New Roman"/>
          <w:sz w:val="20"/>
          <w:u w:val="single"/>
        </w:rPr>
        <w:t>provided</w:t>
      </w:r>
      <w:r>
        <w:rPr>
          <w:rFonts w:ascii="Times New Roman" w:hAnsi="Times New Roman"/>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90" w:after="0"/>
        <w:rPr>
          <w:rFonts w:ascii="Times New Roman" w:hAnsi="Times New Roman"/>
          <w:sz w:val="20"/>
        </w:rPr>
      </w:pPr>
      <w:r>
        <w:rPr>
          <w:rFonts w:ascii="Times New Roman" w:hAnsi="Times New Roman"/>
          <w:sz w:val="20"/>
        </w:rPr>
        <w:t xml:space="preserve">(xi) The global certificates representing the Notes are substantially in the form contemplated by the Indenture, the Notes have been duly and validly authorized and, when each such certificate is executed and authenticated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Times New Roman" w:hAnsi="Times New Roman"/>
          <w:sz w:val="20"/>
          <w:u w:val="single"/>
        </w:rPr>
        <w:t>provided</w:t>
      </w:r>
      <w:r>
        <w:rPr>
          <w:rFonts w:ascii="Times New Roman" w:hAnsi="Times New Roman"/>
          <w:sz w:val="20"/>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90" w:after="0"/>
        <w:rPr>
          <w:rFonts w:ascii="Times New Roman" w:hAnsi="Times New Roman"/>
          <w:sz w:val="20"/>
        </w:rPr>
      </w:pPr>
      <w:r>
        <w:rPr>
          <w:rFonts w:ascii="Times New Roman" w:hAnsi="Times New Roman"/>
          <w:sz w:val="20"/>
        </w:rPr>
        <w:t xml:space="preserve">(xii)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(xiii) None of (A) the offering, issuance and sale by the Issuers of the Notes, (B) the execution, delivery and performance of this Agreement by the Issuers, (C) the consummation of the transactions contemplated by this Agreement, (D) the execution and delivery of the Base Indenture and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(i) the Hedged Inventory Facility, (ii) the Credit Agreement dated as of August 19, 2011, as amended, among the Partnership, certain subsidiaries of the Partnership from time to time party thereto and Bank of America, N.A., as administrative agent, and the other lenders party thereto (the </w:t>
      </w:r>
      <w:r>
        <w:rPr>
          <w:rFonts w:ascii="Times New Roman" w:hAnsi="Times New Roman"/>
          <w:b/>
          <w:sz w:val="20"/>
        </w:rPr>
        <w:t>PAA Facility</w:t>
      </w:r>
      <w:r>
        <w:rPr>
          <w:rFonts w:ascii="Times New Roman" w:hAnsi="Times New Roman"/>
          <w:sz w:val="20"/>
        </w:rPr>
        <w:t>), (iii) the Amended and Restated Credit Agreement dated June 27, 2012 (as amended, the </w:t>
      </w:r>
      <w:r>
        <w:rPr>
          <w:rFonts w:ascii="Times New Roman" w:hAnsi="Times New Roman"/>
          <w:b/>
          <w:sz w:val="20"/>
        </w:rPr>
        <w:t>Plains AAP Facility</w:t>
      </w:r>
      <w:r>
        <w:rPr>
          <w:rFonts w:ascii="Times New Roman" w:hAnsi="Times New Roman"/>
          <w:sz w:val="20"/>
        </w:rPr>
        <w:t>), by and among Plains AAP, the lenders party thereto and Citibank, N.A., as administrative agent and (iv) the PNG Facility, (3) results or will result in any violation of the Delaware LP Act, the Delaware LLC Act, the Delaware General Corporation Law (the </w:t>
      </w:r>
      <w:r>
        <w:rPr>
          <w:rFonts w:ascii="Times New Roman" w:hAnsi="Times New Roman"/>
          <w:b/>
          <w:sz w:val="20"/>
        </w:rPr>
        <w:t>DGCL</w:t>
      </w:r>
      <w:r>
        <w:rPr>
          <w:rFonts w:ascii="Times New Roman" w:hAnsi="Times New Roman"/>
          <w:sz w:val="20"/>
        </w:rPr>
        <w:t xml:space="preserve">), the laws of the State of Texas or federal law, or (4) results or will result in the creation or imposition of any Lien upon any property or assets of either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Issuers, the Domestic Subsidiaries or the GP Entities which conflicts, breaches, violations or defaults in the case of clauses (2), (3) or (4) would reasonably be expected to have a Material Adverse Effect or materially impair the ability of the Issuers to consummate the transactions contemplated by this Agreement, it being understood that such counsel need not express an opinion in clause (3) of this paragraph (xiii) with respect to any securities or other anti-fraud law. </w:t>
      </w:r>
    </w:p>
    <w:p>
      <w:pPr>
        <w:pStyle w:val="TextBody"/>
        <w:spacing w:before="90" w:after="0"/>
        <w:rPr>
          <w:rFonts w:ascii="Times New Roman" w:hAnsi="Times New Roman"/>
          <w:sz w:val="20"/>
        </w:rPr>
      </w:pPr>
      <w:r>
        <w:rPr>
          <w:rFonts w:ascii="Times New Roman" w:hAnsi="Times New Roman"/>
          <w:sz w:val="20"/>
        </w:rPr>
        <w:t xml:space="preserve">(xiv) No consent, approval, authorization, filing with or order of any federal, Delaware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Base Indenture and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and (3) such other that have been obtained or taken and are in full force and effect. </w:t>
      </w:r>
    </w:p>
    <w:p>
      <w:pPr>
        <w:pStyle w:val="TextBody"/>
        <w:spacing w:before="90" w:after="0"/>
        <w:rPr>
          <w:rFonts w:ascii="Times New Roman" w:hAnsi="Times New Roman"/>
          <w:sz w:val="20"/>
        </w:rPr>
      </w:pPr>
      <w:r>
        <w:rPr>
          <w:rFonts w:ascii="Times New Roman" w:hAnsi="Times New Roman"/>
          <w:sz w:val="20"/>
        </w:rPr>
        <w:t xml:space="preserve">(xv) The statements in the Registration Statement, the Pricing Disclosure Package and the Prospectus under the caption Material U.S. Federal Income and Estate Tax Consequences in relation to the Notes in each of the Pricing Disclosure Package and the Prospectus, insofar as such statements purport to summarize certain provisions of documents and legal matters referred to therein, fairly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(xvi) The Registration Statement became effective under the Securities Act upon its filing on September 27, 2012;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or the free writing prospectus pursuant to Rule 433 of the Rules and Regulations has been made in the manner and within the time period required by such Rule.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(xvii) 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comply as to form in all material respects with the requirements of the Securities Act and the Exchange Act and the rules and regulations promulgated thereunder. </w:t>
      </w:r>
    </w:p>
    <w:p>
      <w:pPr>
        <w:pStyle w:val="TextBody"/>
        <w:spacing w:before="90" w:after="0"/>
        <w:rPr>
          <w:rFonts w:ascii="Times New Roman" w:hAnsi="Times New Roman"/>
          <w:sz w:val="20"/>
        </w:rPr>
      </w:pPr>
      <w:r>
        <w:rPr>
          <w:rFonts w:ascii="Times New Roman" w:hAnsi="Times New Roman"/>
          <w:sz w:val="20"/>
        </w:rPr>
        <w:t xml:space="preserve">(xviii) None of the Plains Entities is now, and after sale of the Notes to be sold by the Issuers hereunder and application of the net proceeds from such sale as described in the Pricing Disclosure Package and the Prospectus under the caption Use of Proceeds, none of the Plains Entities will be, an investment company as such term is defined in the Investment Company Act. </w:t>
      </w:r>
    </w:p>
    <w:p>
      <w:pPr>
        <w:pStyle w:val="TextBody"/>
        <w:spacing w:before="9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(xv) above), on the basis of the foregoing, no facts have come to the attention of such counsel that lead them to believe that: </w:t>
      </w:r>
    </w:p>
    <w:p>
      <w:pPr>
        <w:pStyle w:val="TextBody"/>
        <w:spacing w:before="9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9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90" w:after="0"/>
        <w:rPr>
          <w:rFonts w:ascii="Times New Roman" w:hAnsi="Times New Roman"/>
          <w:sz w:val="20"/>
        </w:rPr>
      </w:pPr>
      <w:r>
        <w:rPr>
          <w:rFonts w:ascii="Times New Roman" w:hAnsi="Times New Roman"/>
          <w:sz w:val="20"/>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9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Issuers,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of the United States, the Delaware LP Act, the Delaware LLC Act, the DGCL, the laws of the State of Texas and the laws of the State of New York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90" w:after="0"/>
        <w:rPr>
          <w:rFonts w:ascii="Times New Roman" w:hAnsi="Times New Roman"/>
          <w:sz w:val="20"/>
        </w:rPr>
      </w:pPr>
      <w:r>
        <w:rPr>
          <w:rFonts w:ascii="Times New Roman" w:hAnsi="Times New Roman"/>
          <w:sz w:val="20"/>
        </w:rPr>
        <w:t xml:space="preserve">(d) The Representatives shall have received an opinion of Fulbright &amp; Jaworski L.L.P., special counsel for the Issuers, dated the Delivery Date and addressed to the Underwriters, to the effect that none of the offering, issuance or sale by the Issuers of the Notes, the execution, delivery and performance of this Agreement by the Issuers, the consummation of the transactions contemplated hereby, the execution, delivery and performance of the Indenture by the Issuers or the consummation of the transactions contemplated thereby, results in a breach of, or constitutes a default under (or an event which, with notice or lapse of time or both, would constitute such an event) the provisions of any Credit Facility (as defined in Annex A to such opinion, which shall include (1) the Hedged Inventory Facility, (2) PAA Facility (3) the Plains AAP Facility and (4) the PNG Facility). </w:t>
      </w:r>
    </w:p>
    <w:p>
      <w:pPr>
        <w:pStyle w:val="TextBody"/>
        <w:spacing w:before="9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Issuers, to the extent they deem proper,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exclusive of conflict of law principles, excepting in the foregoing instance, municipal, local and county ordinances, laws, rules and regulations. </w:t>
      </w:r>
    </w:p>
    <w:p>
      <w:pPr>
        <w:pStyle w:val="TextBody"/>
        <w:spacing w:before="90" w:after="0"/>
        <w:rPr>
          <w:rFonts w:ascii="Times New Roman" w:hAnsi="Times New Roman"/>
          <w:sz w:val="20"/>
        </w:rPr>
      </w:pPr>
      <w:r>
        <w:rPr>
          <w:rFonts w:ascii="Times New Roman" w:hAnsi="Times New Roman"/>
          <w:sz w:val="20"/>
        </w:rPr>
        <w:t xml:space="preserve">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90" w:after="0"/>
        <w:rPr>
          <w:rFonts w:ascii="Times New Roman" w:hAnsi="Times New Roman"/>
          <w:sz w:val="20"/>
        </w:rPr>
      </w:pPr>
      <w:r>
        <w:rPr>
          <w:rFonts w:ascii="Times New Roman" w:hAnsi="Times New Roman"/>
          <w:sz w:val="20"/>
        </w:rPr>
        <w:t xml:space="preserve">(e) The Representatives shall have received an opinion of the general counsel for GP LLC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None of (A) the offering, issuance and sale by the Issuers of the Notes, (B) the execution, delivery and performance by the Issuers of this Agreement, (C) the consummation of the transactions contemplated by this Agreement or (D) the execution, delivery and performance of the Indenture by the Issuers or the consummation of the transactions contemplated thereby (1) constitutes or will constitute a breach or violation of, a change of control or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Material Subsidiaries is a party or by which any one of them may be bound (excluding, for this purpose, any document or agreement filed as an exhibit to the Registration Statement or an Incorporated Document or (i) the Hedged Inventory Facility, (ii) the PAA Facility, (iii) the Plains AAP Facility and (iv) the PNG Facility) or (2) violates or will violate any statute, law or regulation or any order, judgment, decree or injunction known to such counsel of any court or governmental agency or body directed to either of the Issuers, the GP Entities or the Material Subsidiaries or any of their respective properties in a proceeding to which any of them is a party, which would, in the case of either (1) or (2), reasonably be expected to have a Material Adverse Effect or materially impair the ability of the Issuers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 </w:t>
      </w:r>
    </w:p>
    <w:p>
      <w:pPr>
        <w:pStyle w:val="TextBody"/>
        <w:spacing w:before="90" w:after="0"/>
        <w:rPr>
          <w:rFonts w:ascii="Times New Roman" w:hAnsi="Times New Roman"/>
          <w:sz w:val="20"/>
        </w:rPr>
      </w:pPr>
      <w:r>
        <w:rPr>
          <w:rFonts w:ascii="Times New Roman" w:hAnsi="Times New Roman"/>
          <w:sz w:val="20"/>
        </w:rPr>
        <w:t xml:space="preserve">(iii) 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 </w:t>
      </w:r>
    </w:p>
    <w:p>
      <w:pPr>
        <w:pStyle w:val="TextBody"/>
        <w:spacing w:before="9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Issuers, representatives of the independent public accountants of GP LLC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on the basis of the foregoing, no facts have come to the attention of such counsel that lead him to believe that: </w:t>
      </w:r>
    </w:p>
    <w:p>
      <w:pPr>
        <w:pStyle w:val="TextBody"/>
        <w:spacing w:before="9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w:t>
      </w:r>
    </w:p>
    <w:p>
      <w:pPr>
        <w:pStyle w:val="TextBody"/>
        <w:spacing w:before="90" w:after="0"/>
        <w:rPr>
          <w:rFonts w:ascii="Times New Roman" w:hAnsi="Times New Roman"/>
          <w:sz w:val="20"/>
        </w:rPr>
      </w:pPr>
      <w:r>
        <w:rPr>
          <w:rFonts w:ascii="Times New Roman" w:hAnsi="Times New Roman"/>
          <w:sz w:val="20"/>
        </w:rPr>
        <w:t xml:space="preserve">(B) the Pricing Disclosure Package, as of the Applicable Time, included an untrue statement of a material fact or omitted to state a material fact necessary in order to make the statements therein, in the light of the circumstances under which they were made, not misleading;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the Prospectus, as of its date and as of the Delivery Date,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9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or statistical information included or incorporated by reference in the Registration Statement, the Pricing Disclosure Package and the Prospectus. </w:t>
      </w:r>
    </w:p>
    <w:p>
      <w:pPr>
        <w:pStyle w:val="TextBody"/>
        <w:spacing w:before="90" w:after="0"/>
        <w:rPr>
          <w:rFonts w:ascii="Times New Roman" w:hAnsi="Times New Roman"/>
          <w:sz w:val="20"/>
        </w:rPr>
      </w:pPr>
      <w:r>
        <w:rPr>
          <w:rFonts w:ascii="Times New Roman" w:hAnsi="Times New Roman"/>
          <w:sz w:val="20"/>
        </w:rPr>
        <w:t xml:space="preserve">In rendering such opinion, such counsel may rely in respect of matters of fact upon (A) information obtained from public officials and (B) to the extent such counsel deems appropriate, certificates of officers and employees of GP LLC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Section 7(e)(i)(2) above or (y) state or local taxes or tax statutes. </w:t>
      </w:r>
    </w:p>
    <w:p>
      <w:pPr>
        <w:pStyle w:val="TextBody"/>
        <w:spacing w:before="90" w:after="0"/>
        <w:rPr>
          <w:rFonts w:ascii="Times New Roman" w:hAnsi="Times New Roman"/>
          <w:sz w:val="20"/>
        </w:rPr>
      </w:pPr>
      <w:r>
        <w:rPr>
          <w:rFonts w:ascii="Times New Roman" w:hAnsi="Times New Roman"/>
          <w:sz w:val="20"/>
        </w:rPr>
        <w:t xml:space="preserve">(f) The Representatives shall have received an opinion of internal Canadian counsel for the Partnership, dated the Delivery Date and addressed to the Underwriters, to the effect that: </w:t>
      </w:r>
    </w:p>
    <w:p>
      <w:pPr>
        <w:pStyle w:val="TextBody"/>
        <w:spacing w:before="90" w:after="0"/>
        <w:rPr>
          <w:rFonts w:ascii="Times New Roman" w:hAnsi="Times New Roman"/>
          <w:sz w:val="20"/>
        </w:rPr>
      </w:pPr>
      <w:r>
        <w:rPr>
          <w:rFonts w:ascii="Times New Roman" w:hAnsi="Times New Roman"/>
          <w:sz w:val="20"/>
        </w:rPr>
        <w:t xml:space="preserve">(i) Plains Midstream Canada ULC, a British Columbia unlimited liability company (Plains Midstream Canada) has been duly amalgamated and is validly existing as an unlimited liability company under the laws of British Columbia, with all necessary corporate power and authority to own or lease its properties, in all material respects as described in the Pricing Disclosure Package and the Prospectus, and to conduct its business as currently conducted and as proposed in the Pricing Disclosure Package and the Prospectus to be conducted. Plains Midstream Canada is duly registered extraprovincially for the transaction of business under the laws of the provinces of Alberta, Manitoba, Quebec, New Brunswick, Nova Scotia, Ontario and Saskatchewan. </w:t>
      </w:r>
    </w:p>
    <w:p>
      <w:pPr>
        <w:pStyle w:val="TextBody"/>
        <w:spacing w:before="90" w:after="0"/>
        <w:rPr>
          <w:rFonts w:ascii="Times New Roman" w:hAnsi="Times New Roman"/>
          <w:sz w:val="20"/>
        </w:rPr>
      </w:pPr>
      <w:r>
        <w:rPr>
          <w:rFonts w:ascii="Times New Roman" w:hAnsi="Times New Roman"/>
          <w:sz w:val="20"/>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the Province of Alberta).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(iii) 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 </w:t>
      </w:r>
    </w:p>
    <w:p>
      <w:pPr>
        <w:pStyle w:val="TextBody"/>
        <w:spacing w:before="9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Issuers of the Notes or the execution, delivery and performance of the Indenture by the Issuers. </w:t>
      </w:r>
    </w:p>
    <w:p>
      <w:pPr>
        <w:pStyle w:val="TextBody"/>
        <w:spacing w:before="90" w:after="0"/>
        <w:rPr>
          <w:rFonts w:ascii="Times New Roman" w:hAnsi="Times New Roman"/>
          <w:sz w:val="20"/>
        </w:rPr>
      </w:pPr>
      <w:r>
        <w:rPr>
          <w:rFonts w:ascii="Times New Roman" w:hAnsi="Times New Roman"/>
          <w:sz w:val="20"/>
        </w:rPr>
        <w:t xml:space="preserve">(v) None of the offering, issuance and sale by the Issuers of the Notes, the execution, delivery and performance of this Agreement by the Issuers or the consummation of the transactions contemplated hereby,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 </w:t>
      </w:r>
    </w:p>
    <w:p>
      <w:pPr>
        <w:pStyle w:val="TextBody"/>
        <w:spacing w:before="90" w:after="0"/>
        <w:rPr>
          <w:rFonts w:ascii="Times New Roman" w:hAnsi="Times New Roman"/>
          <w:sz w:val="20"/>
        </w:rPr>
      </w:pPr>
      <w:r>
        <w:rPr>
          <w:rFonts w:ascii="Times New Roman" w:hAnsi="Times New Roman"/>
          <w:sz w:val="20"/>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Pricing Disclosure Package and the Prospectus to be conducted, subject to such qualifications as may be set forth in the Pricing Disclosure Package and the Prospectus, and except for such Permits which, if not obtained would not reasonably be expected to, individually or in the aggregate, materially adversely affect the operations conducted by Plains Midstream Canada. </w:t>
      </w:r>
    </w:p>
    <w:p>
      <w:pPr>
        <w:pStyle w:val="TextBody"/>
        <w:spacing w:before="90" w:after="0"/>
        <w:rPr>
          <w:rFonts w:ascii="Times New Roman" w:hAnsi="Times New Roman"/>
          <w:sz w:val="20"/>
        </w:rPr>
      </w:pPr>
      <w:r>
        <w:rPr>
          <w:rFonts w:ascii="Times New Roman" w:hAnsi="Times New Roman"/>
          <w:sz w:val="20"/>
        </w:rPr>
        <w:t xml:space="preserve">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 </w:t>
      </w:r>
    </w:p>
    <w:p>
      <w:pPr>
        <w:pStyle w:val="TextBody"/>
        <w:spacing w:before="90" w:after="0"/>
        <w:rPr>
          <w:rFonts w:ascii="Times New Roman" w:hAnsi="Times New Roman"/>
          <w:sz w:val="20"/>
        </w:rPr>
      </w:pPr>
      <w:r>
        <w:rPr>
          <w:rFonts w:ascii="Times New Roman" w:hAnsi="Times New Roman"/>
          <w:sz w:val="20"/>
        </w:rPr>
        <w:t xml:space="preserve">(h) 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provided that the cut-off date for the procedures performed by such accountants and described in such letter shall be a date not more than five days prior to the date of such letter. </w:t>
      </w:r>
    </w:p>
    <w:p>
      <w:pPr>
        <w:pStyle w:val="TextBody"/>
        <w:spacing w:before="90" w:after="0"/>
        <w:rPr>
          <w:rFonts w:ascii="Times New Roman" w:hAnsi="Times New Roman"/>
          <w:sz w:val="20"/>
        </w:rPr>
      </w:pPr>
      <w:r>
        <w:rPr>
          <w:rFonts w:ascii="Times New Roman" w:hAnsi="Times New Roman"/>
          <w:sz w:val="20"/>
        </w:rPr>
        <w:t xml:space="preserve">(i) On the Delivery Date, the Representatives shall have received from PricewaterhouseCoopers LLP a letter, dated as of the Delivery Date, to the effect that it reaffirms the statements made in the respective letter furnished pursuant to paragraph (h) of this Section 7, except that the date referred to in the proviso in Section 7(h) hereof shall be a date not more than three business days prior to the Delivery Date. </w:t>
      </w:r>
    </w:p>
    <w:p>
      <w:pPr>
        <w:pStyle w:val="TextBody"/>
        <w:spacing w:before="90" w:after="0"/>
        <w:rPr>
          <w:rFonts w:ascii="Times New Roman" w:hAnsi="Times New Roman"/>
          <w:sz w:val="20"/>
        </w:rPr>
      </w:pPr>
      <w:r>
        <w:rPr>
          <w:rFonts w:ascii="Times New Roman" w:hAnsi="Times New Roman"/>
          <w:sz w:val="20"/>
        </w:rPr>
        <w:t xml:space="preserve">(j) The Partnership shall have furnished to the Representatives at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 </w:t>
      </w:r>
    </w:p>
    <w:p>
      <w:pPr>
        <w:pStyle w:val="TextBody"/>
        <w:spacing w:before="90" w:after="0"/>
        <w:rPr>
          <w:rFonts w:ascii="Times New Roman" w:hAnsi="Times New Roman"/>
          <w:sz w:val="20"/>
        </w:rPr>
      </w:pPr>
      <w:r>
        <w:rPr>
          <w:rFonts w:ascii="Times New Roman" w:hAnsi="Times New Roman"/>
          <w:sz w:val="20"/>
        </w:rPr>
        <w:t xml:space="preserve">(A) 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 </w:t>
      </w:r>
    </w:p>
    <w:p>
      <w:pPr>
        <w:pStyle w:val="TextBody"/>
        <w:spacing w:before="90" w:after="0"/>
        <w:rPr>
          <w:rFonts w:ascii="Times New Roman" w:hAnsi="Times New Roman"/>
          <w:sz w:val="20"/>
        </w:rPr>
      </w:pPr>
      <w:r>
        <w:rPr>
          <w:rFonts w:ascii="Times New Roman" w:hAnsi="Times New Roman"/>
          <w:sz w:val="20"/>
        </w:rPr>
        <w:t xml:space="preserve">(B)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90" w:after="0"/>
        <w:rPr>
          <w:rFonts w:ascii="Times New Roman" w:hAnsi="Times New Roman"/>
          <w:sz w:val="20"/>
        </w:rPr>
      </w:pPr>
      <w:r>
        <w:rPr>
          <w:rFonts w:ascii="Times New Roman" w:hAnsi="Times New Roman"/>
          <w:sz w:val="20"/>
        </w:rPr>
        <w:t xml:space="preserve">(C) (i) the Registration Statement, as of the Effective Date, (ii) the Prospectus, as of its date and on the Delivery Date, and (iii)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(k) PAA Finance shall have furnished to the Representatives at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 </w:t>
      </w:r>
    </w:p>
    <w:p>
      <w:pPr>
        <w:pStyle w:val="TextBody"/>
        <w:spacing w:before="90" w:after="0"/>
        <w:rPr>
          <w:rFonts w:ascii="Times New Roman" w:hAnsi="Times New Roman"/>
          <w:sz w:val="20"/>
        </w:rPr>
      </w:pPr>
      <w:r>
        <w:rPr>
          <w:rFonts w:ascii="Times New Roman" w:hAnsi="Times New Roman"/>
          <w:sz w:val="20"/>
        </w:rPr>
        <w:t>(l) At the Delivery Date, the Notes shall be rated at least Baa2 by Moodys Investors Services, Inc. (</w:t>
      </w:r>
      <w:r>
        <w:rPr>
          <w:rFonts w:ascii="Times New Roman" w:hAnsi="Times New Roman"/>
          <w:b/>
          <w:sz w:val="20"/>
        </w:rPr>
        <w:t>Moodys</w:t>
      </w:r>
      <w:r>
        <w:rPr>
          <w:rFonts w:ascii="Times New Roman" w:hAnsi="Times New Roman"/>
          <w:sz w:val="20"/>
        </w:rPr>
        <w:t>) and BBB by Standard &amp; Poors Ratings Services, a division of The McGraw-Hill Companies, Inc. (</w:t>
      </w:r>
      <w:r>
        <w:rPr>
          <w:rFonts w:ascii="Times New Roman" w:hAnsi="Times New Roman"/>
          <w:b/>
          <w:sz w:val="20"/>
        </w:rPr>
        <w:t>S&amp;P</w:t>
      </w:r>
      <w:r>
        <w:rPr>
          <w:rFonts w:ascii="Times New Roman" w:hAnsi="Times New Roman"/>
          <w:sz w:val="20"/>
        </w:rPr>
        <w:t xml:space="preserve">),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(A) the Notes below Baa2 by Moodys and BBB by S&amp;P or (B) either of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 </w:t>
      </w:r>
    </w:p>
    <w:p>
      <w:pPr>
        <w:pStyle w:val="TextBody"/>
        <w:spacing w:before="90" w:after="0"/>
        <w:rPr>
          <w:rFonts w:ascii="Times New Roman" w:hAnsi="Times New Roman"/>
          <w:sz w:val="20"/>
        </w:rPr>
      </w:pPr>
      <w:r>
        <w:rPr>
          <w:rFonts w:ascii="Times New Roman" w:hAnsi="Times New Roman"/>
          <w:sz w:val="20"/>
        </w:rPr>
        <w:t xml:space="preserve">(m) The Issuers and the Trustee shall have executed and delivered the Supplemental Indenture, and the Issuers shall have executed and delivered the Global Notes. </w:t>
      </w:r>
    </w:p>
    <w:p>
      <w:pPr>
        <w:pStyle w:val="TextBody"/>
        <w:spacing w:before="90" w:after="0"/>
        <w:rPr>
          <w:rFonts w:ascii="Times New Roman" w:hAnsi="Times New Roman"/>
          <w:sz w:val="20"/>
        </w:rPr>
      </w:pPr>
      <w:r>
        <w:rPr>
          <w:rFonts w:ascii="Times New Roman" w:hAnsi="Times New Roman"/>
          <w:sz w:val="20"/>
        </w:rPr>
        <w:t xml:space="preserve">(n) At the time of the execution of this Agreement, the Representatives shall have received from the Partnership a certificate substantially in the form of </w:t>
      </w:r>
      <w:r>
        <w:rPr>
          <w:rFonts w:ascii="Times New Roman" w:hAnsi="Times New Roman"/>
          <w:sz w:val="20"/>
          <w:u w:val="single"/>
        </w:rPr>
        <w:t>Exhibit B</w:t>
      </w:r>
      <w:r>
        <w:rPr>
          <w:rFonts w:ascii="Times New Roman" w:hAnsi="Times New Roman"/>
          <w:sz w:val="20"/>
        </w:rPr>
        <w:t xml:space="preserve"> hereto and signed by the chief financial officer of the General Partner. </w:t>
      </w:r>
    </w:p>
    <w:p>
      <w:pPr>
        <w:pStyle w:val="TextBody"/>
        <w:spacing w:before="180" w:after="0"/>
        <w:rPr>
          <w:rFonts w:ascii="Times New Roman" w:hAnsi="Times New Roman"/>
          <w:sz w:val="20"/>
        </w:rPr>
      </w:pPr>
      <w:r>
        <w:rPr>
          <w:rFonts w:ascii="Times New Roman" w:hAnsi="Times New Roman"/>
          <w:sz w:val="20"/>
        </w:rPr>
        <w:t xml:space="preserve">All such opinions, certificates, letters and other documents referred to in this Section 7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 </w:t>
      </w:r>
    </w:p>
    <w:p>
      <w:pPr>
        <w:pStyle w:val="TextBody"/>
        <w:spacing w:before="180" w:after="0"/>
        <w:rPr>
          <w:rFonts w:ascii="Times New Roman" w:hAnsi="Times New Roman"/>
          <w:sz w:val="20"/>
        </w:rPr>
      </w:pPr>
      <w:r>
        <w:rPr>
          <w:rFonts w:ascii="Times New Roman" w:hAnsi="Times New Roman"/>
          <w:sz w:val="20"/>
        </w:rPr>
        <w:t xml:space="preserve">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Expenses</w:t>
      </w:r>
      <w:r>
        <w:rPr>
          <w:rFonts w:ascii="Times New Roman" w:hAnsi="Times New Roman"/>
          <w:sz w:val="20"/>
        </w:rPr>
        <w:t xml:space="preserve">. The Issuers agree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 (iv) 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Section 5(g)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 </w:t>
      </w:r>
    </w:p>
    <w:p>
      <w:pPr>
        <w:pStyle w:val="TextBody"/>
        <w:spacing w:before="90" w:after="0"/>
        <w:rPr>
          <w:rFonts w:ascii="Times New Roman" w:hAnsi="Times New Roman"/>
          <w:sz w:val="20"/>
        </w:rPr>
      </w:pPr>
      <w:r>
        <w:rPr>
          <w:rFonts w:ascii="Times New Roman" w:hAnsi="Times New Roman"/>
          <w:sz w:val="20"/>
        </w:rPr>
        <w:t xml:space="preserve">It is understood, however, that except as otherwise provided in this Section 8 or Section 5(j)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 </w:t>
      </w:r>
    </w:p>
    <w:p>
      <w:pPr>
        <w:pStyle w:val="TextBody"/>
        <w:spacing w:before="9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Default by an Underwriter</w:t>
      </w:r>
      <w:r>
        <w:rPr>
          <w:rFonts w:ascii="Times New Roman" w:hAnsi="Times New Roman"/>
          <w:sz w:val="20"/>
        </w:rPr>
        <w:t xml:space="preserve">. If any one or more of the Underwriters shall fail or refuse to purchase Notes that it or they are obligated to 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Times New Roman" w:hAnsi="Times New Roman"/>
          <w:sz w:val="20"/>
          <w:u w:val="single"/>
        </w:rPr>
        <w:t>Schedule I</w:t>
      </w:r>
      <w:r>
        <w:rPr>
          <w:rFonts w:ascii="Times New Roman" w:hAnsi="Times New Roman"/>
          <w:sz w:val="20"/>
        </w:rPr>
        <w:t xml:space="preserve"> hereto bears to the aggregate principal amount of Notes set forth opposite the names of all non-defaulting Underwriters or in such other proportion as the Representatives may specify in accordance with the Agreement Among Underwriters of J.P. Morgan Securities LLC to purchase the Notes that such defaulting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Times New Roman" w:hAnsi="Times New Roman"/>
          <w:b/>
          <w:sz w:val="20"/>
        </w:rPr>
        <w:t>Underwriter</w:t>
      </w:r>
      <w:r>
        <w:rPr>
          <w:rFonts w:ascii="Times New Roman" w:hAnsi="Times New Roman"/>
          <w:sz w:val="20"/>
        </w:rPr>
        <w:t xml:space="preserve"> as used in this Agreement includes, for all purposes of this Agreement, any party not listed in </w:t>
      </w:r>
      <w:r>
        <w:rPr>
          <w:rFonts w:ascii="Times New Roman" w:hAnsi="Times New Roman"/>
          <w:sz w:val="20"/>
          <w:u w:val="single"/>
        </w:rPr>
        <w:t>Schedule I</w:t>
      </w:r>
      <w:r>
        <w:rPr>
          <w:rFonts w:ascii="Times New Roman" w:hAnsi="Times New Roman"/>
          <w:sz w:val="20"/>
        </w:rPr>
        <w:t xml:space="preserve"> hereto who, with the Representatives approval and the approval of the Issuers, purchases Notes that a defaulting Underwriter is obligated, but fails or refuses, to purchase. </w:t>
      </w:r>
    </w:p>
    <w:p>
      <w:pPr>
        <w:pStyle w:val="TextBody"/>
        <w:spacing w:before="90" w:after="0"/>
        <w:rPr>
          <w:rFonts w:ascii="Times New Roman" w:hAnsi="Times New Roman"/>
          <w:sz w:val="20"/>
        </w:rPr>
      </w:pPr>
      <w:r>
        <w:rPr>
          <w:rFonts w:ascii="Times New Roman" w:hAnsi="Times New Roman"/>
          <w:sz w:val="20"/>
        </w:rPr>
        <w:t xml:space="preserve">Any notice under this Section 9 may be given by telegram, telecopy or telephone but shall be subsequently confirmed by letter. </w:t>
      </w:r>
    </w:p>
    <w:p>
      <w:pPr>
        <w:pStyle w:val="TextBody"/>
        <w:spacing w:before="9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Termination of Agreement</w:t>
      </w:r>
      <w:r>
        <w:rPr>
          <w:rFonts w:ascii="Times New Roman" w:hAnsi="Times New Roman"/>
          <w:sz w:val="20"/>
        </w:rPr>
        <w:t xml:space="preserve">. This Agreement shall be subject to termination in the Representatives absolute discretion, without liability on the part of any Underwriter to any Issuer, by notice to the Issuers prior to delivery of and payment for the Notes, if at any time prior to such time (i) trading in the Partnerships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or with respect to Euroclear S.A./N.V. and Clearstream Banking, société anonyme,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 </w:t>
      </w:r>
    </w:p>
    <w:p>
      <w:pPr>
        <w:pStyle w:val="TextBody"/>
        <w:spacing w:before="9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Notice; Successors</w:t>
      </w:r>
      <w:r>
        <w:rPr>
          <w:rFonts w:ascii="Times New Roman" w:hAnsi="Times New Roman"/>
          <w:sz w:val="20"/>
        </w:rPr>
        <w:t xml:space="preserve">. Except as otherwise provided in Sections 5, 9 and 10 hereof, all communications hereunder will be in writing and effective only on receipt, and, if sent to the Underwriters, will be mailed, delivered or telefaxed to the Representatives c/o J.P. Morgan Securities LLC, 383 Madison Avenue, New York, NY 10179, Attention: High Grade Syndicate Desk  3rd Floor, Facsimile: (212) 834-6081 with a copy (which shall not constitute notice) to Baker Botts L.L.P., 910 Louisiana St., Houston, Texas 77002, Attention: Joshua Davidson; or, if sent to either of the Issuers, will be mailed, delivered or telefaxed to (713) 646-4313 and confirmed to it at 333 Clay St., Suite 1600, Houston, Texas 77002, Attention: General Counsel.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This Agreement has been and is made solely for the benefit of the several Underwriters and their directors, officers, employees, agents and other controlling persons referred to in Section 6 hereof and the Issuers and GP LLCs directors and officers who sign the Registration Statement, and other controlling persons referred to in Section 6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 </w:t>
      </w:r>
    </w:p>
    <w:p>
      <w:pPr>
        <w:pStyle w:val="TextBody"/>
        <w:spacing w:before="9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Information Furnished by the Underwriters</w:t>
      </w:r>
      <w:r>
        <w:rPr>
          <w:rFonts w:ascii="Times New Roman" w:hAnsi="Times New Roman"/>
          <w:sz w:val="20"/>
        </w:rPr>
        <w:t xml:space="preserve">. The Issuers acknowledge that the following statements set forth in the most recent Preliminary Prospectus and the Prospectus constitute the only information furnished by or on behalf of the Underwriters through the Representatives as such information is referred to in Sections 1(c), 1(d), 1(f), 1(g), 5(p), 6(a) and 6(c) hereof: (A) the names of the Underwriters, (B) the table under the first paragraph under the heading Underwriting, (C) the first paragraph under the heading Underwriting  Underwriting Discounts related to concessions and (D) the paragraph under the heading Underwriting  Stabilizations and Short Positions. </w:t>
      </w:r>
    </w:p>
    <w:p>
      <w:pPr>
        <w:pStyle w:val="TextBody"/>
        <w:spacing w:before="9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Research Analyst Independence</w:t>
      </w:r>
      <w:r>
        <w:rPr>
          <w:rFonts w:ascii="Times New Roman" w:hAnsi="Times New Roman"/>
          <w:sz w:val="20"/>
        </w:rPr>
        <w:t xml:space="preserve">. The Issuers acknowledge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supersedes all prior agreements and understandings (whether written or oral) between the Issuers and the Underwriters, or any of them, with respect to the subject matter hereof. </w:t>
      </w:r>
    </w:p>
    <w:p>
      <w:pPr>
        <w:pStyle w:val="TextBody"/>
        <w:spacing w:before="9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Headings</w:t>
      </w:r>
      <w:r>
        <w:rPr>
          <w:rFonts w:ascii="Times New Roman" w:hAnsi="Times New Roman"/>
          <w:sz w:val="20"/>
        </w:rPr>
        <w:t xml:space="preserve">. The Section headings used herein are for convenience only and shall not affect the construction hereof. </w:t>
      </w:r>
    </w:p>
    <w:p>
      <w:pPr>
        <w:pStyle w:val="TextBody"/>
        <w:spacing w:before="9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Effective Date of Agreement</w:t>
      </w:r>
      <w:r>
        <w:rPr>
          <w:rFonts w:ascii="Times New Roman" w:hAnsi="Times New Roman"/>
          <w:sz w:val="20"/>
        </w:rPr>
        <w:t xml:space="preserve">. This Agreement shall become effective upon the execution and delivery hereof by the parties 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No Fiduciary Duty</w:t>
      </w:r>
      <w:r>
        <w:rPr>
          <w:rFonts w:ascii="Times New Roman" w:hAnsi="Times New Roman"/>
          <w:sz w:val="20"/>
        </w:rPr>
        <w:t xml:space="preserve">. The Issuers acknowledge and agree that in connection with this offering and sale of the Notes or any other services 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 </w:t>
      </w:r>
    </w:p>
    <w:p>
      <w:pPr>
        <w:pStyle w:val="TextBody"/>
        <w:spacing w:before="9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Applicable Law; Counterparts</w:t>
      </w:r>
      <w:r>
        <w:rPr>
          <w:rFonts w:ascii="Times New Roman" w:hAnsi="Times New Roman"/>
          <w:sz w:val="20"/>
        </w:rPr>
        <w:t xml:space="preserve">.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 </w:t>
      </w:r>
    </w:p>
    <w:p>
      <w:pPr>
        <w:pStyle w:val="TextBody"/>
        <w:spacing w:before="18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Pages Follow</w:t>
      </w:r>
      <w:r>
        <w:rPr>
          <w:rFonts w:ascii="Times New Roman" w:hAnsi="Times New Roman"/>
          <w:b/>
          <w:sz w:val="20"/>
        </w:rPr>
        <w: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Please confirm that the foregoing correctly sets forth the agreement among the Issuers and the Underwriters.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13"/>
        <w:gridCol w:w="60"/>
        <w:gridCol w:w="314"/>
        <w:gridCol w:w="60"/>
        <w:gridCol w:w="3335"/>
      </w:tblGrid>
      <w:tr>
        <w:trPr/>
        <w:tc>
          <w:tcPr>
            <w:tcW w:w="3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35"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4"/>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4"/>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69" w:type="dxa"/>
            <w:gridSpan w:val="4"/>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09"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95"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Kingwell-Smith</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313"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3395" w:type="dxa"/>
            <w:gridSpan w:val="2"/>
            <w:tcBorders/>
            <w:shd w:fill="auto" w:val="clear"/>
            <w:vAlign w:val="center"/>
          </w:tcPr>
          <w:p>
            <w:pPr>
              <w:pStyle w:val="TableContents"/>
              <w:spacing w:before="0" w:after="283"/>
              <w:rPr>
                <w:sz w:val="4"/>
                <w:szCs w:val="4"/>
              </w:rPr>
            </w:pPr>
            <w:r>
              <w:rPr>
                <w:sz w:val="4"/>
                <w:szCs w:val="4"/>
              </w:rPr>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Charles Kingwell-Smith</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31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35"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 and Treasurer</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PAA Signature Page to Underwriting Agreement </w:t>
      </w:r>
    </w:p>
    <w:p>
      <w:pPr>
        <w:pStyle w:val="TextBody"/>
        <w:spacing w:before="18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290"/>
        <w:gridCol w:w="115"/>
        <w:gridCol w:w="291"/>
        <w:gridCol w:w="115"/>
        <w:gridCol w:w="3977"/>
        <w:gridCol w:w="115"/>
        <w:gridCol w:w="279"/>
        <w:gridCol w:w="115"/>
        <w:gridCol w:w="291"/>
        <w:gridCol w:w="115"/>
        <w:gridCol w:w="314"/>
        <w:gridCol w:w="115"/>
        <w:gridCol w:w="4073"/>
      </w:tblGrid>
      <w:tr>
        <w:trPr/>
        <w:tc>
          <w:tcPr>
            <w:tcW w:w="29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97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4788" w:type="dxa"/>
            <w:gridSpan w:val="5"/>
            <w:tcBorders/>
            <w:shd w:fill="auto" w:val="clear"/>
            <w:vAlign w:val="bottom"/>
          </w:tcPr>
          <w:p>
            <w:pPr>
              <w:pStyle w:val="TableContents"/>
              <w:spacing w:before="0" w:after="0"/>
              <w:rPr>
                <w:rFonts w:ascii="Times New Roman" w:hAnsi="Times New Roman"/>
                <w:sz w:val="20"/>
              </w:rPr>
            </w:pPr>
            <w:r>
              <w:rPr>
                <w:rFonts w:ascii="Times New Roman" w:hAnsi="Times New Roman"/>
                <w:sz w:val="20"/>
              </w:rPr>
              <w:t>The foregoing Agreement is hereby</w:t>
            </w:r>
          </w:p>
          <w:p>
            <w:pPr>
              <w:pStyle w:val="TableContents"/>
              <w:spacing w:before="0" w:after="0"/>
              <w:rPr>
                <w:rFonts w:ascii="Times New Roman" w:hAnsi="Times New Roman"/>
                <w:sz w:val="20"/>
              </w:rPr>
            </w:pPr>
            <w:r>
              <w:rPr>
                <w:rFonts w:ascii="Times New Roman" w:hAnsi="Times New Roman"/>
                <w:sz w:val="20"/>
              </w:rPr>
              <w:t>confirmed and accepted by the Underwriters</w:t>
            </w:r>
          </w:p>
          <w:p>
            <w:pPr>
              <w:pStyle w:val="TableContents"/>
              <w:spacing w:before="0" w:after="15"/>
              <w:rPr>
                <w:rFonts w:ascii="Times New Roman" w:hAnsi="Times New Roman"/>
                <w:sz w:val="20"/>
              </w:rPr>
            </w:pPr>
            <w:r>
              <w:rPr>
                <w:rFonts w:ascii="Times New Roman" w:hAnsi="Times New Roman"/>
                <w:sz w:val="20"/>
              </w:rPr>
              <w:t>as of the date first above written.</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07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788" w:type="dxa"/>
            <w:gridSpan w:val="5"/>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4788" w:type="dxa"/>
            <w:gridSpan w:val="5"/>
            <w:tcBorders/>
            <w:shd w:fill="auto" w:val="clear"/>
            <w:vAlign w:val="bottom"/>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07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4788" w:type="dxa"/>
            <w:gridSpan w:val="5"/>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4788" w:type="dxa"/>
            <w:gridSpan w:val="5"/>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 Representatives of the several Underwriters</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073"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290" w:type="dxa"/>
            <w:tcBorders/>
            <w:shd w:fill="auto" w:val="clear"/>
            <w:vAlign w:val="center"/>
          </w:tcPr>
          <w:p>
            <w:pPr>
              <w:pStyle w:val="TableContents"/>
              <w:spacing w:before="0" w:after="283"/>
              <w:rPr>
                <w:sz w:val="4"/>
                <w:szCs w:val="4"/>
              </w:rPr>
            </w:pPr>
            <w:r>
              <w:rPr>
                <w:sz w:val="4"/>
                <w:szCs w:val="4"/>
              </w:rPr>
            </w:r>
          </w:p>
        </w:tc>
        <w:tc>
          <w:tcPr>
            <w:tcW w:w="4498" w:type="dxa"/>
            <w:gridSpan w:val="4"/>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4617" w:type="dxa"/>
            <w:gridSpan w:val="4"/>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38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50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r>
      <w:tr>
        <w:trPr>
          <w:trHeight w:val="240" w:hRule="atLeast"/>
        </w:trPr>
        <w:tc>
          <w:tcPr>
            <w:tcW w:w="290" w:type="dxa"/>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4092" w:type="dxa"/>
            <w:gridSpan w:val="2"/>
            <w:tcBorders/>
            <w:shd w:fill="auto" w:val="clear"/>
            <w:vAlign w:val="center"/>
          </w:tcPr>
          <w:p>
            <w:pPr>
              <w:pStyle w:val="TableContents"/>
              <w:spacing w:before="0" w:after="283"/>
              <w:rPr>
                <w:sz w:val="4"/>
                <w:szCs w:val="4"/>
              </w:rPr>
            </w:pPr>
            <w:r>
              <w:rPr>
                <w:sz w:val="4"/>
                <w:szCs w:val="4"/>
              </w:rPr>
            </w:r>
          </w:p>
        </w:tc>
        <w:tc>
          <w:tcPr>
            <w:tcW w:w="394" w:type="dxa"/>
            <w:gridSpan w:val="2"/>
            <w:tcBorders/>
            <w:shd w:fill="auto" w:val="clear"/>
            <w:vAlign w:val="center"/>
          </w:tcPr>
          <w:p>
            <w:pPr>
              <w:pStyle w:val="TableContents"/>
              <w:spacing w:before="0" w:after="283"/>
              <w:rPr>
                <w:sz w:val="4"/>
                <w:szCs w:val="4"/>
              </w:rPr>
            </w:pPr>
            <w:r>
              <w:rPr>
                <w:sz w:val="4"/>
                <w:szCs w:val="4"/>
              </w:rPr>
            </w:r>
          </w:p>
        </w:tc>
        <w:tc>
          <w:tcPr>
            <w:tcW w:w="406" w:type="dxa"/>
            <w:gridSpan w:val="2"/>
            <w:tcBorders/>
            <w:shd w:fill="auto" w:val="clear"/>
            <w:vAlign w:val="center"/>
          </w:tcPr>
          <w:p>
            <w:pPr>
              <w:pStyle w:val="TableContents"/>
              <w:spacing w:before="0" w:after="283"/>
              <w:rPr>
                <w:sz w:val="4"/>
                <w:szCs w:val="4"/>
              </w:rPr>
            </w:pPr>
            <w:r>
              <w:rPr>
                <w:sz w:val="4"/>
                <w:szCs w:val="4"/>
              </w:rPr>
            </w:r>
          </w:p>
        </w:tc>
        <w:tc>
          <w:tcPr>
            <w:tcW w:w="429" w:type="dxa"/>
            <w:gridSpan w:val="2"/>
            <w:tcBorders/>
            <w:shd w:fill="auto" w:val="clear"/>
            <w:vAlign w:val="center"/>
          </w:tcPr>
          <w:p>
            <w:pPr>
              <w:pStyle w:val="TableContents"/>
              <w:spacing w:before="0" w:after="283"/>
              <w:rPr>
                <w:sz w:val="4"/>
                <w:szCs w:val="4"/>
              </w:rPr>
            </w:pPr>
            <w:r>
              <w:rPr>
                <w:sz w:val="4"/>
                <w:szCs w:val="4"/>
              </w:rPr>
            </w:r>
          </w:p>
        </w:tc>
        <w:tc>
          <w:tcPr>
            <w:tcW w:w="4188" w:type="dxa"/>
            <w:gridSpan w:val="2"/>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397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Stephen L. Sheiner</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073"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 Keith Harman</w:t>
            </w:r>
          </w:p>
        </w:tc>
      </w:tr>
      <w:tr>
        <w:trPr/>
        <w:tc>
          <w:tcPr>
            <w:tcW w:w="290" w:type="dxa"/>
            <w:tcBorders/>
            <w:shd w:fill="auto" w:val="clear"/>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977" w:type="dxa"/>
            <w:tcBorders/>
            <w:shd w:fill="auto" w:val="clear"/>
          </w:tcPr>
          <w:p>
            <w:pPr>
              <w:pStyle w:val="TableContents"/>
              <w:spacing w:before="0" w:after="283"/>
              <w:rPr>
                <w:rFonts w:ascii="Times New Roman" w:hAnsi="Times New Roman"/>
                <w:sz w:val="20"/>
              </w:rPr>
            </w:pPr>
            <w:r>
              <w:rPr>
                <w:rFonts w:ascii="Times New Roman" w:hAnsi="Times New Roman"/>
                <w:sz w:val="20"/>
              </w:rPr>
              <w:t>Name: Stephen L. Sheiner</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073" w:type="dxa"/>
            <w:tcBorders/>
            <w:shd w:fill="auto" w:val="clear"/>
          </w:tcPr>
          <w:p>
            <w:pPr>
              <w:pStyle w:val="TableContents"/>
              <w:spacing w:before="0" w:after="283"/>
              <w:rPr>
                <w:rFonts w:ascii="Times New Roman" w:hAnsi="Times New Roman"/>
                <w:sz w:val="20"/>
              </w:rPr>
            </w:pPr>
            <w:r>
              <w:rPr>
                <w:rFonts w:ascii="Times New Roman" w:hAnsi="Times New Roman"/>
                <w:sz w:val="20"/>
              </w:rPr>
              <w:t>Name: R. Keith Harman</w:t>
            </w:r>
          </w:p>
        </w:tc>
      </w:tr>
      <w:tr>
        <w:trPr/>
        <w:tc>
          <w:tcPr>
            <w:tcW w:w="290"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977" w:type="dxa"/>
            <w:tcBorders/>
            <w:shd w:fill="auto" w:val="clear"/>
          </w:tcPr>
          <w:p>
            <w:pPr>
              <w:pStyle w:val="TableContents"/>
              <w:spacing w:before="0" w:after="283"/>
              <w:rPr>
                <w:rFonts w:ascii="Times New Roman" w:hAnsi="Times New Roman"/>
                <w:sz w:val="20"/>
              </w:rPr>
            </w:pPr>
            <w:r>
              <w:rPr>
                <w:rFonts w:ascii="Times New Roman" w:hAnsi="Times New Roman"/>
                <w:sz w:val="20"/>
              </w:rPr>
              <w:t>Title: Executive Director</w:t>
            </w:r>
          </w:p>
        </w:tc>
        <w:tc>
          <w:tcPr>
            <w:tcW w:w="115" w:type="dxa"/>
            <w:tcBorders/>
            <w:shd w:fill="auto" w:val="clear"/>
            <w:vAlign w:val="bottom"/>
          </w:tcPr>
          <w:p>
            <w:pPr>
              <w:pStyle w:val="TableContents"/>
              <w:spacing w:before="0" w:after="283"/>
              <w:rPr/>
            </w:pPr>
            <w:r>
              <w:rPr/>
              <w:t> </w:t>
            </w:r>
          </w:p>
        </w:tc>
        <w:tc>
          <w:tcPr>
            <w:tcW w:w="279"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9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314"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0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Underwriters Signature Page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927"/>
        <w:gridCol w:w="622"/>
        <w:gridCol w:w="130"/>
        <w:gridCol w:w="1132"/>
        <w:gridCol w:w="128"/>
      </w:tblGrid>
      <w:tr>
        <w:trPr/>
        <w:tc>
          <w:tcPr>
            <w:tcW w:w="4927"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4927"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Underwriters</w:t>
            </w:r>
          </w:p>
        </w:tc>
        <w:tc>
          <w:tcPr>
            <w:tcW w:w="622" w:type="dxa"/>
            <w:tcBorders/>
            <w:shd w:fill="auto" w:val="clear"/>
            <w:vAlign w:val="bottom"/>
          </w:tcPr>
          <w:p>
            <w:pPr>
              <w:pStyle w:val="TableContents"/>
              <w:spacing w:before="0" w:after="283"/>
              <w:rPr/>
            </w:pPr>
            <w:r>
              <w:rPr/>
              <w:t>  </w:t>
            </w:r>
          </w:p>
        </w:tc>
        <w:tc>
          <w:tcPr>
            <w:tcW w:w="126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Principal Amount of</w:t>
              <w:br/>
              <w:t>Notes to be</w:t>
              <w:br/>
              <w:t>Purchased</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136,500,000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15"/>
              <w:rPr>
                <w:rFonts w:ascii="Times New Roman" w:hAnsi="Times New Roman"/>
                <w:sz w:val="20"/>
              </w:rPr>
            </w:pPr>
            <w:r>
              <w:rPr>
                <w:rFonts w:ascii="Times New Roman" w:hAnsi="Times New Roman"/>
                <w:sz w:val="20"/>
              </w:rPr>
              <w:t>Incorporated</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136,500,000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DNB Markets, Inc.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Mitsubishi UFJ Securities (USA), Inc.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Scotia Capital (USA) Inc.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SG Americas Securities, LLC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BBVA Securities Inc.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BNP Paribas Securities Corp.</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RBC Capital Markets, LLC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SMBC Nikko Securities America, Inc.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BB&amp;T Capital Markets, a division of BB&amp;T Securities, LLC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BMO Capital Markets Corp</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CIBC World Markets Corp.</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Securities, Inc.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ING Financial Markets LLC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PNC Capital Markets LLC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sz w:val="20"/>
              </w:rPr>
            </w:pPr>
            <w:r>
              <w:rPr>
                <w:rFonts w:ascii="Times New Roman" w:hAnsi="Times New Roman"/>
                <w:sz w:val="20"/>
              </w:rPr>
              <w:t>Regions Securities LLC</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auto" w:val="clear"/>
            <w:vAlign w:val="bottom"/>
          </w:tcPr>
          <w:p>
            <w:pPr>
              <w:pStyle w:val="TableContents"/>
              <w:spacing w:before="0" w:after="283"/>
              <w:rPr/>
            </w:pPr>
            <w:r>
              <w:rPr/>
              <w:t>  </w:t>
            </w:r>
          </w:p>
        </w:tc>
      </w:tr>
      <w:tr>
        <w:trPr/>
        <w:tc>
          <w:tcPr>
            <w:tcW w:w="4927" w:type="dxa"/>
            <w:tcBorders/>
            <w:shd w:fill="CCEEFF" w:val="clear"/>
          </w:tcPr>
          <w:p>
            <w:pPr>
              <w:pStyle w:val="TableContents"/>
              <w:spacing w:before="0" w:after="283"/>
              <w:rPr>
                <w:rFonts w:ascii="Times New Roman" w:hAnsi="Times New Roman"/>
                <w:sz w:val="20"/>
              </w:rPr>
            </w:pPr>
            <w:r>
              <w:rPr>
                <w:rFonts w:ascii="Times New Roman" w:hAnsi="Times New Roman"/>
                <w:sz w:val="20"/>
              </w:rPr>
              <w:t>U.S. Bancorp Investments, Inc.</w:t>
            </w:r>
          </w:p>
        </w:tc>
        <w:tc>
          <w:tcPr>
            <w:tcW w:w="62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14,000,000</w:t>
            </w:r>
          </w:p>
        </w:tc>
        <w:tc>
          <w:tcPr>
            <w:tcW w:w="128" w:type="dxa"/>
            <w:tcBorders/>
            <w:shd w:fill="CCEEFF" w:val="clear"/>
            <w:vAlign w:val="bottom"/>
          </w:tcPr>
          <w:p>
            <w:pPr>
              <w:pStyle w:val="TableContents"/>
              <w:spacing w:before="0" w:after="283"/>
              <w:rPr/>
            </w:pPr>
            <w:r>
              <w:rPr/>
              <w:t>  </w:t>
            </w:r>
          </w:p>
        </w:tc>
      </w:tr>
      <w:tr>
        <w:trPr/>
        <w:tc>
          <w:tcPr>
            <w:tcW w:w="4927" w:type="dxa"/>
            <w:tcBorders/>
            <w:shd w:fill="auto" w:val="clear"/>
            <w:vAlign w:val="bottom"/>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single" w:sz="2" w:space="1" w:color="000000"/>
              </w:pBdr>
              <w:spacing w:before="0" w:after="283"/>
              <w:rPr/>
            </w:pPr>
            <w:r>
              <w:rPr/>
              <w:t> </w:t>
            </w:r>
          </w:p>
        </w:tc>
        <w:tc>
          <w:tcPr>
            <w:tcW w:w="1132"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4927"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w:t>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700,000,000</w:t>
            </w:r>
          </w:p>
        </w:tc>
        <w:tc>
          <w:tcPr>
            <w:tcW w:w="128" w:type="dxa"/>
            <w:tcBorders/>
            <w:shd w:fill="auto" w:val="clear"/>
            <w:vAlign w:val="bottom"/>
          </w:tcPr>
          <w:p>
            <w:pPr>
              <w:pStyle w:val="TableContents"/>
              <w:spacing w:before="0" w:after="283"/>
              <w:rPr/>
            </w:pPr>
            <w:r>
              <w:rPr/>
              <w:t>  </w:t>
            </w:r>
          </w:p>
        </w:tc>
      </w:tr>
      <w:tr>
        <w:trPr/>
        <w:tc>
          <w:tcPr>
            <w:tcW w:w="4927" w:type="dxa"/>
            <w:tcBorders/>
            <w:shd w:fill="auto" w:val="clear"/>
            <w:vAlign w:val="bottom"/>
          </w:tcPr>
          <w:p>
            <w:pPr>
              <w:pStyle w:val="TableContents"/>
              <w:spacing w:before="0" w:after="283"/>
              <w:rPr>
                <w:sz w:val="4"/>
                <w:szCs w:val="4"/>
              </w:rPr>
            </w:pPr>
            <w:r>
              <w:rPr>
                <w:sz w:val="4"/>
                <w:szCs w:val="4"/>
              </w:rPr>
            </w:r>
          </w:p>
        </w:tc>
        <w:tc>
          <w:tcPr>
            <w:tcW w:w="62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pBdr>
                <w:top w:val="double" w:sz="6" w:space="1" w:color="000000"/>
              </w:pBdr>
              <w:spacing w:before="0" w:after="283"/>
              <w:rPr/>
            </w:pPr>
            <w:r>
              <w:rPr/>
              <w:t> </w:t>
            </w:r>
          </w:p>
        </w:tc>
        <w:tc>
          <w:tcPr>
            <w:tcW w:w="1132"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 to Underwriting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SCHEDULE II </w:t>
      </w:r>
    </w:p>
    <w:p>
      <w:pPr>
        <w:pStyle w:val="TextBody"/>
        <w:spacing w:before="0" w:after="0"/>
        <w:jc w:val="right"/>
        <w:rPr>
          <w:rFonts w:ascii="Times New Roman" w:hAnsi="Times New Roman"/>
          <w:sz w:val="20"/>
        </w:rPr>
      </w:pPr>
      <w:r>
        <w:rPr>
          <w:rFonts w:ascii="Times New Roman" w:hAnsi="Times New Roman"/>
          <w:sz w:val="20"/>
        </w:rPr>
        <w:t xml:space="preserve">Filed Pursuant to Rule 433 </w:t>
      </w:r>
    </w:p>
    <w:p>
      <w:pPr>
        <w:pStyle w:val="TextBody"/>
        <w:spacing w:before="0" w:after="0"/>
        <w:jc w:val="right"/>
        <w:rPr>
          <w:rFonts w:ascii="Times New Roman" w:hAnsi="Times New Roman"/>
          <w:sz w:val="20"/>
        </w:rPr>
      </w:pPr>
      <w:r>
        <w:rPr>
          <w:rFonts w:ascii="Times New Roman" w:hAnsi="Times New Roman"/>
          <w:sz w:val="20"/>
        </w:rPr>
        <w:t xml:space="preserve">Registration No. 333-184137 </w:t>
      </w:r>
    </w:p>
    <w:p>
      <w:pPr>
        <w:pStyle w:val="TextBody"/>
        <w:spacing w:before="0" w:after="0"/>
        <w:jc w:val="right"/>
        <w:rPr>
          <w:rFonts w:ascii="Times New Roman" w:hAnsi="Times New Roman"/>
          <w:sz w:val="20"/>
        </w:rPr>
      </w:pPr>
      <w:r>
        <w:rPr>
          <w:rFonts w:ascii="Times New Roman" w:hAnsi="Times New Roman"/>
          <w:sz w:val="20"/>
        </w:rPr>
        <w:t xml:space="preserve">August 8, 2013 </w:t>
      </w:r>
    </w:p>
    <w:p>
      <w:pPr>
        <w:pStyle w:val="TextBody"/>
        <w:spacing w:before="180" w:after="0"/>
        <w:jc w:val="center"/>
        <w:rPr>
          <w:rFonts w:ascii="Times New Roman" w:hAnsi="Times New Roman"/>
          <w:b/>
          <w:sz w:val="20"/>
        </w:rPr>
      </w:pPr>
      <w:r>
        <w:rPr>
          <w:rFonts w:ascii="Times New Roman" w:hAnsi="Times New Roman"/>
          <w:b/>
          <w:sz w:val="20"/>
        </w:rPr>
        <w:t xml:space="preserve">Final Term Sheet </w:t>
      </w:r>
    </w:p>
    <w:p>
      <w:pPr>
        <w:pStyle w:val="TextBody"/>
        <w:spacing w:before="0" w:after="0"/>
        <w:jc w:val="center"/>
        <w:rPr>
          <w:rFonts w:ascii="Times New Roman" w:hAnsi="Times New Roman"/>
          <w:b/>
          <w:sz w:val="20"/>
        </w:rPr>
      </w:pPr>
      <w:r>
        <w:rPr>
          <w:rFonts w:ascii="Times New Roman" w:hAnsi="Times New Roman"/>
          <w:b/>
          <w:sz w:val="20"/>
        </w:rPr>
        <w:t xml:space="preserve">$700,000,000 3.850% Senior Notes due 2023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Issuers: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 and PAA Finance Corp.</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Security Type:</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Senior Unsecured Notes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Legal Format:</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SEC Registered</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Ratings (Moodys / S&amp;P)*:</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Baa2/BBB</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Pricing Date:</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August 8, 2013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Settlement Date (T+5):</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August 15, 2013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Maturity Date:</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October 15, 2023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Amount:</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$700,000,000</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Benchmark:</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UST 1.750% due May 15, 2023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Benchmark Yield:</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2.574%</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Spread to Benchmark:</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+130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Yield to Maturity:</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3.874%</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Coupon:</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3.850%</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Public Offering Price:</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99.792%</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(after estimated expenses) to the Partnership:</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$693.0 million</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Make-Whole Call:</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T+20 bps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Call at Par:</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On or after July 15, 2023</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Payment Dates: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April 15 and October 15, beginning on April 15, 2014</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CUSIP / ISIN:</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rFonts w:ascii="Times New Roman" w:hAnsi="Times New Roman"/>
                <w:sz w:val="20"/>
              </w:rPr>
            </w:pPr>
            <w:r>
              <w:rPr>
                <w:rFonts w:ascii="Times New Roman" w:hAnsi="Times New Roman"/>
                <w:sz w:val="20"/>
              </w:rPr>
              <w:t>72650RBD3 / US72650RBD35</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Joint Book-Running Managers: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0"/>
              <w:rPr>
                <w:rFonts w:ascii="Times New Roman" w:hAnsi="Times New Roman"/>
                <w:sz w:val="20"/>
              </w:rPr>
            </w:pPr>
            <w:r>
              <w:rPr>
                <w:rFonts w:ascii="Times New Roman" w:hAnsi="Times New Roman"/>
                <w:sz w:val="20"/>
              </w:rPr>
              <w:t>Incorporated</w:t>
            </w:r>
          </w:p>
          <w:p>
            <w:pPr>
              <w:pStyle w:val="TableContents"/>
              <w:spacing w:before="0" w:after="0"/>
              <w:rPr>
                <w:rFonts w:ascii="Times New Roman" w:hAnsi="Times New Roman"/>
                <w:sz w:val="20"/>
              </w:rPr>
            </w:pPr>
            <w:r>
              <w:rPr>
                <w:rFonts w:ascii="Times New Roman" w:hAnsi="Times New Roman"/>
                <w:sz w:val="20"/>
              </w:rPr>
              <w:t>DNB Markets, Inc.</w:t>
            </w:r>
          </w:p>
          <w:p>
            <w:pPr>
              <w:pStyle w:val="TableContents"/>
              <w:spacing w:before="0" w:after="15"/>
              <w:rPr>
                <w:rFonts w:ascii="Times New Roman" w:hAnsi="Times New Roman"/>
                <w:sz w:val="20"/>
              </w:rPr>
            </w:pPr>
            <w:r>
              <w:rPr>
                <w:rFonts w:ascii="Times New Roman" w:hAnsi="Times New Roman"/>
                <w:sz w:val="20"/>
              </w:rPr>
              <w:t>Mizuho Securities USA Inc.</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 to Underwriting Agreement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2"/>
        <w:gridCol w:w="4798"/>
      </w:tblGrid>
      <w:tr>
        <w:trPr/>
        <w:tc>
          <w:tcPr>
            <w:tcW w:w="520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Co-Managers:</w:t>
            </w:r>
          </w:p>
        </w:tc>
        <w:tc>
          <w:tcPr>
            <w:tcW w:w="202"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Scotia Capital (USA) Inc.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0"/>
              <w:rPr>
                <w:rFonts w:ascii="Times New Roman" w:hAnsi="Times New Roman"/>
                <w:sz w:val="20"/>
              </w:rPr>
            </w:pPr>
            <w:r>
              <w:rPr>
                <w:rFonts w:ascii="Times New Roman" w:hAnsi="Times New Roman"/>
                <w:sz w:val="20"/>
              </w:rPr>
              <w:t>BBVA Securities Inc.</w:t>
            </w:r>
          </w:p>
          <w:p>
            <w:pPr>
              <w:pStyle w:val="TableContents"/>
              <w:spacing w:before="0" w:after="0"/>
              <w:rPr>
                <w:rFonts w:ascii="Times New Roman" w:hAnsi="Times New Roman"/>
                <w:sz w:val="20"/>
              </w:rPr>
            </w:pPr>
            <w:r>
              <w:rPr>
                <w:rFonts w:ascii="Times New Roman" w:hAnsi="Times New Roman"/>
                <w:sz w:val="20"/>
              </w:rPr>
              <w:t>BNP Paribas Securities Corp.</w:t>
            </w:r>
          </w:p>
          <w:p>
            <w:pPr>
              <w:pStyle w:val="TableContents"/>
              <w:spacing w:before="0" w:after="0"/>
              <w:rPr>
                <w:rFonts w:ascii="Times New Roman" w:hAnsi="Times New Roman"/>
                <w:sz w:val="20"/>
              </w:rPr>
            </w:pPr>
            <w:r>
              <w:rPr>
                <w:rFonts w:ascii="Times New Roman" w:hAnsi="Times New Roman"/>
                <w:sz w:val="20"/>
              </w:rPr>
              <w:t>RBC Capital Markets, LLC</w:t>
            </w:r>
          </w:p>
          <w:p>
            <w:pPr>
              <w:pStyle w:val="TableContents"/>
              <w:spacing w:before="0" w:after="0"/>
              <w:rPr>
                <w:rFonts w:ascii="Times New Roman" w:hAnsi="Times New Roman"/>
                <w:sz w:val="20"/>
              </w:rPr>
            </w:pPr>
            <w:r>
              <w:rPr>
                <w:rFonts w:ascii="Times New Roman" w:hAnsi="Times New Roman"/>
                <w:sz w:val="20"/>
              </w:rPr>
              <w:t>SMBC Nikko Securities America, Inc.</w:t>
            </w:r>
          </w:p>
          <w:p>
            <w:pPr>
              <w:pStyle w:val="TableContents"/>
              <w:spacing w:before="0" w:after="0"/>
              <w:rPr>
                <w:rFonts w:ascii="Times New Roman" w:hAnsi="Times New Roman"/>
                <w:sz w:val="20"/>
              </w:rPr>
            </w:pPr>
            <w:r>
              <w:rPr>
                <w:rFonts w:ascii="Times New Roman" w:hAnsi="Times New Roman"/>
                <w:sz w:val="20"/>
              </w:rPr>
              <w:t>BB&amp;T Capital Markets, a division of BB&amp;T Securities, LLC</w:t>
            </w:r>
          </w:p>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CIBC World Markets Corp.</w:t>
            </w:r>
          </w:p>
          <w:p>
            <w:pPr>
              <w:pStyle w:val="TableContents"/>
              <w:spacing w:before="0" w:after="0"/>
              <w:rPr>
                <w:rFonts w:ascii="Times New Roman" w:hAnsi="Times New Roman"/>
                <w:sz w:val="20"/>
              </w:rPr>
            </w:pPr>
            <w:r>
              <w:rPr>
                <w:rFonts w:ascii="Times New Roman" w:hAnsi="Times New Roman"/>
                <w:sz w:val="20"/>
              </w:rPr>
              <w:t>Fifth Third Securities, Inc.</w:t>
            </w:r>
          </w:p>
          <w:p>
            <w:pPr>
              <w:pStyle w:val="TableContents"/>
              <w:spacing w:before="0" w:after="0"/>
              <w:rPr>
                <w:rFonts w:ascii="Times New Roman" w:hAnsi="Times New Roman"/>
                <w:sz w:val="20"/>
              </w:rPr>
            </w:pPr>
            <w:r>
              <w:rPr>
                <w:rFonts w:ascii="Times New Roman" w:hAnsi="Times New Roman"/>
                <w:sz w:val="20"/>
              </w:rPr>
              <w:t>ING Financial Markets LLC</w:t>
            </w:r>
          </w:p>
          <w:p>
            <w:pPr>
              <w:pStyle w:val="TableContents"/>
              <w:spacing w:before="0" w:after="0"/>
              <w:rPr>
                <w:rFonts w:ascii="Times New Roman" w:hAnsi="Times New Roman"/>
                <w:sz w:val="20"/>
              </w:rPr>
            </w:pPr>
            <w:r>
              <w:rPr>
                <w:rFonts w:ascii="Times New Roman" w:hAnsi="Times New Roman"/>
                <w:sz w:val="20"/>
              </w:rPr>
              <w:t>PNC Capital Markets LLC</w:t>
            </w:r>
          </w:p>
          <w:p>
            <w:pPr>
              <w:pStyle w:val="TableContents"/>
              <w:spacing w:before="0" w:after="0"/>
              <w:rPr>
                <w:rFonts w:ascii="Times New Roman" w:hAnsi="Times New Roman"/>
                <w:sz w:val="20"/>
              </w:rPr>
            </w:pPr>
            <w:r>
              <w:rPr>
                <w:rFonts w:ascii="Times New Roman" w:hAnsi="Times New Roman"/>
                <w:sz w:val="20"/>
              </w:rPr>
              <w:t>Regions Securities LLC</w:t>
            </w:r>
          </w:p>
          <w:p>
            <w:pPr>
              <w:pStyle w:val="TableContents"/>
              <w:spacing w:before="0" w:after="15"/>
              <w:rPr>
                <w:rFonts w:ascii="Times New Roman" w:hAnsi="Times New Roman"/>
                <w:sz w:val="20"/>
              </w:rPr>
            </w:pPr>
            <w:r>
              <w:rPr>
                <w:rFonts w:ascii="Times New Roman" w:hAnsi="Times New Roman"/>
                <w:sz w:val="20"/>
              </w:rPr>
              <w:t>U.S. Bancorp Investments, Inc.</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Note: A securities rating is not a recommendation to buy, sell or hold securities and may be revised or withdrawn at any time. </w:t>
            </w:r>
          </w:p>
        </w:tc>
      </w:tr>
    </w:tbl>
    <w:p>
      <w:pPr>
        <w:pStyle w:val="TextBody"/>
        <w:spacing w:before="180" w:after="0"/>
        <w:rPr>
          <w:rFonts w:ascii="Times New Roman" w:hAnsi="Times New Roman"/>
          <w:sz w:val="20"/>
        </w:rPr>
      </w:pPr>
      <w:r>
        <w:rPr>
          <w:rFonts w:ascii="Times New Roman" w:hAnsi="Times New Roman"/>
          <w:sz w:val="20"/>
        </w:rPr>
        <w:t xml:space="preserve">Delivery of the notes is expected to be made against payment therefor on or about August 15, 2013, which is the 5th business day following the date of pricing of the notes (such settlement being referred to as T+5).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 </w:t>
      </w:r>
    </w:p>
    <w:p>
      <w:pPr>
        <w:pStyle w:val="TextBody"/>
        <w:spacing w:before="180" w:after="0"/>
        <w:rPr>
          <w:rFonts w:ascii="Times New Roman" w:hAnsi="Times New Roman"/>
          <w:sz w:val="20"/>
        </w:rPr>
      </w:pPr>
      <w:r>
        <w:rPr>
          <w:rFonts w:ascii="Times New Roman" w:hAnsi="Times New Roman"/>
          <w:sz w:val="20"/>
        </w:rPr>
        <w:t xml:space="preserve">Supplementing the information presented under Use of Proceeds and Capitalization at pages S-8 and S-10 in the preliminary prospectus supplement, we expect to use part of the net proceeds from this offering to repay all indebtedness outstanding under the PAA senior unsecured revolving credit facility and the PAA senior secured hedged inventory facility. The remaining net proceeds after repayment of such indebtedness will be used for general partnership purposes. </w:t>
      </w:r>
    </w:p>
    <w:p>
      <w:pPr>
        <w:pStyle w:val="TextBody"/>
        <w:spacing w:before="180" w:after="0"/>
        <w:rPr>
          <w:rFonts w:ascii="Times New Roman" w:hAnsi="Times New Roman"/>
          <w:sz w:val="20"/>
        </w:rPr>
      </w:pPr>
      <w:r>
        <w:rPr>
          <w:rFonts w:ascii="Times New Roman" w:hAnsi="Times New Roman"/>
          <w:sz w:val="20"/>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1-212-834-4533, Merrill Lynch, Pierce, Fenner &amp; Smith Incorporated at 1-800-294-1322, DNB Markets, Inc. at 1-212- 681-3800 or Mizuho Securities USA Inc. at 1-866-271-7403.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III </w:t>
      </w:r>
    </w:p>
    <w:p>
      <w:pPr>
        <w:pStyle w:val="TextBody"/>
        <w:spacing w:before="18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Midstream Canada ULC </w:t>
      </w:r>
    </w:p>
    <w:p>
      <w:pPr>
        <w:pStyle w:val="TextBody"/>
        <w:spacing w:before="90" w:after="0"/>
        <w:rPr>
          <w:rFonts w:ascii="Times New Roman" w:hAnsi="Times New Roman"/>
          <w:sz w:val="20"/>
        </w:rPr>
      </w:pPr>
      <w:r>
        <w:rPr>
          <w:rFonts w:ascii="Times New Roman" w:hAnsi="Times New Roman"/>
          <w:sz w:val="20"/>
        </w:rPr>
        <w:t xml:space="preserve">Plains South Texas Gathering LLC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III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IV </w:t>
      </w:r>
    </w:p>
    <w:p>
      <w:pPr>
        <w:pStyle w:val="TextBody"/>
        <w:spacing w:before="18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South Texas Gathering LLC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Schedule IV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Entity</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2" w:space="1" w:color="000000"/>
              </w:pBdr>
              <w:spacing w:before="0" w:after="283"/>
              <w:rPr>
                <w:rFonts w:ascii="Times New Roman" w:hAnsi="Times New Roman"/>
                <w:sz w:val="14"/>
              </w:rPr>
            </w:pPr>
            <w:r>
              <w:rPr>
                <w:rFonts w:ascii="Times New Roman" w:hAnsi="Times New Roman"/>
                <w:sz w:val="14"/>
              </w:rPr>
              <w:t>Jurisdiction in which registered or qualified</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 Illinois, Louisiana, Oklahoma, Texas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Marketing,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Pipeline,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 Illinois, Louisiana, 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Products Terminals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Midstream Canada ULC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Alberta, Manitoba, New Brunswick, Nova Scotia, Quebec, Ontario, Saskatchewan</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South Texas Gathering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Oklahoma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Pacific Pipeline System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West Coast Terminals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Rocky Mountain Pipeline System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Utah</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Pine Prairie Energy Center,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Louisiana</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SG Resources Mississippi LLC</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Alabama, Mississippi</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Plains LPG Services LP</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California, Illinois, Oklahoma</w:t>
            </w:r>
          </w:p>
        </w:tc>
      </w:tr>
    </w:tbl>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Exhibit A to Underwriting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spacing w:before="180" w:after="0"/>
        <w:jc w:val="center"/>
        <w:rPr>
          <w:rFonts w:ascii="Times New Roman" w:hAnsi="Times New Roman"/>
          <w:b/>
          <w:sz w:val="20"/>
        </w:rPr>
      </w:pPr>
      <w:r>
        <w:rPr>
          <w:rFonts w:ascii="Times New Roman" w:hAnsi="Times New Roman"/>
          <w:b/>
          <w:sz w:val="20"/>
        </w:rPr>
        <w:t xml:space="preserve">CHIEF FINANCIAL OFFICERS CERTIFICATE </w:t>
      </w:r>
    </w:p>
    <w:p>
      <w:pPr>
        <w:pStyle w:val="TextBody"/>
        <w:spacing w:before="90" w:after="0"/>
        <w:jc w:val="center"/>
        <w:rPr>
          <w:rFonts w:ascii="Times New Roman" w:hAnsi="Times New Roman"/>
          <w:sz w:val="20"/>
        </w:rPr>
      </w:pPr>
      <w:r>
        <w:rPr>
          <w:rFonts w:ascii="Times New Roman" w:hAnsi="Times New Roman"/>
          <w:sz w:val="20"/>
        </w:rPr>
        <w:t xml:space="preserve">August 8, 2013 </w:t>
      </w:r>
    </w:p>
    <w:p>
      <w:pPr>
        <w:pStyle w:val="TextBody"/>
        <w:spacing w:before="180" w:after="0"/>
        <w:rPr>
          <w:rFonts w:ascii="Times New Roman" w:hAnsi="Times New Roman"/>
          <w:sz w:val="20"/>
        </w:rPr>
      </w:pPr>
      <w:r>
        <w:rPr>
          <w:rFonts w:ascii="Times New Roman" w:hAnsi="Times New Roman"/>
          <w:sz w:val="20"/>
        </w:rPr>
        <w:t xml:space="preserve">The undersigned, in his capacity as the Chief Financial Officer of PAA GP LLC, a Delaware limited liability company and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2013. In addition, as of the date of this certificate, the total debt of the Partnership is approximately $7.1 billion. </w:t>
      </w:r>
    </w:p>
    <w:p>
      <w:pPr>
        <w:pStyle w:val="TextBody"/>
        <w:spacing w:before="180" w:after="0"/>
        <w:rPr>
          <w:rFonts w:ascii="Times New Roman" w:hAnsi="Times New Roman"/>
          <w:sz w:val="20"/>
        </w:rPr>
      </w:pPr>
      <w:r>
        <w:rPr>
          <w:rFonts w:ascii="Times New Roman" w:hAnsi="Times New Roman"/>
          <w:sz w:val="20"/>
        </w:rPr>
        <w:t xml:space="preserve">Capitalized terms used but not defined herein have the meanings assigned to them in the Underwriting Agreement dated as of the date hereof by and among the Partnership, PAA Finance Corp. and J.P. Morgan Securities LLC and Merrill Lynch, Pierce, Fenner &amp; Smith Incorporated, as the representatives of the several Underwriters. </w:t>
      </w:r>
    </w:p>
    <w:p>
      <w:pPr>
        <w:pStyle w:val="TextBody"/>
        <w:spacing w:before="180" w:after="0"/>
        <w:rPr>
          <w:rFonts w:ascii="Times New Roman" w:hAnsi="Times New Roman"/>
          <w:sz w:val="20"/>
        </w:rPr>
      </w:pPr>
      <w:r>
        <w:rPr>
          <w:rFonts w:ascii="Times New Roman" w:hAnsi="Times New Roman"/>
          <w:sz w:val="20"/>
        </w:rPr>
        <w:t xml:space="preserve">This certificate is to assist the Underwriters in conducting and documenting their investigation of the affairs of the Partnership in connection with the offering of the Notes covered by the Registration Statement, the Pricing Disclosure Package and the Prospectus.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i/>
          <w:sz w:val="20"/>
        </w:rPr>
      </w:pPr>
      <w:r>
        <w:rPr>
          <w:rFonts w:ascii="Times New Roman" w:hAnsi="Times New Roman"/>
          <w:i/>
          <w:sz w:val="20"/>
        </w:rPr>
        <w:t xml:space="preserve">Exhibit B to Underwriting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undersigned has hereunto affixed his signature as of the date first written above. </w:t>
      </w:r>
    </w:p>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4" w:space="1" w:color="000000"/>
              </w:pBdr>
              <w:spacing w:before="0" w:after="30"/>
              <w:rPr/>
            </w:pPr>
            <w:r>
              <w:rPr/>
              <w:t> </w:t>
            </w:r>
          </w:p>
          <w:p>
            <w:pPr>
              <w:pStyle w:val="TableContents"/>
              <w:spacing w:before="0" w:after="15"/>
              <w:rPr>
                <w:rFonts w:ascii="Times New Roman" w:hAnsi="Times New Roman"/>
                <w:sz w:val="20"/>
              </w:rPr>
            </w:pPr>
            <w:r>
              <w:rPr>
                <w:rFonts w:ascii="Times New Roman" w:hAnsi="Times New Roman"/>
                <w:sz w:val="20"/>
              </w:rPr>
              <w:t>Al Swanson</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i/>
                <w:sz w:val="20"/>
              </w:rPr>
              <w:t>Executive Vice President and</w:t>
            </w:r>
            <w:r>
              <w:rPr>
                <w:rFonts w:ascii="Times New Roman" w:hAnsi="Times New Roman"/>
                <w:sz w:val="20"/>
              </w:rPr>
              <w:t xml:space="preserve"> </w:t>
            </w:r>
            <w:r>
              <w:rPr>
                <w:rFonts w:ascii="Times New Roman" w:hAnsi="Times New Roman"/>
                <w:i/>
                <w:sz w:val="20"/>
              </w:rPr>
              <w:t>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TextBody"/>
        <w:spacing w:before="0" w:after="0"/>
        <w:jc w:val="right"/>
        <w:rPr>
          <w:rFonts w:ascii="Times New Roman" w:hAnsi="Times New Roman"/>
          <w:b/>
          <w:sz w:val="20"/>
        </w:rPr>
      </w:pPr>
      <w:bookmarkStart w:id="4" w:name="d582907dex51.htm"/>
      <w:bookmarkStart w:id="5" w:name="ksd582907dex51"/>
      <w:bookmarkEnd w:id="4"/>
      <w:bookmarkEnd w:id="5"/>
      <w:r>
        <w:rPr>
          <w:rFonts w:ascii="Times New Roman" w:hAnsi="Times New Roman"/>
          <w:b/>
          <w:sz w:val="20"/>
        </w:rPr>
        <w:t xml:space="preserve">Exhibit 5.1 </w:t>
      </w:r>
    </w:p>
    <w:p>
      <w:pPr>
        <w:pStyle w:val="TextBody"/>
        <w:spacing w:before="0" w:after="0"/>
        <w:rPr/>
      </w:pPr>
      <w:r>
        <w:rPr/>
        <w:drawing>
          <wp:inline distT="0" distB="0" distL="0" distR="0">
            <wp:extent cx="518160" cy="609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8160" cy="6096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August 12, 2013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27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We have acted as counsel to Plains All American Pipeline, L.P., a Delaware limited partnership (the </w:t>
      </w:r>
      <w:r>
        <w:rPr>
          <w:rFonts w:ascii="Times New Roman" w:hAnsi="Times New Roman"/>
          <w:b/>
          <w:sz w:val="20"/>
        </w:rPr>
        <w:t>Partnership</w:t>
      </w:r>
      <w:r>
        <w:rPr>
          <w:rFonts w:ascii="Times New Roman" w:hAnsi="Times New Roman"/>
          <w:sz w:val="20"/>
        </w:rPr>
        <w:t>), with respect to certain legal matters in connection with the registration by the Partnership and PAA Finance Corp., a Delaware corporation and wholly owned subsidiary of the Partnership (</w:t>
      </w:r>
      <w:r>
        <w:rPr>
          <w:rFonts w:ascii="Times New Roman" w:hAnsi="Times New Roman"/>
          <w:b/>
          <w:sz w:val="20"/>
        </w:rPr>
        <w:t>PAA Finance</w:t>
      </w:r>
      <w:r>
        <w:rPr>
          <w:rFonts w:ascii="Times New Roman" w:hAnsi="Times New Roman"/>
          <w:sz w:val="20"/>
        </w:rPr>
        <w:t>, and together with the Partnership, the </w:t>
      </w:r>
      <w:r>
        <w:rPr>
          <w:rFonts w:ascii="Times New Roman" w:hAnsi="Times New Roman"/>
          <w:b/>
          <w:sz w:val="20"/>
        </w:rPr>
        <w:t>Issuers</w:t>
      </w:r>
      <w:r>
        <w:rPr>
          <w:rFonts w:ascii="Times New Roman" w:hAnsi="Times New Roman"/>
          <w:sz w:val="20"/>
        </w:rPr>
        <w:t>) under the Securities Act of 1933, as amended (the </w:t>
      </w:r>
      <w:r>
        <w:rPr>
          <w:rFonts w:ascii="Times New Roman" w:hAnsi="Times New Roman"/>
          <w:b/>
          <w:sz w:val="20"/>
        </w:rPr>
        <w:t>Securities Act</w:t>
      </w:r>
      <w:r>
        <w:rPr>
          <w:rFonts w:ascii="Times New Roman" w:hAnsi="Times New Roman"/>
          <w:sz w:val="20"/>
        </w:rPr>
        <w:t>), of the offer and sale by the Issuers of $700,000,000 aggregate principal amount of 3.850% Senior Notes due 2023 (the </w:t>
      </w:r>
      <w:r>
        <w:rPr>
          <w:rFonts w:ascii="Times New Roman" w:hAnsi="Times New Roman"/>
          <w:b/>
          <w:sz w:val="20"/>
        </w:rPr>
        <w:t>Notes</w:t>
      </w:r>
      <w:r>
        <w:rPr>
          <w:rFonts w:ascii="Times New Roman" w:hAnsi="Times New Roman"/>
          <w:sz w:val="20"/>
        </w:rPr>
        <w:t>), to be issued and sold pursuant to the Underwriting Agreement dated August 8, 2013, by and among the Issuers and the Underwriters named therein (the </w:t>
      </w:r>
      <w:r>
        <w:rPr>
          <w:rFonts w:ascii="Times New Roman" w:hAnsi="Times New Roman"/>
          <w:b/>
          <w:sz w:val="20"/>
        </w:rPr>
        <w:t>Underwriting Agreement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The Notes are being offered and sold pursuant to a prospectus supplement dated August 8, 2013 (the </w:t>
      </w:r>
      <w:r>
        <w:rPr>
          <w:rFonts w:ascii="Times New Roman" w:hAnsi="Times New Roman"/>
          <w:b/>
          <w:sz w:val="20"/>
        </w:rPr>
        <w:t>Prospectus Supplement</w:t>
      </w:r>
      <w:r>
        <w:rPr>
          <w:rFonts w:ascii="Times New Roman" w:hAnsi="Times New Roman"/>
          <w:sz w:val="20"/>
        </w:rPr>
        <w:t>) filed with the Securities and Exchange Commission (the </w:t>
      </w:r>
      <w:r>
        <w:rPr>
          <w:rFonts w:ascii="Times New Roman" w:hAnsi="Times New Roman"/>
          <w:b/>
          <w:sz w:val="20"/>
        </w:rPr>
        <w:t>Commission</w:t>
      </w:r>
      <w:r>
        <w:rPr>
          <w:rFonts w:ascii="Times New Roman" w:hAnsi="Times New Roman"/>
          <w:sz w:val="20"/>
        </w:rPr>
        <w:t>) pursuant to Rule 424(b)(5) on August 9, 2013, to the prospectus dated September 27, 2012, (such prospectus, as amended and supplemented by the Prospectus Supplement, the </w:t>
      </w:r>
      <w:r>
        <w:rPr>
          <w:rFonts w:ascii="Times New Roman" w:hAnsi="Times New Roman"/>
          <w:b/>
          <w:sz w:val="20"/>
        </w:rPr>
        <w:t>Prospectus</w:t>
      </w:r>
      <w:r>
        <w:rPr>
          <w:rFonts w:ascii="Times New Roman" w:hAnsi="Times New Roman"/>
          <w:sz w:val="20"/>
        </w:rPr>
        <w:t>), included in and forming part of the Registration Statement on Form S-3 (Registration No. 333-184137) (the </w:t>
      </w:r>
      <w:r>
        <w:rPr>
          <w:rFonts w:ascii="Times New Roman" w:hAnsi="Times New Roman"/>
          <w:b/>
          <w:sz w:val="20"/>
        </w:rPr>
        <w:t>Registration Statement</w:t>
      </w:r>
      <w:r>
        <w:rPr>
          <w:rFonts w:ascii="Times New Roman" w:hAnsi="Times New Roman"/>
          <w:sz w:val="20"/>
        </w:rPr>
        <w:t xml:space="preserve">). Capitalized terms used but not defined herein shall have the meanings given such terms in the Underwriting Agreement. </w:t>
      </w:r>
    </w:p>
    <w:p>
      <w:pPr>
        <w:pStyle w:val="TextBody"/>
        <w:spacing w:before="180" w:after="0"/>
        <w:rPr>
          <w:rFonts w:ascii="Times New Roman" w:hAnsi="Times New Roman"/>
          <w:sz w:val="20"/>
        </w:rPr>
      </w:pPr>
      <w:r>
        <w:rPr>
          <w:rFonts w:ascii="Times New Roman" w:hAnsi="Times New Roman"/>
          <w:sz w:val="20"/>
        </w:rPr>
        <w:t>The Notes are to be issued as securities pursuant to that certain Indenture, dated as of September 25, 2002 (the </w:t>
      </w:r>
      <w:r>
        <w:rPr>
          <w:rFonts w:ascii="Times New Roman" w:hAnsi="Times New Roman"/>
          <w:b/>
          <w:sz w:val="20"/>
        </w:rPr>
        <w:t>Base Indenture</w:t>
      </w:r>
      <w:r>
        <w:rPr>
          <w:rFonts w:ascii="Times New Roman" w:hAnsi="Times New Roman"/>
          <w:sz w:val="20"/>
        </w:rPr>
        <w:t>), by and among the Issuers, and U.S. Bank National Association, as successor to Wachovia Bank, National Association, as trustee (the </w:t>
      </w:r>
      <w:r>
        <w:rPr>
          <w:rFonts w:ascii="Times New Roman" w:hAnsi="Times New Roman"/>
          <w:b/>
          <w:sz w:val="20"/>
        </w:rPr>
        <w:t>Trustee</w:t>
      </w:r>
      <w:r>
        <w:rPr>
          <w:rFonts w:ascii="Times New Roman" w:hAnsi="Times New Roman"/>
          <w:sz w:val="20"/>
        </w:rPr>
        <w:t>), as amended and supplemented by the Twenty-Fourth Supplemental Indenture thereto, to be dated as of August 15, 2013 (the </w:t>
      </w:r>
      <w:r>
        <w:rPr>
          <w:rFonts w:ascii="Times New Roman" w:hAnsi="Times New Roman"/>
          <w:b/>
          <w:sz w:val="20"/>
        </w:rPr>
        <w:t>Supplemental Indenture</w:t>
      </w:r>
      <w:r>
        <w:rPr>
          <w:rFonts w:ascii="Times New Roman" w:hAnsi="Times New Roman"/>
          <w:sz w:val="20"/>
        </w:rPr>
        <w:t>), by and among the Issuers and the Trustee (the Base Indenture, as so amended and supplemented by the Supplemental Indenture, the </w:t>
      </w:r>
      <w:r>
        <w:rPr>
          <w:rFonts w:ascii="Times New Roman" w:hAnsi="Times New Roman"/>
          <w:b/>
          <w:sz w:val="20"/>
        </w:rPr>
        <w:t>Indenture</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In rendering the opinions set forth below, we have examined and relied upon (i) the Registration Statement, the Prospectus Supplement and the Prospectus; (ii) the Fourth Amended and Restated Agreement of Limited Partnership of the Partnership, dated as of May 17, 2012, as amended; (iii) the organizational certificates and the limited partnership or limited liability company agreements (as the case may be) of PAA GP LLC, a Delaware limited liability company (</w:t>
      </w:r>
      <w:r>
        <w:rPr>
          <w:rFonts w:ascii="Times New Roman" w:hAnsi="Times New Roman"/>
          <w:b/>
          <w:sz w:val="20"/>
        </w:rPr>
        <w:t>General Partner</w:t>
      </w:r>
      <w:r>
        <w:rPr>
          <w:rFonts w:ascii="Times New Roman" w:hAnsi="Times New Roman"/>
          <w:sz w:val="20"/>
        </w:rPr>
        <w:t>), which is the general partner of the Partnership, of Plains AAP, L.P., a Delaware limited partnership (</w:t>
      </w:r>
      <w:r>
        <w:rPr>
          <w:rFonts w:ascii="Times New Roman" w:hAnsi="Times New Roman"/>
          <w:b/>
          <w:sz w:val="20"/>
        </w:rPr>
        <w:t>Plains AAP</w:t>
      </w:r>
      <w:r>
        <w:rPr>
          <w:rFonts w:ascii="Times New Roman" w:hAnsi="Times New Roman"/>
          <w:sz w:val="20"/>
        </w:rPr>
        <w:t xml:space="preserve">), which owns a 100% membership interest in the General Partner, and of Plains All American GP LLC, a Delaware limited liability company, which is the general partner of Plains AAP; (iv) the bylaws and certificate of incorporation of PAA Finance; (v) the Underwriting Agreement, a copy of which is being filed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90" w:after="0"/>
        <w:rPr>
          <w:rFonts w:ascii="Times New Roman" w:hAnsi="Times New Roman"/>
          <w:sz w:val="20"/>
        </w:rPr>
      </w:pPr>
      <w:r>
        <w:rPr>
          <w:rFonts w:ascii="Times New Roman" w:hAnsi="Times New Roman"/>
          <w:sz w:val="20"/>
        </w:rPr>
        <w:t xml:space="preserve">A. As to any facts material to the opinion contained herein, we have made no independent investigation of such facts and have relied, to the extent that we deem such reliance proper, upon certificates of public officials and officers or other representatives of the Partnership. </w:t>
      </w:r>
    </w:p>
    <w:p>
      <w:pPr>
        <w:pStyle w:val="TextBody"/>
        <w:spacing w:before="90" w:after="0"/>
        <w:rPr>
          <w:rFonts w:ascii="Times New Roman" w:hAnsi="Times New Roman"/>
          <w:sz w:val="20"/>
        </w:rPr>
      </w:pPr>
      <w:r>
        <w:rPr>
          <w:rFonts w:ascii="Times New Roman" w:hAnsi="Times New Roman"/>
          <w:sz w:val="20"/>
        </w:rPr>
        <w:t xml:space="preserve">B. 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 (iii) all signatures on each such document examined by us are genuine, (iv) each certificate from governmental officials reviewed by us is accurate, complete and authentic, and all official public records are accurate and complete and (v) each natural person signing any document reviewed by us had the legal capacity to do so and each person signing in a representative capacity any document reviewed by us had authority to sign in such capacity. </w:t>
      </w:r>
    </w:p>
    <w:p>
      <w:pPr>
        <w:pStyle w:val="TextBody"/>
        <w:spacing w:before="90" w:after="0"/>
        <w:rPr>
          <w:rFonts w:ascii="Times New Roman" w:hAnsi="Times New Roman"/>
          <w:sz w:val="20"/>
        </w:rPr>
      </w:pPr>
      <w:r>
        <w:rPr>
          <w:rFonts w:ascii="Times New Roman" w:hAnsi="Times New Roman"/>
          <w:sz w:val="20"/>
        </w:rPr>
        <w:t xml:space="preserve">C. This opinion is limited in all respects to the laws of the State of New York. We do not express any opinions as to the laws of any other jurisdiction. </w:t>
      </w:r>
    </w:p>
    <w:p>
      <w:pPr>
        <w:pStyle w:val="TextBody"/>
        <w:spacing w:before="90" w:after="0"/>
        <w:rPr>
          <w:rFonts w:ascii="Times New Roman" w:hAnsi="Times New Roman"/>
          <w:sz w:val="20"/>
        </w:rPr>
      </w:pPr>
      <w:r>
        <w:rPr>
          <w:rFonts w:ascii="Times New Roman" w:hAnsi="Times New Roman"/>
          <w:sz w:val="20"/>
        </w:rPr>
        <w:t xml:space="preserve">D. 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 </w:t>
      </w:r>
    </w:p>
    <w:p>
      <w:pPr>
        <w:pStyle w:val="TextBody"/>
        <w:spacing w:before="90" w:after="0"/>
        <w:rPr>
          <w:rFonts w:ascii="Times New Roman" w:hAnsi="Times New Roman"/>
          <w:sz w:val="20"/>
        </w:rPr>
      </w:pPr>
      <w:r>
        <w:rPr>
          <w:rFonts w:ascii="Times New Roman" w:hAnsi="Times New Roman"/>
          <w:sz w:val="20"/>
        </w:rPr>
        <w:t xml:space="preserve">E. 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/s/ Vinson &amp; Elkins L.L.P.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54</Pages>
  <Words>23619</Words>
  <CharactersWithSpaces>146990</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